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F28A" w14:textId="77777777" w:rsidR="00246B51" w:rsidRPr="00F43D5A" w:rsidRDefault="00246B51" w:rsidP="00246B51">
      <w:pPr>
        <w:pStyle w:val="Heading1"/>
        <w:jc w:val="center"/>
        <w:rPr>
          <w:u w:val="single"/>
        </w:rPr>
      </w:pPr>
      <w:bookmarkStart w:id="0" w:name="_GoBack"/>
      <w:bookmarkEnd w:id="0"/>
      <w:r w:rsidRPr="00F43D5A">
        <w:rPr>
          <w:u w:val="single"/>
        </w:rPr>
        <w:t>How to use professional fee ratio estimates</w:t>
      </w:r>
      <w:r w:rsidR="00BB3047">
        <w:rPr>
          <w:u w:val="single"/>
        </w:rPr>
        <w:t xml:space="preserve"> with hospital discharge data</w:t>
      </w:r>
    </w:p>
    <w:p w14:paraId="67F083DE" w14:textId="77777777" w:rsidR="00246B51" w:rsidRPr="00F43D5A" w:rsidRDefault="00246B51" w:rsidP="00246B51">
      <w:pPr>
        <w:pStyle w:val="BodyText1"/>
        <w:spacing w:line="240" w:lineRule="auto"/>
        <w:ind w:firstLine="0"/>
      </w:pPr>
    </w:p>
    <w:p w14:paraId="10FFD436" w14:textId="77777777" w:rsidR="00246B51" w:rsidRPr="00F43D5A" w:rsidRDefault="00246B51" w:rsidP="00246B51">
      <w:pPr>
        <w:pStyle w:val="BodyText1"/>
        <w:spacing w:line="240" w:lineRule="auto"/>
        <w:ind w:firstLine="0"/>
      </w:pPr>
      <w:r w:rsidRPr="00F43D5A">
        <w:t>The professional fee ratio (PFR) reference estimates presented in the Supplemental Dig</w:t>
      </w:r>
      <w:r w:rsidR="00000055">
        <w:t>ital Content (SDC) f</w:t>
      </w:r>
      <w:r w:rsidR="002A7258">
        <w:t>ile</w:t>
      </w:r>
      <w:r w:rsidR="00000055">
        <w:t>s</w:t>
      </w:r>
      <w:r w:rsidR="002A7258">
        <w:t xml:space="preserve"> (</w:t>
      </w:r>
      <w:r w:rsidR="009F5B93">
        <w:t>SDC Table 3</w:t>
      </w:r>
      <w:r w:rsidR="002A7258">
        <w:t xml:space="preserve"> and </w:t>
      </w:r>
      <w:r w:rsidR="009F5B93">
        <w:t xml:space="preserve">SDC </w:t>
      </w:r>
      <w:r w:rsidR="002A7258">
        <w:t>Table 4</w:t>
      </w:r>
      <w:r w:rsidRPr="00F43D5A">
        <w:t>) were designed to be directly applied to facility-only cost estimates from hospital discharge datasets.</w:t>
      </w:r>
    </w:p>
    <w:p w14:paraId="417CD90F" w14:textId="77777777" w:rsidR="00246B51" w:rsidRPr="00F43D5A" w:rsidRDefault="00246B51" w:rsidP="00246B51">
      <w:pPr>
        <w:pStyle w:val="BodyText1"/>
        <w:spacing w:line="240" w:lineRule="auto"/>
        <w:ind w:firstLine="0"/>
      </w:pPr>
    </w:p>
    <w:p w14:paraId="6D9FEC30" w14:textId="77777777" w:rsidR="00000055" w:rsidRPr="005B4B32" w:rsidRDefault="00246B51" w:rsidP="00000055">
      <w:pPr>
        <w:pStyle w:val="BodyText1"/>
        <w:spacing w:line="240" w:lineRule="auto"/>
        <w:ind w:left="360" w:hanging="360"/>
        <w:rPr>
          <w:b/>
        </w:rPr>
      </w:pPr>
      <w:r w:rsidRPr="005B4B32">
        <w:rPr>
          <w:b/>
          <w:u w:val="single"/>
        </w:rPr>
        <w:t>Which clinical classification should I use among available PFR estimates?</w:t>
      </w:r>
    </w:p>
    <w:p w14:paraId="2B34E22D" w14:textId="77777777" w:rsidR="00000055" w:rsidRDefault="00000055" w:rsidP="00000055">
      <w:pPr>
        <w:pStyle w:val="BodyText1"/>
        <w:spacing w:line="240" w:lineRule="auto"/>
        <w:ind w:left="720" w:firstLine="0"/>
      </w:pPr>
      <w:r>
        <w:tab/>
      </w:r>
    </w:p>
    <w:p w14:paraId="26D5B230" w14:textId="77777777" w:rsidR="00F4536D" w:rsidRDefault="00246B51" w:rsidP="00000055">
      <w:pPr>
        <w:pStyle w:val="BodyText1"/>
        <w:spacing w:line="240" w:lineRule="auto"/>
        <w:ind w:left="720" w:firstLine="0"/>
      </w:pPr>
      <w:r w:rsidRPr="00F43D5A">
        <w:t>PFR estimates should be selected and applied to hospital discharge data based on the clinical topic, availabl</w:t>
      </w:r>
      <w:r w:rsidR="00F4536D">
        <w:t>e data, and analyst discretion.</w:t>
      </w:r>
    </w:p>
    <w:p w14:paraId="6F21AD1B" w14:textId="77777777" w:rsidR="00F4536D" w:rsidRDefault="00F4536D" w:rsidP="00000055">
      <w:pPr>
        <w:pStyle w:val="BodyText1"/>
        <w:spacing w:line="240" w:lineRule="auto"/>
        <w:ind w:left="720" w:firstLine="0"/>
      </w:pPr>
    </w:p>
    <w:p w14:paraId="79FAE48F" w14:textId="77777777" w:rsidR="00246B51" w:rsidRPr="00F43D5A" w:rsidRDefault="00246B51" w:rsidP="00000055">
      <w:pPr>
        <w:pStyle w:val="BodyText1"/>
        <w:spacing w:line="240" w:lineRule="auto"/>
        <w:ind w:left="720" w:firstLine="0"/>
      </w:pPr>
      <w:r w:rsidRPr="00F43D5A">
        <w:t>The PFR estimates in the SDC Files offer an opportunity to apply PFR for commercially-insured or Medicaid hospital admissions or treat-and-release emergency department (ED) visits by:</w:t>
      </w:r>
    </w:p>
    <w:p w14:paraId="291F369D" w14:textId="77777777" w:rsidR="00246B51" w:rsidRPr="00F43D5A" w:rsidRDefault="00246B51" w:rsidP="00246B51">
      <w:pPr>
        <w:pStyle w:val="BodyText1"/>
        <w:spacing w:line="240" w:lineRule="auto"/>
        <w:ind w:firstLine="0"/>
      </w:pPr>
    </w:p>
    <w:p w14:paraId="2D7EF7D5" w14:textId="77777777" w:rsidR="00246B51" w:rsidRPr="00000055" w:rsidRDefault="00246B51" w:rsidP="00246B51">
      <w:pPr>
        <w:pStyle w:val="BodyText1"/>
        <w:numPr>
          <w:ilvl w:val="0"/>
          <w:numId w:val="1"/>
        </w:numPr>
        <w:spacing w:line="240" w:lineRule="auto"/>
      </w:pPr>
      <w:r w:rsidRPr="00F43D5A">
        <w:t xml:space="preserve">Annual </w:t>
      </w:r>
      <w:r w:rsidRPr="00000055">
        <w:t>overall (inpatient and ED)</w:t>
      </w:r>
      <w:r w:rsidR="002A7258" w:rsidRPr="00000055">
        <w:t xml:space="preserve">: </w:t>
      </w:r>
      <w:r w:rsidR="00000055" w:rsidRPr="00000055">
        <w:t>Table 3</w:t>
      </w:r>
    </w:p>
    <w:p w14:paraId="7AF67533" w14:textId="77777777" w:rsidR="00246B51" w:rsidRPr="00000055" w:rsidRDefault="00246B51" w:rsidP="00246B51">
      <w:pPr>
        <w:pStyle w:val="BodyText1"/>
        <w:numPr>
          <w:ilvl w:val="0"/>
          <w:numId w:val="1"/>
        </w:numPr>
        <w:spacing w:line="240" w:lineRule="auto"/>
      </w:pPr>
      <w:r w:rsidRPr="00000055">
        <w:t>Major Diagnostic Category (MDC) (inpatient and ED)</w:t>
      </w:r>
      <w:r w:rsidR="002A7258" w:rsidRPr="00000055">
        <w:t>: SDC Table 3 and SDC Table 4</w:t>
      </w:r>
    </w:p>
    <w:p w14:paraId="5BFB2906" w14:textId="77777777" w:rsidR="00246B51" w:rsidRPr="00000055" w:rsidRDefault="00246B51" w:rsidP="00246B51">
      <w:pPr>
        <w:pStyle w:val="BodyText1"/>
        <w:numPr>
          <w:ilvl w:val="0"/>
          <w:numId w:val="1"/>
        </w:numPr>
        <w:spacing w:line="240" w:lineRule="auto"/>
      </w:pPr>
      <w:r w:rsidRPr="00000055">
        <w:t>Diagnostic Related Group (DRG) (inpatient only)</w:t>
      </w:r>
      <w:r w:rsidR="002A7258" w:rsidRPr="00000055">
        <w:t>: SDC Table 3</w:t>
      </w:r>
    </w:p>
    <w:p w14:paraId="4D61C2FD" w14:textId="77777777" w:rsidR="00246B51" w:rsidRPr="00000055" w:rsidRDefault="00246B51" w:rsidP="00246B51">
      <w:pPr>
        <w:pStyle w:val="BodyText1"/>
        <w:numPr>
          <w:ilvl w:val="0"/>
          <w:numId w:val="1"/>
        </w:numPr>
        <w:spacing w:line="240" w:lineRule="auto"/>
      </w:pPr>
      <w:r w:rsidRPr="00000055">
        <w:t>Primary International Classification of Diseases, 9th revision, Clinical Modification  (ICD-9-CM) diagnosis, three-digit (inpatient and ED)</w:t>
      </w:r>
      <w:r w:rsidR="002A7258" w:rsidRPr="00000055">
        <w:t>: SDC Table 3 and SDC Table 4</w:t>
      </w:r>
    </w:p>
    <w:p w14:paraId="3A824EC2" w14:textId="77777777" w:rsidR="00246B51" w:rsidRPr="00000055" w:rsidRDefault="00246B51" w:rsidP="00246B51">
      <w:pPr>
        <w:pStyle w:val="BodyText1"/>
        <w:numPr>
          <w:ilvl w:val="0"/>
          <w:numId w:val="1"/>
        </w:numPr>
        <w:spacing w:line="240" w:lineRule="auto"/>
      </w:pPr>
      <w:r w:rsidRPr="00000055">
        <w:t>Healthcare Cost and Utilization Project Clinical Classifications Software (HCUP-CCS) (inpatient only)</w:t>
      </w:r>
      <w:r w:rsidR="002A7258" w:rsidRPr="00000055">
        <w:t>: SDC Table 3</w:t>
      </w:r>
    </w:p>
    <w:p w14:paraId="34144311" w14:textId="77777777" w:rsidR="00246B51" w:rsidRDefault="00246B51" w:rsidP="00246B51">
      <w:pPr>
        <w:pStyle w:val="BodyText1"/>
        <w:spacing w:line="240" w:lineRule="auto"/>
        <w:ind w:firstLine="0"/>
      </w:pPr>
    </w:p>
    <w:p w14:paraId="085DADCF" w14:textId="77777777" w:rsidR="0095711E" w:rsidRPr="00F43D5A" w:rsidRDefault="0095711E" w:rsidP="00000055">
      <w:pPr>
        <w:pStyle w:val="BodyText1"/>
        <w:spacing w:line="240" w:lineRule="auto"/>
        <w:ind w:left="720" w:firstLine="0"/>
      </w:pPr>
      <w:r w:rsidRPr="00BB3047">
        <w:lastRenderedPageBreak/>
        <w:t>PFR estimates by DRG and HCUP-CCS are preferred to primary ICD-9 code diagnosis, as such aggregated classifications efficiently account for clinical variations in patient experiences that are not captured by a primary ICD-9 diagnosis alone. In the situation that a clinical condition of interest is defined by primary ICD-9 diagnoses, it is recommended analysts identify patients for inclusion based on ICD-9 diagnoses and apply PFR based on patients’ accompanying DRG or HCUP-CCS, if available</w:t>
      </w:r>
      <w:r w:rsidRPr="00F43D5A">
        <w:t>.</w:t>
      </w:r>
    </w:p>
    <w:p w14:paraId="0CE18E62" w14:textId="77777777" w:rsidR="0095711E" w:rsidRDefault="0095711E" w:rsidP="00246B51">
      <w:pPr>
        <w:pStyle w:val="BodyText1"/>
        <w:spacing w:line="240" w:lineRule="auto"/>
        <w:ind w:firstLine="0"/>
      </w:pPr>
    </w:p>
    <w:p w14:paraId="441FF136" w14:textId="77777777" w:rsidR="005B4B32" w:rsidRPr="005B4B32" w:rsidRDefault="00023152" w:rsidP="00246B51">
      <w:pPr>
        <w:pStyle w:val="BodyText1"/>
        <w:spacing w:line="240" w:lineRule="auto"/>
        <w:ind w:firstLine="0"/>
        <w:rPr>
          <w:b/>
          <w:u w:val="single"/>
        </w:rPr>
      </w:pPr>
      <w:r w:rsidRPr="005B4B32">
        <w:rPr>
          <w:b/>
          <w:u w:val="single"/>
        </w:rPr>
        <w:t>What is the difference between model estimates by clinical classification reported in Table 1. Table 2, SDC Table 1, and SDC Table 2 versus SDC Table 3 and SDC Table 4?</w:t>
      </w:r>
    </w:p>
    <w:p w14:paraId="18757385" w14:textId="77777777" w:rsidR="005B4B32" w:rsidRDefault="005B4B32" w:rsidP="00246B51">
      <w:pPr>
        <w:pStyle w:val="BodyText1"/>
        <w:spacing w:line="240" w:lineRule="auto"/>
        <w:ind w:firstLine="0"/>
        <w:rPr>
          <w:u w:val="single"/>
        </w:rPr>
      </w:pPr>
    </w:p>
    <w:p w14:paraId="6CDD730E" w14:textId="77777777" w:rsidR="00F4536D" w:rsidRPr="00000055" w:rsidRDefault="0095711E" w:rsidP="005B4B32">
      <w:pPr>
        <w:pStyle w:val="BodyText1"/>
        <w:spacing w:line="240" w:lineRule="auto"/>
        <w:ind w:left="720" w:firstLine="0"/>
      </w:pPr>
      <w:r w:rsidRPr="00000055">
        <w:t>Model estimates in Table 1, Table 2, SDC Table 1, and SDC Table 2 for DRG and MDC refer to the association of those individual clinical classifications with PFR</w:t>
      </w:r>
      <w:r w:rsidR="00023152" w:rsidRPr="00000055">
        <w:t xml:space="preserve"> relative to other clinical classifications</w:t>
      </w:r>
      <w:r w:rsidR="00290B53" w:rsidRPr="00000055">
        <w:t xml:space="preserve">, and are not intended for direct application to hospital discharge data. For example, </w:t>
      </w:r>
      <w:r w:rsidR="00F4536D" w:rsidRPr="00000055">
        <w:t xml:space="preserve">in SDC Table 1: </w:t>
      </w:r>
      <w:r w:rsidR="00290B53" w:rsidRPr="00000055">
        <w:t xml:space="preserve">controlling for listed factors, DRG 6 (LIVER TRANSPLANT W/O MCC) is associated with a lower PFR (i.e., a negative coefficient) per inpatient admission compared to </w:t>
      </w:r>
      <w:r w:rsidR="00F4536D" w:rsidRPr="00000055">
        <w:t xml:space="preserve">reference category </w:t>
      </w:r>
      <w:r w:rsidR="00290B53" w:rsidRPr="00000055">
        <w:t>DRG 1 (HEART TRANSPLANT OR IMPLANT OF HEART ASSIST SYSTEM W MCC)</w:t>
      </w:r>
      <w:r w:rsidRPr="00000055">
        <w:t xml:space="preserve">. </w:t>
      </w:r>
    </w:p>
    <w:p w14:paraId="0693D3B4" w14:textId="77777777" w:rsidR="00F4536D" w:rsidRDefault="00F4536D" w:rsidP="005B4B32">
      <w:pPr>
        <w:pStyle w:val="BodyText1"/>
        <w:spacing w:line="240" w:lineRule="auto"/>
        <w:ind w:left="720" w:firstLine="0"/>
      </w:pPr>
    </w:p>
    <w:p w14:paraId="702D5E5B" w14:textId="77777777" w:rsidR="0095711E" w:rsidRPr="00000055" w:rsidRDefault="0095711E" w:rsidP="005B4B32">
      <w:pPr>
        <w:pStyle w:val="BodyText1"/>
        <w:spacing w:line="240" w:lineRule="auto"/>
        <w:ind w:left="720" w:firstLine="0"/>
      </w:pPr>
      <w:r w:rsidRPr="00000055">
        <w:t xml:space="preserve">SDC Table 3 and SDC Table 4 report adjusted </w:t>
      </w:r>
      <w:r w:rsidR="00290B53" w:rsidRPr="00000055">
        <w:t xml:space="preserve">mean </w:t>
      </w:r>
      <w:r w:rsidRPr="00000055">
        <w:t xml:space="preserve">PRF estimates </w:t>
      </w:r>
      <w:r w:rsidR="00F4536D" w:rsidRPr="00000055">
        <w:t>(controlling for all factors listed in SDC Table 1 and SDC Table 2, respectively</w:t>
      </w:r>
      <w:r w:rsidR="009F5B93" w:rsidRPr="00000055">
        <w:t xml:space="preserve">, and generated by applying StataCorps 13 </w:t>
      </w:r>
      <w:r w:rsidR="009F5B93" w:rsidRPr="00FD68F0">
        <w:rPr>
          <w:i/>
        </w:rPr>
        <w:t>margins</w:t>
      </w:r>
      <w:r w:rsidR="009F5B93" w:rsidRPr="00000055">
        <w:t xml:space="preserve"> program to ordinary least square model estimates</w:t>
      </w:r>
      <w:r w:rsidR="00F4536D" w:rsidRPr="00000055">
        <w:t xml:space="preserve">) </w:t>
      </w:r>
      <w:r w:rsidRPr="00000055">
        <w:t>by year, clinical cla</w:t>
      </w:r>
      <w:r w:rsidR="00290B53" w:rsidRPr="00000055">
        <w:t>ssification, and insurance type</w:t>
      </w:r>
      <w:r w:rsidRPr="00000055">
        <w:t xml:space="preserve"> for </w:t>
      </w:r>
      <w:r w:rsidR="00290B53" w:rsidRPr="00000055">
        <w:t xml:space="preserve">direct </w:t>
      </w:r>
      <w:r w:rsidRPr="00000055">
        <w:t xml:space="preserve">application to hospital discharge </w:t>
      </w:r>
      <w:r w:rsidR="00290B53" w:rsidRPr="00000055">
        <w:t>data as described below.</w:t>
      </w:r>
    </w:p>
    <w:p w14:paraId="1789AB38" w14:textId="77777777" w:rsidR="0095711E" w:rsidRPr="00F43D5A" w:rsidRDefault="0095711E" w:rsidP="00246B51">
      <w:pPr>
        <w:pStyle w:val="BodyText1"/>
        <w:spacing w:line="240" w:lineRule="auto"/>
        <w:ind w:firstLine="0"/>
      </w:pPr>
    </w:p>
    <w:p w14:paraId="177A3506" w14:textId="72BCF05C" w:rsidR="005B4B32" w:rsidRPr="005B4B32" w:rsidRDefault="002A7258" w:rsidP="002A7258">
      <w:pPr>
        <w:pStyle w:val="BodyText1"/>
        <w:spacing w:line="240" w:lineRule="auto"/>
        <w:ind w:firstLine="0"/>
        <w:rPr>
          <w:b/>
        </w:rPr>
      </w:pPr>
      <w:r w:rsidRPr="005B4B32">
        <w:rPr>
          <w:b/>
          <w:u w:val="single"/>
        </w:rPr>
        <w:t xml:space="preserve">How can I calculate total </w:t>
      </w:r>
      <w:r w:rsidR="00E65BAD">
        <w:rPr>
          <w:b/>
          <w:u w:val="single"/>
        </w:rPr>
        <w:t>hospitalization</w:t>
      </w:r>
      <w:r w:rsidR="00E65BAD" w:rsidRPr="005B4B32">
        <w:rPr>
          <w:b/>
          <w:u w:val="single"/>
        </w:rPr>
        <w:t xml:space="preserve"> </w:t>
      </w:r>
      <w:r w:rsidRPr="005B4B32">
        <w:rPr>
          <w:b/>
          <w:u w:val="single"/>
        </w:rPr>
        <w:t>cost using hospital discharge data and PFR estimates?</w:t>
      </w:r>
    </w:p>
    <w:p w14:paraId="4650EB11" w14:textId="77777777" w:rsidR="005B4B32" w:rsidRDefault="005B4B32" w:rsidP="002A7258">
      <w:pPr>
        <w:pStyle w:val="BodyText1"/>
        <w:spacing w:line="240" w:lineRule="auto"/>
        <w:ind w:firstLine="0"/>
      </w:pPr>
    </w:p>
    <w:p w14:paraId="2956B462" w14:textId="0D5E8D91" w:rsidR="002A7258" w:rsidRPr="00F43D5A" w:rsidRDefault="002A7258" w:rsidP="005B4B32">
      <w:pPr>
        <w:pStyle w:val="BodyText1"/>
        <w:spacing w:line="240" w:lineRule="auto"/>
        <w:ind w:left="720" w:firstLine="0"/>
      </w:pPr>
      <w:r w:rsidRPr="00F43D5A">
        <w:lastRenderedPageBreak/>
        <w:t xml:space="preserve">Note that PFR should be multiplied by cost data, not charge data, from hospital discharge datasets; cost-to-charge ratios should be applied to facility-only charge data prior to using PFR estimates. The total cost of a hospital-based episode could be calculated </w:t>
      </w:r>
      <w:r w:rsidR="00E65BAD" w:rsidRPr="00F43D5A">
        <w:t xml:space="preserve">using PFR </w:t>
      </w:r>
      <w:r w:rsidRPr="00F43D5A">
        <w:t>as:</w:t>
      </w:r>
    </w:p>
    <w:p w14:paraId="7E52D8D5" w14:textId="77777777" w:rsidR="002A7258" w:rsidRPr="00F43D5A" w:rsidRDefault="002A7258" w:rsidP="002A7258">
      <w:pPr>
        <w:pStyle w:val="BodyText1"/>
        <w:spacing w:line="240" w:lineRule="auto"/>
        <w:ind w:firstLine="0"/>
      </w:pPr>
    </w:p>
    <w:p w14:paraId="4B555D49" w14:textId="77777777" w:rsidR="002A7258" w:rsidRPr="00F43D5A" w:rsidRDefault="002A7258" w:rsidP="005B4B32">
      <w:pPr>
        <w:pStyle w:val="BodyText1"/>
        <w:spacing w:line="240" w:lineRule="auto"/>
        <w:ind w:left="720" w:firstLine="0"/>
        <w:jc w:val="center"/>
      </w:pPr>
      <w:r w:rsidRPr="00F43D5A">
        <w:rPr>
          <w:i/>
        </w:rPr>
        <w:t>Facility charge</w:t>
      </w:r>
      <w:r w:rsidRPr="00F43D5A">
        <w:t xml:space="preserve"> * </w:t>
      </w:r>
      <w:r w:rsidRPr="00F43D5A">
        <w:rPr>
          <w:i/>
        </w:rPr>
        <w:t>Cost-to-charge ratio</w:t>
      </w:r>
      <w:r w:rsidRPr="00F43D5A">
        <w:t xml:space="preserve"> * </w:t>
      </w:r>
      <w:r w:rsidRPr="00F43D5A">
        <w:rPr>
          <w:i/>
        </w:rPr>
        <w:t>Professional fee ratio (including probabilistic methods that make use of measures of dispersion—SE or 95% CI—when</w:t>
      </w:r>
      <w:r>
        <w:rPr>
          <w:i/>
        </w:rPr>
        <w:t xml:space="preserve"> </w:t>
      </w:r>
      <w:r w:rsidRPr="00F43D5A">
        <w:rPr>
          <w:i/>
        </w:rPr>
        <w:t>possible)</w:t>
      </w:r>
    </w:p>
    <w:p w14:paraId="24E8A7BE" w14:textId="77777777" w:rsidR="002A7258" w:rsidRDefault="002A7258" w:rsidP="00246B51">
      <w:pPr>
        <w:pStyle w:val="BodyText1"/>
        <w:spacing w:line="240" w:lineRule="auto"/>
        <w:ind w:firstLine="0"/>
        <w:rPr>
          <w:u w:val="single"/>
        </w:rPr>
      </w:pPr>
    </w:p>
    <w:p w14:paraId="0C77DEEC" w14:textId="77777777" w:rsidR="00246B51" w:rsidRPr="00F43D5A" w:rsidRDefault="00246B51" w:rsidP="00246B51">
      <w:pPr>
        <w:pStyle w:val="BodyText1"/>
        <w:spacing w:line="240" w:lineRule="auto"/>
        <w:ind w:firstLine="0"/>
      </w:pPr>
      <w:r w:rsidRPr="00F43D5A">
        <w:rPr>
          <w:u w:val="single"/>
        </w:rPr>
        <w:t>Examples</w:t>
      </w:r>
      <w:r w:rsidRPr="00F43D5A">
        <w:t xml:space="preserve">: </w:t>
      </w:r>
    </w:p>
    <w:p w14:paraId="6DAFAE5E" w14:textId="77777777" w:rsidR="00246B51" w:rsidRPr="00F43D5A" w:rsidRDefault="00246B51" w:rsidP="00246B51">
      <w:pPr>
        <w:pStyle w:val="BodyText1"/>
        <w:spacing w:line="240" w:lineRule="auto"/>
        <w:ind w:firstLine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  <w:gridCol w:w="4320"/>
      </w:tblGrid>
      <w:tr w:rsidR="00246B51" w:rsidRPr="00F43D5A" w14:paraId="631C563E" w14:textId="77777777" w:rsidTr="00000055">
        <w:tc>
          <w:tcPr>
            <w:tcW w:w="3865" w:type="dxa"/>
          </w:tcPr>
          <w:p w14:paraId="07C1338E" w14:textId="19BAF373" w:rsidR="00246B51" w:rsidRPr="00F43D5A" w:rsidRDefault="00FD68F0" w:rsidP="00246B51">
            <w:pPr>
              <w:pStyle w:val="BodyText1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Hospital discharge analysis d</w:t>
            </w:r>
            <w:r w:rsidR="00246B51" w:rsidRPr="00F43D5A">
              <w:rPr>
                <w:b/>
              </w:rPr>
              <w:t>ata consists of</w:t>
            </w:r>
          </w:p>
        </w:tc>
        <w:tc>
          <w:tcPr>
            <w:tcW w:w="4320" w:type="dxa"/>
          </w:tcPr>
          <w:p w14:paraId="19E3752D" w14:textId="77777777" w:rsidR="00246B51" w:rsidRPr="00F43D5A" w:rsidRDefault="00246B51" w:rsidP="00246B51">
            <w:pPr>
              <w:pStyle w:val="BodyText1"/>
              <w:spacing w:line="240" w:lineRule="auto"/>
              <w:ind w:firstLine="0"/>
              <w:jc w:val="center"/>
              <w:rPr>
                <w:b/>
              </w:rPr>
            </w:pPr>
            <w:r w:rsidRPr="00F43D5A">
              <w:rPr>
                <w:b/>
              </w:rPr>
              <w:t>PFR options:</w:t>
            </w:r>
          </w:p>
          <w:p w14:paraId="707A20EC" w14:textId="77777777" w:rsidR="00FD68F0" w:rsidRDefault="00FD68F0" w:rsidP="00246B51">
            <w:pPr>
              <w:pStyle w:val="BodyText1"/>
              <w:spacing w:line="240" w:lineRule="auto"/>
              <w:ind w:firstLine="0"/>
              <w:jc w:val="center"/>
            </w:pPr>
            <w:r>
              <w:t>Mean (Standard Error)</w:t>
            </w:r>
          </w:p>
          <w:p w14:paraId="461307BA" w14:textId="341A4FF4" w:rsidR="00246B51" w:rsidRPr="00FD68F0" w:rsidRDefault="00246B51" w:rsidP="00246B51">
            <w:pPr>
              <w:pStyle w:val="BodyText1"/>
              <w:spacing w:line="240" w:lineRule="auto"/>
              <w:ind w:firstLine="0"/>
              <w:jc w:val="center"/>
            </w:pPr>
            <w:r w:rsidRPr="00FD68F0">
              <w:t>[95% Confidence Interval]</w:t>
            </w:r>
          </w:p>
        </w:tc>
      </w:tr>
      <w:tr w:rsidR="00246B51" w:rsidRPr="00F43D5A" w14:paraId="2D16A13E" w14:textId="77777777" w:rsidTr="00000055">
        <w:tc>
          <w:tcPr>
            <w:tcW w:w="3865" w:type="dxa"/>
          </w:tcPr>
          <w:p w14:paraId="51256309" w14:textId="184E0369" w:rsidR="00246B51" w:rsidRPr="00F43D5A" w:rsidRDefault="00246B51" w:rsidP="00246B51">
            <w:pPr>
              <w:pStyle w:val="BodyText1"/>
              <w:numPr>
                <w:ilvl w:val="0"/>
                <w:numId w:val="2"/>
              </w:numPr>
              <w:spacing w:line="240" w:lineRule="auto"/>
            </w:pPr>
            <w:r w:rsidRPr="00F43D5A">
              <w:t>All admissions, 2004. Insurance payer is known (i.e., commercial or Medicaid) but clinical classifications for the admissions are unknown.</w:t>
            </w:r>
          </w:p>
        </w:tc>
        <w:tc>
          <w:tcPr>
            <w:tcW w:w="4320" w:type="dxa"/>
          </w:tcPr>
          <w:p w14:paraId="22553A4C" w14:textId="77777777" w:rsidR="00246B51" w:rsidRPr="00F43D5A" w:rsidRDefault="00246B51" w:rsidP="00246B51">
            <w:pPr>
              <w:pStyle w:val="BodyText1"/>
              <w:numPr>
                <w:ilvl w:val="0"/>
                <w:numId w:val="3"/>
              </w:numPr>
              <w:spacing w:line="240" w:lineRule="auto"/>
            </w:pPr>
            <w:r w:rsidRPr="00F43D5A">
              <w:t>Use 2004 annual overall PFR, separate for commercially-insured and Medicaid admissions.</w:t>
            </w:r>
          </w:p>
          <w:p w14:paraId="3AAA29E9" w14:textId="77777777" w:rsidR="00246B51" w:rsidRPr="00F43D5A" w:rsidRDefault="00246B51" w:rsidP="00246B51">
            <w:pPr>
              <w:pStyle w:val="BodyText1"/>
              <w:numPr>
                <w:ilvl w:val="1"/>
                <w:numId w:val="3"/>
              </w:numPr>
              <w:spacing w:line="240" w:lineRule="auto"/>
            </w:pPr>
            <w:r w:rsidRPr="00F43D5A">
              <w:rPr>
                <w:u w:val="single"/>
              </w:rPr>
              <w:t>Where to find it</w:t>
            </w:r>
            <w:r w:rsidRPr="00F43D5A">
              <w:t>: Table 3, admissions, 2004 – Commercial = 1.342 (0.000) [1.341,1.343], Medicaid = 1.211 (0.002) [1.207,1.214]</w:t>
            </w:r>
          </w:p>
        </w:tc>
      </w:tr>
      <w:tr w:rsidR="00246B51" w:rsidRPr="00F43D5A" w14:paraId="4269067E" w14:textId="77777777" w:rsidTr="00000055">
        <w:trPr>
          <w:trHeight w:val="1430"/>
        </w:trPr>
        <w:tc>
          <w:tcPr>
            <w:tcW w:w="3865" w:type="dxa"/>
          </w:tcPr>
          <w:p w14:paraId="583499F2" w14:textId="77777777" w:rsidR="00246B51" w:rsidRPr="00F43D5A" w:rsidRDefault="00246B51" w:rsidP="00246B51">
            <w:pPr>
              <w:pStyle w:val="BodyText1"/>
              <w:numPr>
                <w:ilvl w:val="0"/>
                <w:numId w:val="2"/>
              </w:numPr>
              <w:spacing w:line="240" w:lineRule="auto"/>
            </w:pPr>
            <w:r w:rsidRPr="00F43D5A">
              <w:t>All admissions, 2005, for DRG=418. Insurance payer is known (i.e., commercial or Medicaid).</w:t>
            </w:r>
          </w:p>
        </w:tc>
        <w:tc>
          <w:tcPr>
            <w:tcW w:w="4320" w:type="dxa"/>
          </w:tcPr>
          <w:p w14:paraId="7502AB42" w14:textId="77777777" w:rsidR="00246B51" w:rsidRPr="00F43D5A" w:rsidRDefault="00246B51" w:rsidP="00246B51">
            <w:pPr>
              <w:pStyle w:val="BodyText1"/>
              <w:numPr>
                <w:ilvl w:val="0"/>
                <w:numId w:val="3"/>
              </w:numPr>
              <w:spacing w:line="240" w:lineRule="auto"/>
            </w:pPr>
            <w:r w:rsidRPr="00F43D5A">
              <w:t>Use 2005 DRG-specific PFR for DRG 418, separate for commercially-insured and Medicaid admissions.</w:t>
            </w:r>
          </w:p>
          <w:p w14:paraId="0270F4B9" w14:textId="77777777" w:rsidR="00246B51" w:rsidRPr="00F43D5A" w:rsidRDefault="00246B51" w:rsidP="00246B51">
            <w:pPr>
              <w:pStyle w:val="BodyText1"/>
              <w:numPr>
                <w:ilvl w:val="1"/>
                <w:numId w:val="3"/>
              </w:numPr>
              <w:spacing w:line="240" w:lineRule="auto"/>
            </w:pPr>
            <w:r w:rsidRPr="00F43D5A">
              <w:rPr>
                <w:u w:val="single"/>
              </w:rPr>
              <w:t>Where to find it</w:t>
            </w:r>
            <w:r w:rsidR="00F4536D">
              <w:t>: SDC Table 3</w:t>
            </w:r>
            <w:r w:rsidRPr="00F43D5A">
              <w:t xml:space="preserve"> admissions – Commercial = 1.122 (0.003) [1.117,1.127], </w:t>
            </w:r>
            <w:r w:rsidRPr="00F43D5A">
              <w:lastRenderedPageBreak/>
              <w:t>Medicaid = 1.083 (0.004) [1.076, 1.090]</w:t>
            </w:r>
          </w:p>
        </w:tc>
      </w:tr>
      <w:tr w:rsidR="00246B51" w:rsidRPr="00F43D5A" w14:paraId="4894CCC1" w14:textId="77777777" w:rsidTr="00000055">
        <w:tc>
          <w:tcPr>
            <w:tcW w:w="3865" w:type="dxa"/>
          </w:tcPr>
          <w:p w14:paraId="522AECD6" w14:textId="77777777" w:rsidR="00246B51" w:rsidRPr="00F43D5A" w:rsidRDefault="00246B51" w:rsidP="00246B51">
            <w:pPr>
              <w:pStyle w:val="BodyText1"/>
              <w:numPr>
                <w:ilvl w:val="0"/>
                <w:numId w:val="2"/>
              </w:numPr>
              <w:spacing w:line="240" w:lineRule="auto"/>
            </w:pPr>
            <w:r w:rsidRPr="00F43D5A">
              <w:lastRenderedPageBreak/>
              <w:t>All admissions, 2006, for patients with injuries. Primary ICD-9-CM codes are known but missing for many observations, DRG is unknown. Insurance payer is known (i.e., commercial or Medicaid).</w:t>
            </w:r>
          </w:p>
        </w:tc>
        <w:tc>
          <w:tcPr>
            <w:tcW w:w="4320" w:type="dxa"/>
          </w:tcPr>
          <w:p w14:paraId="53CCAF26" w14:textId="77777777" w:rsidR="00246B51" w:rsidRPr="00F43D5A" w:rsidRDefault="00246B51" w:rsidP="00246B51">
            <w:pPr>
              <w:pStyle w:val="BodyText1"/>
              <w:spacing w:line="240" w:lineRule="auto"/>
              <w:ind w:firstLine="0"/>
            </w:pPr>
            <w:r w:rsidRPr="00F43D5A">
              <w:t>In order of preference:</w:t>
            </w:r>
          </w:p>
          <w:p w14:paraId="6E6823BC" w14:textId="77777777" w:rsidR="00246B51" w:rsidRPr="00F43D5A" w:rsidRDefault="00246B51" w:rsidP="00246B51">
            <w:pPr>
              <w:pStyle w:val="BodyText1"/>
              <w:spacing w:line="240" w:lineRule="auto"/>
              <w:ind w:firstLine="0"/>
            </w:pPr>
          </w:p>
          <w:p w14:paraId="2C2FE8D2" w14:textId="77777777" w:rsidR="00246B51" w:rsidRPr="00F43D5A" w:rsidRDefault="00246B51" w:rsidP="00246B51">
            <w:pPr>
              <w:pStyle w:val="BodyText1"/>
              <w:numPr>
                <w:ilvl w:val="0"/>
                <w:numId w:val="3"/>
              </w:numPr>
              <w:spacing w:line="240" w:lineRule="auto"/>
            </w:pPr>
            <w:r w:rsidRPr="00F43D5A">
              <w:t>Use 2006 ICD-9-CM code-specific PFR, separate for commercially-insured and Medicaid admissions.</w:t>
            </w:r>
          </w:p>
          <w:p w14:paraId="45038E24" w14:textId="77777777" w:rsidR="00246B51" w:rsidRPr="00F43D5A" w:rsidRDefault="00246B51" w:rsidP="00246B51">
            <w:pPr>
              <w:pStyle w:val="BodyText1"/>
              <w:numPr>
                <w:ilvl w:val="1"/>
                <w:numId w:val="3"/>
              </w:numPr>
              <w:spacing w:line="240" w:lineRule="auto"/>
            </w:pPr>
            <w:r w:rsidRPr="00F43D5A">
              <w:rPr>
                <w:u w:val="single"/>
              </w:rPr>
              <w:t>Where to find it</w:t>
            </w:r>
            <w:r w:rsidR="00F4536D">
              <w:t>: SDC Table 3</w:t>
            </w:r>
            <w:r w:rsidRPr="00F43D5A">
              <w:t xml:space="preserve"> admissions – Multiple PFR depending on primary ICD-9-CM codes.</w:t>
            </w:r>
          </w:p>
          <w:p w14:paraId="3470CA5A" w14:textId="77777777" w:rsidR="00246B51" w:rsidRPr="00F43D5A" w:rsidRDefault="00246B51" w:rsidP="00246B51">
            <w:pPr>
              <w:pStyle w:val="BodyText1"/>
              <w:numPr>
                <w:ilvl w:val="0"/>
                <w:numId w:val="3"/>
              </w:numPr>
              <w:spacing w:line="240" w:lineRule="auto"/>
            </w:pPr>
            <w:r w:rsidRPr="00F43D5A">
              <w:t xml:space="preserve">Use 2006 MDC=21 code for </w:t>
            </w:r>
            <w:r w:rsidRPr="00F43D5A">
              <w:rPr>
                <w:i/>
              </w:rPr>
              <w:t>Injuries, Poison, and Toxic Effect of Drugs</w:t>
            </w:r>
            <w:r w:rsidRPr="00F43D5A">
              <w:t xml:space="preserve"> separate for commercially-insured and Medicaid admissions.</w:t>
            </w:r>
          </w:p>
          <w:p w14:paraId="660FBF47" w14:textId="77777777" w:rsidR="00246B51" w:rsidRPr="00F43D5A" w:rsidRDefault="00246B51" w:rsidP="00246B51">
            <w:pPr>
              <w:pStyle w:val="BodyText1"/>
              <w:numPr>
                <w:ilvl w:val="1"/>
                <w:numId w:val="3"/>
              </w:numPr>
              <w:spacing w:line="240" w:lineRule="auto"/>
            </w:pPr>
            <w:r w:rsidRPr="00F43D5A">
              <w:rPr>
                <w:u w:val="single"/>
              </w:rPr>
              <w:t>Where to find it</w:t>
            </w:r>
            <w:r w:rsidRPr="00F43D5A">
              <w:t xml:space="preserve">: SDC </w:t>
            </w:r>
            <w:r w:rsidR="00F4536D">
              <w:t>Table 3</w:t>
            </w:r>
            <w:r w:rsidRPr="00F43D5A">
              <w:t>, admissions – Commercial = 1.208 (0.003) [1.201, 1.214], Medicaid = 1.142 (0.002) [1.138,</w:t>
            </w:r>
            <w:r w:rsidRPr="00F43D5A">
              <w:tab/>
              <w:t>1.147]</w:t>
            </w:r>
          </w:p>
          <w:p w14:paraId="0529E5CE" w14:textId="77777777" w:rsidR="00246B51" w:rsidRPr="00F43D5A" w:rsidRDefault="00246B51" w:rsidP="00246B51">
            <w:pPr>
              <w:pStyle w:val="BodyText1"/>
              <w:numPr>
                <w:ilvl w:val="0"/>
                <w:numId w:val="3"/>
              </w:numPr>
              <w:spacing w:line="240" w:lineRule="auto"/>
            </w:pPr>
            <w:r w:rsidRPr="00F43D5A">
              <w:t>Use 2006 annual overall PFR, separate for commercially-insured and Medicaid admissions.</w:t>
            </w:r>
          </w:p>
          <w:p w14:paraId="3361CF9A" w14:textId="77777777" w:rsidR="00246B51" w:rsidRPr="00F43D5A" w:rsidRDefault="00246B51" w:rsidP="00246B51">
            <w:pPr>
              <w:pStyle w:val="BodyText1"/>
              <w:numPr>
                <w:ilvl w:val="1"/>
                <w:numId w:val="3"/>
              </w:numPr>
              <w:spacing w:line="240" w:lineRule="auto"/>
            </w:pPr>
            <w:r w:rsidRPr="00F43D5A">
              <w:rPr>
                <w:u w:val="single"/>
              </w:rPr>
              <w:t>Where to find it</w:t>
            </w:r>
            <w:r w:rsidRPr="00F43D5A">
              <w:t xml:space="preserve">: Table 3, admissions – Commercial = </w:t>
            </w:r>
            <w:r w:rsidRPr="00F43D5A">
              <w:lastRenderedPageBreak/>
              <w:t>1.336 (0.000) [1.335,1.337], Medicaid = 1.196 (0.000) [1.195,1.197]</w:t>
            </w:r>
          </w:p>
          <w:p w14:paraId="4A661086" w14:textId="77777777" w:rsidR="00246B51" w:rsidRPr="00F43D5A" w:rsidRDefault="00246B51" w:rsidP="00246B51">
            <w:pPr>
              <w:pStyle w:val="BodyText1"/>
              <w:spacing w:line="240" w:lineRule="auto"/>
              <w:ind w:left="720" w:firstLine="0"/>
            </w:pPr>
          </w:p>
        </w:tc>
      </w:tr>
    </w:tbl>
    <w:p w14:paraId="0F7FED6B" w14:textId="77777777" w:rsidR="00000055" w:rsidRDefault="00000055" w:rsidP="00246B51">
      <w:pPr>
        <w:spacing w:line="240" w:lineRule="auto"/>
      </w:pPr>
    </w:p>
    <w:sectPr w:rsidR="000000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D5C3" w14:textId="77777777" w:rsidR="00000055" w:rsidRDefault="00000055" w:rsidP="00246B51">
      <w:pPr>
        <w:spacing w:after="0" w:line="240" w:lineRule="auto"/>
      </w:pPr>
      <w:r>
        <w:separator/>
      </w:r>
    </w:p>
  </w:endnote>
  <w:endnote w:type="continuationSeparator" w:id="0">
    <w:p w14:paraId="1300DB9E" w14:textId="77777777" w:rsidR="00000055" w:rsidRDefault="00000055" w:rsidP="0024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188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1E32052" w14:textId="77777777" w:rsidR="00000055" w:rsidRPr="00246B51" w:rsidRDefault="00000055">
        <w:pPr>
          <w:pStyle w:val="Footer"/>
          <w:jc w:val="right"/>
          <w:rPr>
            <w:rFonts w:ascii="Times New Roman" w:hAnsi="Times New Roman"/>
          </w:rPr>
        </w:pPr>
        <w:r w:rsidRPr="00246B51">
          <w:rPr>
            <w:rFonts w:ascii="Times New Roman" w:hAnsi="Times New Roman"/>
          </w:rPr>
          <w:fldChar w:fldCharType="begin"/>
        </w:r>
        <w:r w:rsidRPr="00246B51">
          <w:rPr>
            <w:rFonts w:ascii="Times New Roman" w:hAnsi="Times New Roman"/>
          </w:rPr>
          <w:instrText xml:space="preserve"> PAGE   \* MERGEFORMAT </w:instrText>
        </w:r>
        <w:r w:rsidRPr="00246B51">
          <w:rPr>
            <w:rFonts w:ascii="Times New Roman" w:hAnsi="Times New Roman"/>
          </w:rPr>
          <w:fldChar w:fldCharType="separate"/>
        </w:r>
        <w:r w:rsidR="002E03D2">
          <w:rPr>
            <w:rFonts w:ascii="Times New Roman" w:hAnsi="Times New Roman"/>
            <w:noProof/>
          </w:rPr>
          <w:t>2</w:t>
        </w:r>
        <w:r w:rsidRPr="00246B51">
          <w:rPr>
            <w:rFonts w:ascii="Times New Roman" w:hAnsi="Times New Roman"/>
            <w:noProof/>
          </w:rPr>
          <w:fldChar w:fldCharType="end"/>
        </w:r>
      </w:p>
    </w:sdtContent>
  </w:sdt>
  <w:p w14:paraId="115BC162" w14:textId="77777777" w:rsidR="00000055" w:rsidRDefault="000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AA5B" w14:textId="77777777" w:rsidR="00000055" w:rsidRDefault="00000055" w:rsidP="00246B51">
      <w:pPr>
        <w:spacing w:after="0" w:line="240" w:lineRule="auto"/>
      </w:pPr>
      <w:r>
        <w:separator/>
      </w:r>
    </w:p>
  </w:footnote>
  <w:footnote w:type="continuationSeparator" w:id="0">
    <w:p w14:paraId="7A1130B4" w14:textId="77777777" w:rsidR="00000055" w:rsidRDefault="00000055" w:rsidP="0024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339DB"/>
    <w:multiLevelType w:val="hybridMultilevel"/>
    <w:tmpl w:val="893C3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F21134"/>
    <w:multiLevelType w:val="hybridMultilevel"/>
    <w:tmpl w:val="8E44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05A9"/>
    <w:multiLevelType w:val="hybridMultilevel"/>
    <w:tmpl w:val="8EA0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51"/>
    <w:rsid w:val="00000055"/>
    <w:rsid w:val="00023152"/>
    <w:rsid w:val="00131F68"/>
    <w:rsid w:val="002077EF"/>
    <w:rsid w:val="00246B51"/>
    <w:rsid w:val="00290B53"/>
    <w:rsid w:val="002A7258"/>
    <w:rsid w:val="002E03D2"/>
    <w:rsid w:val="005B4B32"/>
    <w:rsid w:val="0079489D"/>
    <w:rsid w:val="007B4645"/>
    <w:rsid w:val="0095711E"/>
    <w:rsid w:val="009F5B93"/>
    <w:rsid w:val="00AD3D0E"/>
    <w:rsid w:val="00BB3047"/>
    <w:rsid w:val="00C8077F"/>
    <w:rsid w:val="00E422B9"/>
    <w:rsid w:val="00E65BAD"/>
    <w:rsid w:val="00F4536D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8F12"/>
  <w15:docId w15:val="{2D1701B8-8560-444F-84DB-28484E1E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B51"/>
    <w:rPr>
      <w:rFonts w:ascii="Calibri" w:eastAsia="Times New Roman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246B51"/>
    <w:pPr>
      <w:keepNext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B51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246B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1Char"/>
    <w:qFormat/>
    <w:rsid w:val="00246B51"/>
    <w:pPr>
      <w:tabs>
        <w:tab w:val="left" w:pos="-3060"/>
      </w:tabs>
      <w:spacing w:after="0" w:line="48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1Char">
    <w:name w:val="Body Text1 Char"/>
    <w:basedOn w:val="DefaultParagraphFont"/>
    <w:link w:val="BodyText1"/>
    <w:rsid w:val="00246B5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A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A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</dc:creator>
  <cp:lastModifiedBy>Peterson, Cora (CDC/ONDIEH/NCIPC)</cp:lastModifiedBy>
  <cp:revision>2</cp:revision>
  <dcterms:created xsi:type="dcterms:W3CDTF">2015-09-16T11:40:00Z</dcterms:created>
  <dcterms:modified xsi:type="dcterms:W3CDTF">2015-09-16T11:40:00Z</dcterms:modified>
</cp:coreProperties>
</file>