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13" w:rsidRPr="00FF1BE4" w:rsidRDefault="00885853">
      <w:pPr>
        <w:rPr>
          <w:b/>
        </w:rPr>
      </w:pPr>
      <w:r w:rsidRPr="00FF1BE4">
        <w:rPr>
          <w:b/>
        </w:rPr>
        <w:t>Technical Appendix:  A cost-benefit analysis of a proposed overseas refugee latent tuberculosis infection screening and treatment program</w:t>
      </w:r>
    </w:p>
    <w:p w:rsidR="001C21D8" w:rsidRDefault="001C21D8"/>
    <w:p w:rsidR="001C21D8" w:rsidRDefault="001C21D8" w:rsidP="001C21D8">
      <w:pPr>
        <w:spacing w:after="0" w:line="240" w:lineRule="auto"/>
      </w:pPr>
      <w:r>
        <w:t xml:space="preserve">La’Marcus T. Wingate, Margaret S. Coleman, Christopher de la Motte Hurst, Marie Semple, Weigong Zhou, Martin S. Cetron, John A. </w:t>
      </w:r>
      <w:r w:rsidR="00147627">
        <w:t>Painter</w:t>
      </w:r>
    </w:p>
    <w:p w:rsidR="00D2452A" w:rsidRDefault="00D2452A" w:rsidP="001C21D8">
      <w:pPr>
        <w:spacing w:after="0" w:line="240" w:lineRule="auto"/>
      </w:pPr>
    </w:p>
    <w:p w:rsidR="00147627" w:rsidRDefault="00147627" w:rsidP="001C21D8">
      <w:pPr>
        <w:spacing w:after="0" w:line="240" w:lineRule="auto"/>
      </w:pPr>
    </w:p>
    <w:p w:rsidR="00351459" w:rsidRDefault="00351459"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A736AD" w:rsidRDefault="00A736AD"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FF1BE4" w:rsidRDefault="00FF1BE4"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p>
    <w:p w:rsidR="001C21D8" w:rsidRDefault="001C21D8" w:rsidP="001C21D8">
      <w:pPr>
        <w:spacing w:after="0" w:line="240" w:lineRule="auto"/>
      </w:pPr>
      <w:r>
        <w:t xml:space="preserve">Corresponding Author:  La’Marcus T. Wingate :  </w:t>
      </w:r>
      <w:hyperlink r:id="rId6" w:history="1">
        <w:r w:rsidRPr="003053B2">
          <w:rPr>
            <w:rStyle w:val="Hyperlink"/>
          </w:rPr>
          <w:t>latewing@gmail.com</w:t>
        </w:r>
      </w:hyperlink>
    </w:p>
    <w:p w:rsidR="001C21D8" w:rsidRDefault="001C21D8" w:rsidP="001C21D8">
      <w:pPr>
        <w:spacing w:after="0" w:line="240" w:lineRule="auto"/>
      </w:pPr>
    </w:p>
    <w:p w:rsidR="001C21D8" w:rsidRDefault="001C21D8" w:rsidP="001C21D8">
      <w:pPr>
        <w:spacing w:after="0" w:line="240" w:lineRule="auto"/>
      </w:pPr>
    </w:p>
    <w:p w:rsidR="001C21D8" w:rsidRPr="007A09C7" w:rsidRDefault="001C21D8" w:rsidP="001C21D8">
      <w:pPr>
        <w:spacing w:after="0" w:line="240" w:lineRule="auto"/>
      </w:pPr>
      <w:r w:rsidRPr="007A09C7">
        <w:rPr>
          <w:b/>
        </w:rPr>
        <w:t>Disclaimer:</w:t>
      </w:r>
      <w:r w:rsidRPr="007A09C7">
        <w:t xml:space="preserve"> The findings and conclusions in this manuscript are those of the authors and do not necessarily represent the official position of the Centers for Disease Control and Prevention or the U.S. Department of Health and Human Services. </w:t>
      </w:r>
    </w:p>
    <w:p w:rsidR="001C21D8" w:rsidRDefault="001C21D8" w:rsidP="001C21D8">
      <w:pPr>
        <w:spacing w:after="0" w:line="240" w:lineRule="auto"/>
        <w:rPr>
          <w:vertAlign w:val="superscript"/>
        </w:rPr>
      </w:pPr>
    </w:p>
    <w:p w:rsidR="00EF08F8" w:rsidRPr="00A736AD" w:rsidRDefault="00A736AD">
      <w:pPr>
        <w:rPr>
          <w:b/>
        </w:rPr>
      </w:pPr>
      <w:r w:rsidRPr="00A736AD">
        <w:rPr>
          <w:b/>
        </w:rPr>
        <w:lastRenderedPageBreak/>
        <w:t>Section 1:  Overview of decision tree and Markov modelling</w:t>
      </w:r>
    </w:p>
    <w:p w:rsidR="00EF08F8" w:rsidRDefault="00EF08F8">
      <w:r>
        <w:t xml:space="preserve">Figure 1 depicts an overview of the decision tree used </w:t>
      </w:r>
      <w:r w:rsidR="00C50613">
        <w:t xml:space="preserve">to compare the costs </w:t>
      </w:r>
      <w:r w:rsidR="00A736AD">
        <w:t>and benefits</w:t>
      </w:r>
      <w:r w:rsidR="00C50613">
        <w:t xml:space="preserve"> of two protocols for treating latent tuberculosis infection (LTBI) in U</w:t>
      </w:r>
      <w:r w:rsidR="00FF1BE4">
        <w:t>.</w:t>
      </w:r>
      <w:r w:rsidR="00C50613">
        <w:t>S</w:t>
      </w:r>
      <w:r w:rsidR="00FF1BE4">
        <w:t>.</w:t>
      </w:r>
      <w:r w:rsidR="00C50613">
        <w:t>-bound refugees.  All refugees are in one of three conditions at the beginning</w:t>
      </w:r>
      <w:r w:rsidR="006307AF">
        <w:t>:</w:t>
      </w:r>
      <w:r w:rsidR="00C50613">
        <w:t xml:space="preserve"> active tuberculosis (TB) disease, LTBI, or no tuberculosis infection.  </w:t>
      </w:r>
      <w:r w:rsidR="00DF55D3">
        <w:t>T</w:t>
      </w:r>
      <w:r w:rsidR="00C50613">
        <w:t>he current protocol</w:t>
      </w:r>
      <w:r w:rsidR="00DF55D3">
        <w:t xml:space="preserve"> incorporates screening for active TB disease with a chest </w:t>
      </w:r>
      <w:r w:rsidR="00A736AD">
        <w:t>radiograph overseas</w:t>
      </w:r>
      <w:r w:rsidR="00B152AC">
        <w:t xml:space="preserve">.  </w:t>
      </w:r>
      <w:r w:rsidR="00A736AD">
        <w:t>The vast majority of</w:t>
      </w:r>
      <w:r w:rsidR="00B152AC">
        <w:t xml:space="preserve"> refugees with active</w:t>
      </w:r>
      <w:r w:rsidR="00556B20">
        <w:t xml:space="preserve"> TB</w:t>
      </w:r>
      <w:r w:rsidR="00B152AC">
        <w:t xml:space="preserve"> disease </w:t>
      </w:r>
      <w:r w:rsidR="00A736AD">
        <w:t>at the time of screening</w:t>
      </w:r>
      <w:r w:rsidR="00B152AC">
        <w:t xml:space="preserve"> are </w:t>
      </w:r>
      <w:r w:rsidR="002732BA">
        <w:t xml:space="preserve">assumed to be </w:t>
      </w:r>
      <w:r w:rsidR="00B152AC">
        <w:t xml:space="preserve">diagnosed overseas and treated </w:t>
      </w:r>
      <w:r w:rsidR="00556B20">
        <w:t xml:space="preserve">to cure </w:t>
      </w:r>
      <w:r w:rsidR="00B152AC">
        <w:t xml:space="preserve">before departure.  However, refugees with LTBI or no TB infection may also have an abnormal </w:t>
      </w:r>
      <w:r w:rsidR="00A736AD">
        <w:t>chest radiograph</w:t>
      </w:r>
      <w:r w:rsidR="00B152AC">
        <w:t xml:space="preserve"> overseas, yet not be diagnosed with active TB.  In this case the refugee receives a Class B1 TB designation.</w:t>
      </w:r>
      <w:r w:rsidR="00A736AD" w:rsidRPr="00A736AD">
        <w:rPr>
          <w:vertAlign w:val="superscript"/>
        </w:rPr>
        <w:t>1</w:t>
      </w:r>
      <w:r w:rsidR="00B152AC">
        <w:t xml:space="preserve">  </w:t>
      </w:r>
      <w:r w:rsidR="006B10E7">
        <w:t xml:space="preserve">It is important to note that no LTBI screening takes place overseas under the current protocol. The proposed protocol is similar to the current protocol with the notable exception </w:t>
      </w:r>
      <w:r w:rsidR="006307AF">
        <w:t xml:space="preserve">that </w:t>
      </w:r>
      <w:r w:rsidR="006B10E7">
        <w:t xml:space="preserve"> LTBI screening </w:t>
      </w:r>
      <w:r w:rsidR="006307AF">
        <w:t>takes</w:t>
      </w:r>
      <w:r w:rsidR="006B10E7">
        <w:t xml:space="preserve"> place </w:t>
      </w:r>
      <w:r w:rsidR="00907E7C">
        <w:t xml:space="preserve">overseas </w:t>
      </w:r>
      <w:r w:rsidR="006B10E7">
        <w:t xml:space="preserve">via administration of a </w:t>
      </w:r>
      <w:r w:rsidR="002732BA">
        <w:t>tuberculin skin test (</w:t>
      </w:r>
      <w:r w:rsidR="006B10E7">
        <w:t>TST</w:t>
      </w:r>
      <w:r w:rsidR="002732BA">
        <w:t>)</w:t>
      </w:r>
      <w:r w:rsidR="006B10E7">
        <w:t xml:space="preserve"> for all refugees at the same time as the chest </w:t>
      </w:r>
      <w:r w:rsidR="00A736AD">
        <w:t>radiograph</w:t>
      </w:r>
      <w:r w:rsidR="006B10E7">
        <w:t xml:space="preserve">. </w:t>
      </w:r>
    </w:p>
    <w:p w:rsidR="008E22C2" w:rsidRDefault="008E22C2">
      <w:r w:rsidRPr="008E22C2">
        <w:rPr>
          <w:noProof/>
        </w:rPr>
        <w:drawing>
          <wp:inline distT="0" distB="0" distL="0" distR="0" wp14:anchorId="1F57A4CE" wp14:editId="5BA1B2C0">
            <wp:extent cx="3809365" cy="496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4184" cy="4981830"/>
                    </a:xfrm>
                    <a:prstGeom prst="rect">
                      <a:avLst/>
                    </a:prstGeom>
                  </pic:spPr>
                </pic:pic>
              </a:graphicData>
            </a:graphic>
          </wp:inline>
        </w:drawing>
      </w:r>
    </w:p>
    <w:p w:rsidR="008E22C2" w:rsidRDefault="008E22C2"/>
    <w:p w:rsidR="00DB1D1E" w:rsidRDefault="00907E7C">
      <w:r>
        <w:t>Figure</w:t>
      </w:r>
      <w:r w:rsidR="006307AF">
        <w:t xml:space="preserve"> </w:t>
      </w:r>
      <w:r>
        <w:t xml:space="preserve">1:  Overview of decision tree for comparison of two protocols for </w:t>
      </w:r>
      <w:r w:rsidR="00556B20">
        <w:t xml:space="preserve">screening </w:t>
      </w:r>
      <w:r>
        <w:t>treating LTBI in U.S.</w:t>
      </w:r>
      <w:r w:rsidR="002732BA">
        <w:t xml:space="preserve"> </w:t>
      </w:r>
      <w:r>
        <w:t>bound refugees</w:t>
      </w:r>
    </w:p>
    <w:p w:rsidR="00907E7C" w:rsidRDefault="00907E7C">
      <w:r>
        <w:lastRenderedPageBreak/>
        <w:t>All refug</w:t>
      </w:r>
      <w:r w:rsidR="006307AF">
        <w:t xml:space="preserve">ees are encouraged to present </w:t>
      </w:r>
      <w:r w:rsidR="00556B20">
        <w:t>to their receiving state or local health departments for follow-up medical evaluations after U.S. arrival</w:t>
      </w:r>
      <w:r>
        <w:t xml:space="preserve">.  </w:t>
      </w:r>
      <w:r w:rsidR="00556B20">
        <w:t xml:space="preserve">Figure </w:t>
      </w:r>
      <w:r w:rsidR="00AA1CF9">
        <w:t>2</w:t>
      </w:r>
      <w:r w:rsidR="00556B20">
        <w:t xml:space="preserve"> presents a diagram of how screening for LTBI takes place in the current protocol during this follow-up.  </w:t>
      </w:r>
      <w:r>
        <w:t xml:space="preserve">As shown in </w:t>
      </w:r>
      <w:r w:rsidR="0000006C">
        <w:t>this portion of the decision tree, there is a probability that some refugees would not present for these medical evaluations.</w:t>
      </w:r>
      <w:r w:rsidR="002732BA" w:rsidRPr="002732BA">
        <w:rPr>
          <w:vertAlign w:val="superscript"/>
        </w:rPr>
        <w:t>2</w:t>
      </w:r>
      <w:r w:rsidR="0000006C">
        <w:t xml:space="preserve">   For those refugees </w:t>
      </w:r>
      <w:r w:rsidR="00556B20">
        <w:t xml:space="preserve">that do present for </w:t>
      </w:r>
      <w:r w:rsidR="0000006C">
        <w:t xml:space="preserve">follow-up examinations in the U.S., there is a chance that some of them may not be screened for LTBI.  If refugees are screened for LTBI, there is a chance they could have a positive or negative test.  </w:t>
      </w:r>
      <w:r w:rsidR="00727AEE">
        <w:t xml:space="preserve">If the TST is positive, then refugees may either decline or accept treatment.  In our base case analysis, the refugee is offered treatment with </w:t>
      </w:r>
      <w:r w:rsidR="002732BA">
        <w:t xml:space="preserve">a </w:t>
      </w:r>
      <w:r w:rsidR="00727AEE">
        <w:t>12 week isoniazid rifapentine regimen</w:t>
      </w:r>
      <w:r w:rsidR="00711F03">
        <w:t xml:space="preserve"> (3HP)</w:t>
      </w:r>
      <w:r w:rsidR="00727AEE">
        <w:t xml:space="preserve">.  If the refugee accepts treatment, there is a chance that some refugees may not complete treatment.  </w:t>
      </w:r>
    </w:p>
    <w:p w:rsidR="0062179C" w:rsidRDefault="0062179C">
      <w:r w:rsidRPr="0062179C">
        <w:rPr>
          <w:noProof/>
        </w:rPr>
        <w:drawing>
          <wp:inline distT="0" distB="0" distL="0" distR="0" wp14:anchorId="0C90D134" wp14:editId="12CC743D">
            <wp:extent cx="5943600" cy="2165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65350"/>
                    </a:xfrm>
                    <a:prstGeom prst="rect">
                      <a:avLst/>
                    </a:prstGeom>
                  </pic:spPr>
                </pic:pic>
              </a:graphicData>
            </a:graphic>
          </wp:inline>
        </w:drawing>
      </w:r>
    </w:p>
    <w:p w:rsidR="0062179C" w:rsidRDefault="0062179C"/>
    <w:p w:rsidR="0062179C" w:rsidRDefault="0062179C"/>
    <w:p w:rsidR="0062179C" w:rsidRDefault="00B776D1">
      <w:r>
        <w:t xml:space="preserve">Figure 2:  </w:t>
      </w:r>
      <w:r w:rsidR="00921A52">
        <w:t>LTBI</w:t>
      </w:r>
      <w:r>
        <w:t xml:space="preserve"> screening for U.S. bound refugees under the current protocol</w:t>
      </w:r>
      <w:r w:rsidR="007F6F37">
        <w:t xml:space="preserve"> of no overseas screening or treatment for latent tuberculosis infection</w:t>
      </w:r>
    </w:p>
    <w:p w:rsidR="0062179C" w:rsidRDefault="0062179C"/>
    <w:p w:rsidR="0062179C" w:rsidRDefault="0062179C"/>
    <w:p w:rsidR="0062179C" w:rsidRDefault="0062179C"/>
    <w:p w:rsidR="0062179C" w:rsidRDefault="0062179C"/>
    <w:p w:rsidR="0062179C" w:rsidRDefault="0062179C"/>
    <w:p w:rsidR="0062179C" w:rsidRDefault="0062179C"/>
    <w:p w:rsidR="002732BA" w:rsidRDefault="002732BA"/>
    <w:p w:rsidR="002732BA" w:rsidRDefault="002732BA"/>
    <w:p w:rsidR="0062179C" w:rsidRDefault="0062179C"/>
    <w:p w:rsidR="0062179C" w:rsidRDefault="0062179C"/>
    <w:p w:rsidR="0062179C" w:rsidRDefault="00727AEE">
      <w:r>
        <w:lastRenderedPageBreak/>
        <w:t xml:space="preserve">Figure </w:t>
      </w:r>
      <w:r w:rsidR="00AA1CF9">
        <w:t>3</w:t>
      </w:r>
      <w:r>
        <w:t xml:space="preserve"> presents a diagram of how </w:t>
      </w:r>
      <w:r w:rsidR="002732BA">
        <w:t>LTBI</w:t>
      </w:r>
      <w:r>
        <w:t xml:space="preserve"> screening takes place under the proposed protocol.   As with the current protocol, all refugees receive a chest </w:t>
      </w:r>
      <w:r w:rsidR="00A736AD">
        <w:t>radiograph</w:t>
      </w:r>
      <w:r>
        <w:t xml:space="preserve"> </w:t>
      </w:r>
      <w:r w:rsidR="00711F03">
        <w:t>overseas</w:t>
      </w:r>
      <w:r>
        <w:t xml:space="preserve"> to screen for active TB, but </w:t>
      </w:r>
      <w:r w:rsidR="00711F03">
        <w:t>the proposed protocol implements screening for LTBI overseas as well</w:t>
      </w:r>
      <w:r w:rsidR="003D5745">
        <w:t xml:space="preserve"> using the TST test</w:t>
      </w:r>
      <w:r w:rsidR="00711F03">
        <w:t>.  If refugee</w:t>
      </w:r>
      <w:r w:rsidR="00132451">
        <w:t xml:space="preserve">s </w:t>
      </w:r>
      <w:r w:rsidR="00711F03">
        <w:t>ha</w:t>
      </w:r>
      <w:r w:rsidR="00132451">
        <w:t>ve</w:t>
      </w:r>
      <w:r w:rsidR="00711F03">
        <w:t xml:space="preserve"> a positive TST overseas, they are offered treatment with 3HP </w:t>
      </w:r>
      <w:r w:rsidR="002732BA">
        <w:t>at that time</w:t>
      </w:r>
      <w:r w:rsidR="00711F03">
        <w:t xml:space="preserve">.  </w:t>
      </w:r>
      <w:r w:rsidR="00132451">
        <w:t>R</w:t>
      </w:r>
      <w:r w:rsidR="00711F03">
        <w:t>efugee</w:t>
      </w:r>
      <w:r w:rsidR="00132451">
        <w:t>s</w:t>
      </w:r>
      <w:r w:rsidR="00711F03">
        <w:t xml:space="preserve"> ha</w:t>
      </w:r>
      <w:r w:rsidR="00132451">
        <w:t>ve</w:t>
      </w:r>
      <w:r w:rsidR="00711F03">
        <w:t xml:space="preserve"> the </w:t>
      </w:r>
      <w:r w:rsidR="00132451">
        <w:t xml:space="preserve">opportunity </w:t>
      </w:r>
      <w:r w:rsidR="00711F03">
        <w:t xml:space="preserve">to either </w:t>
      </w:r>
      <w:r w:rsidR="002732BA">
        <w:t>decline or</w:t>
      </w:r>
      <w:r w:rsidR="00E5736A">
        <w:t xml:space="preserve"> accept treatment overseas. </w:t>
      </w:r>
      <w:r w:rsidR="00167B51">
        <w:t xml:space="preserve"> </w:t>
      </w:r>
      <w:r w:rsidR="00286F7F">
        <w:t>Previous data indicates that the acceptance and completion rates for refugees overseas with presumptive treatment for intestinal parasites, a voluntary program, is very high.</w:t>
      </w:r>
      <w:r w:rsidR="00286F7F" w:rsidRPr="00286F7F">
        <w:rPr>
          <w:vertAlign w:val="superscript"/>
        </w:rPr>
        <w:t>3</w:t>
      </w:r>
      <w:r w:rsidR="00286F7F">
        <w:t xml:space="preserve">  </w:t>
      </w:r>
      <w:r w:rsidR="003D5745">
        <w:t>I</w:t>
      </w:r>
      <w:r w:rsidR="00167B51">
        <w:t>n our base case analysis we assume that</w:t>
      </w:r>
      <w:r w:rsidR="003D5745">
        <w:t xml:space="preserve"> five percent</w:t>
      </w:r>
      <w:r w:rsidR="005B6112">
        <w:t xml:space="preserve"> of refugees</w:t>
      </w:r>
      <w:r w:rsidR="003D5745">
        <w:t xml:space="preserve"> </w:t>
      </w:r>
      <w:r w:rsidR="00E01BDC">
        <w:t xml:space="preserve">are unable to complete therapy </w:t>
      </w:r>
      <w:r w:rsidR="00132451">
        <w:t xml:space="preserve">overseas </w:t>
      </w:r>
      <w:r w:rsidR="00E01BDC">
        <w:t xml:space="preserve">due to </w:t>
      </w:r>
      <w:r w:rsidR="00E01BDC" w:rsidRPr="00132451">
        <w:t xml:space="preserve">side </w:t>
      </w:r>
      <w:r w:rsidR="00132451" w:rsidRPr="00132451">
        <w:t>effects.</w:t>
      </w:r>
      <w:r w:rsidR="00132451" w:rsidRPr="00132451">
        <w:rPr>
          <w:vertAlign w:val="superscript"/>
        </w:rPr>
        <w:t>4</w:t>
      </w:r>
      <w:r w:rsidR="00132451" w:rsidRPr="00132451">
        <w:t xml:space="preserve"> Accordingly</w:t>
      </w:r>
      <w:r w:rsidR="00E01BDC" w:rsidRPr="00132451">
        <w:t xml:space="preserve">, with </w:t>
      </w:r>
      <w:r w:rsidR="00132451" w:rsidRPr="00132451">
        <w:t>overseas</w:t>
      </w:r>
      <w:r w:rsidR="00E01BDC" w:rsidRPr="00132451">
        <w:t xml:space="preserve"> screening and treatment, there will be three primary reasons why individuals </w:t>
      </w:r>
      <w:r w:rsidR="006307AF" w:rsidRPr="00132451">
        <w:t>do not</w:t>
      </w:r>
      <w:r w:rsidR="00E01BDC" w:rsidRPr="00132451">
        <w:t xml:space="preserve"> complete</w:t>
      </w:r>
      <w:r w:rsidR="00E01BDC">
        <w:t xml:space="preserve"> treatment overseas:  pregnancy, medical contraindications to staring therapy, or a side effect that would preclude them from completing therapy.  Therefore, there would be no need for rescreening of LTBI in the U.S.  A refugee could also have a negative TST test overseas.  In </w:t>
      </w:r>
      <w:r w:rsidR="003D5745">
        <w:t xml:space="preserve">the event that a refugee </w:t>
      </w:r>
      <w:r w:rsidR="00E82BF2">
        <w:t>has a negative LTBLI test overseas</w:t>
      </w:r>
      <w:r w:rsidR="00E01BDC">
        <w:t xml:space="preserve">, </w:t>
      </w:r>
      <w:r w:rsidR="00487BA1">
        <w:t xml:space="preserve">they would </w:t>
      </w:r>
      <w:r w:rsidR="00B776D1">
        <w:t xml:space="preserve">be encouraged to proceed to follow-up medical evaluations in the U.S. with a chance for subsequent testing and treatment.  </w:t>
      </w:r>
    </w:p>
    <w:p w:rsidR="004B7EBC" w:rsidRDefault="004B7EBC"/>
    <w:p w:rsidR="004B7EBC" w:rsidRDefault="004B7EBC">
      <w:r w:rsidRPr="004B7EBC">
        <w:rPr>
          <w:noProof/>
        </w:rPr>
        <w:drawing>
          <wp:inline distT="0" distB="0" distL="0" distR="0" wp14:anchorId="71CC7DC0" wp14:editId="18A1B213">
            <wp:extent cx="5943600" cy="2848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48610"/>
                    </a:xfrm>
                    <a:prstGeom prst="rect">
                      <a:avLst/>
                    </a:prstGeom>
                  </pic:spPr>
                </pic:pic>
              </a:graphicData>
            </a:graphic>
          </wp:inline>
        </w:drawing>
      </w:r>
    </w:p>
    <w:p w:rsidR="0062179C" w:rsidRDefault="0062179C"/>
    <w:p w:rsidR="0062179C" w:rsidRDefault="00221132">
      <w:r>
        <w:t xml:space="preserve">Figure </w:t>
      </w:r>
      <w:r w:rsidR="00B03AF6">
        <w:t xml:space="preserve">3:  </w:t>
      </w:r>
      <w:r w:rsidR="00921A52">
        <w:t>LTBI</w:t>
      </w:r>
      <w:r w:rsidR="007F6F37">
        <w:t xml:space="preserve"> screening</w:t>
      </w:r>
      <w:r w:rsidR="003D5745">
        <w:t xml:space="preserve"> and treatment </w:t>
      </w:r>
      <w:r w:rsidR="007F6F37">
        <w:t>for U.S. bound refugees under the proposed protocol incorporating overseas screening and treatment for latent tuberculosis infection</w:t>
      </w:r>
    </w:p>
    <w:p w:rsidR="0062179C" w:rsidRDefault="0062179C"/>
    <w:p w:rsidR="0062179C" w:rsidRDefault="0062179C"/>
    <w:p w:rsidR="005B6112" w:rsidRDefault="005B6112"/>
    <w:p w:rsidR="005B6112" w:rsidRDefault="005B6112"/>
    <w:p w:rsidR="005B6112" w:rsidRDefault="005B6112"/>
    <w:p w:rsidR="00F50F59" w:rsidRDefault="006B7D13">
      <w:r>
        <w:lastRenderedPageBreak/>
        <w:t xml:space="preserve">Figure </w:t>
      </w:r>
      <w:r w:rsidR="00AA1CF9">
        <w:t>4</w:t>
      </w:r>
      <w:r>
        <w:t xml:space="preserve"> depicts the Markov node for an individual with untreated </w:t>
      </w:r>
      <w:r w:rsidR="002732BA">
        <w:t>LTBI</w:t>
      </w:r>
      <w:r w:rsidR="00AE6AF6">
        <w:t xml:space="preserve"> and an abnormal chest radiograph overseas (Class B1).  This applies to the current and proposed protocols.  </w:t>
      </w:r>
      <w:r w:rsidR="00814B56">
        <w:t xml:space="preserve">For </w:t>
      </w:r>
      <w:r w:rsidR="00F50F59">
        <w:t>Class B1 refugees</w:t>
      </w:r>
      <w:r w:rsidR="00D96670">
        <w:t xml:space="preserve">, </w:t>
      </w:r>
      <w:r w:rsidR="007A14F8">
        <w:t>a</w:t>
      </w:r>
      <w:r w:rsidR="00D96670">
        <w:t xml:space="preserve"> small portion (1.5%) </w:t>
      </w:r>
      <w:r w:rsidR="00814B56">
        <w:t xml:space="preserve">have imported TB during their first year in the U.S, and everyone else is </w:t>
      </w:r>
      <w:r w:rsidR="006307AF">
        <w:t xml:space="preserve">in </w:t>
      </w:r>
      <w:r w:rsidR="00AE6AF6">
        <w:t xml:space="preserve">the </w:t>
      </w:r>
      <w:r w:rsidR="006307AF">
        <w:t>untreated LTBI</w:t>
      </w:r>
      <w:r w:rsidR="00421DF8">
        <w:t xml:space="preserve"> </w:t>
      </w:r>
      <w:r w:rsidR="00AE6AF6">
        <w:t xml:space="preserve">state </w:t>
      </w:r>
      <w:r w:rsidR="00421DF8">
        <w:t>at the beginning</w:t>
      </w:r>
      <w:r w:rsidR="00814B56">
        <w:t>.</w:t>
      </w:r>
      <w:r w:rsidR="00B35F61" w:rsidRPr="00B35F61">
        <w:rPr>
          <w:vertAlign w:val="superscript"/>
        </w:rPr>
        <w:t>5</w:t>
      </w:r>
      <w:r w:rsidR="007A14F8">
        <w:t xml:space="preserve">  Many of </w:t>
      </w:r>
      <w:r w:rsidR="00814B56">
        <w:t>the imported TB cases</w:t>
      </w:r>
      <w:r w:rsidR="00F50F59">
        <w:t xml:space="preserve"> within</w:t>
      </w:r>
      <w:r w:rsidR="00814B56">
        <w:t xml:space="preserve"> the first year are likely cases that were present at the time the refugee was overseas</w:t>
      </w:r>
      <w:r w:rsidR="007A14F8">
        <w:t xml:space="preserve">.  </w:t>
      </w:r>
      <w:r w:rsidR="00814B56">
        <w:t xml:space="preserve">Refugees </w:t>
      </w:r>
      <w:r w:rsidR="002732BA">
        <w:t>with untreated LTBI</w:t>
      </w:r>
      <w:r w:rsidR="007A14F8">
        <w:t xml:space="preserve"> disease have an annual probability of 0.1% to convert to active TB.</w:t>
      </w:r>
      <w:r w:rsidR="00132451" w:rsidRPr="00132451">
        <w:rPr>
          <w:vertAlign w:val="superscript"/>
        </w:rPr>
        <w:t>6</w:t>
      </w:r>
      <w:r w:rsidR="00DC604E">
        <w:rPr>
          <w:vertAlign w:val="superscript"/>
        </w:rPr>
        <w:t>,7</w:t>
      </w:r>
      <w:r w:rsidR="007A14F8">
        <w:t xml:space="preserve">  For individuals that complete treatment</w:t>
      </w:r>
      <w:r w:rsidR="00814B56">
        <w:t xml:space="preserve"> with 3HP</w:t>
      </w:r>
      <w:r w:rsidR="007A14F8">
        <w:t>, their chance of convert</w:t>
      </w:r>
      <w:r w:rsidR="00814B56">
        <w:t>ing</w:t>
      </w:r>
      <w:r w:rsidR="007A14F8">
        <w:t xml:space="preserve"> to active TB is reduced by 93%.</w:t>
      </w:r>
      <w:r w:rsidR="00DC604E" w:rsidRPr="00DC604E">
        <w:rPr>
          <w:vertAlign w:val="superscript"/>
        </w:rPr>
        <w:t>8</w:t>
      </w:r>
      <w:r w:rsidR="007A14F8">
        <w:t xml:space="preserve">  </w:t>
      </w:r>
    </w:p>
    <w:p w:rsidR="00421DF8" w:rsidRDefault="00421DF8">
      <w:r>
        <w:t xml:space="preserve">The Markov nodes for individuals with untreated latent disease and a normal chest radiography overseas are </w:t>
      </w:r>
      <w:r w:rsidR="00BA0F3B">
        <w:t xml:space="preserve">identical with the exception that all refugees start off in the untreated latent state.  </w:t>
      </w:r>
      <w:r w:rsidR="00AE6AF6">
        <w:t>The probability of conversion to active TB is also 0.1% for these refugees and the 3HP is 93% effective.</w:t>
      </w:r>
    </w:p>
    <w:p w:rsidR="00F50F59" w:rsidRDefault="00F50F59">
      <w:r>
        <w:t xml:space="preserve">With the current protocol </w:t>
      </w:r>
      <w:r w:rsidR="00E82BF2">
        <w:t>a refugee</w:t>
      </w:r>
      <w:r>
        <w:t xml:space="preserve"> with </w:t>
      </w:r>
      <w:r w:rsidR="002732BA">
        <w:t>LTBI</w:t>
      </w:r>
      <w:r w:rsidR="00E82BF2">
        <w:t xml:space="preserve"> </w:t>
      </w:r>
      <w:r>
        <w:t xml:space="preserve">could remain untreated for several reasons after U.S. arrival:  failure to present </w:t>
      </w:r>
      <w:r w:rsidR="006307AF">
        <w:t>for</w:t>
      </w:r>
      <w:r>
        <w:t xml:space="preserve"> follow</w:t>
      </w:r>
      <w:r w:rsidR="006307AF">
        <w:t xml:space="preserve"> </w:t>
      </w:r>
      <w:r>
        <w:t>up medical evaluations, not being offered a TST during follow</w:t>
      </w:r>
      <w:r w:rsidR="006307AF">
        <w:t xml:space="preserve"> </w:t>
      </w:r>
      <w:r>
        <w:t>up, a negative TST at medical follow</w:t>
      </w:r>
      <w:r w:rsidR="006307AF">
        <w:t xml:space="preserve"> </w:t>
      </w:r>
      <w:r>
        <w:t xml:space="preserve">up, declining treatment, or incomplete treatment. </w:t>
      </w:r>
      <w:r w:rsidR="00E82BF2">
        <w:t xml:space="preserve"> </w:t>
      </w:r>
      <w:r>
        <w:t xml:space="preserve">With the proposed protocol, a refugee with </w:t>
      </w:r>
      <w:r w:rsidR="002732BA">
        <w:t>LTBI</w:t>
      </w:r>
      <w:r>
        <w:t xml:space="preserve"> could receive a positive TST overseas yet remain untreated by declining treatment or failing to complete treatment.  </w:t>
      </w:r>
      <w:r w:rsidR="00DC604E">
        <w:t>Under the proposed protocol, a</w:t>
      </w:r>
      <w:r>
        <w:t xml:space="preserve"> refugee with </w:t>
      </w:r>
      <w:r w:rsidR="002732BA">
        <w:t xml:space="preserve">LTBI </w:t>
      </w:r>
      <w:r>
        <w:t xml:space="preserve">and a negative TST overseas could remain untreated by failing to present for follow-up evaluations, </w:t>
      </w:r>
      <w:r w:rsidR="00DC604E">
        <w:t>not receiving</w:t>
      </w:r>
      <w:r>
        <w:t xml:space="preserve"> a TST at follow-up, a negative TST during medical follow-up, declining treatment, or incomplete treatment.  </w:t>
      </w:r>
      <w:r w:rsidR="00E82BF2">
        <w:t>The reasons for remaining untreated apply to Class B1 refugees and those with no TB class.</w:t>
      </w:r>
    </w:p>
    <w:p w:rsidR="006B7D13" w:rsidRDefault="00D96670">
      <w:r w:rsidRPr="00D96670">
        <w:rPr>
          <w:noProof/>
        </w:rPr>
        <w:drawing>
          <wp:inline distT="0" distB="0" distL="0" distR="0" wp14:anchorId="3277ED86" wp14:editId="3AF4ED9B">
            <wp:extent cx="4514062" cy="37436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8690" cy="3755793"/>
                    </a:xfrm>
                    <a:prstGeom prst="rect">
                      <a:avLst/>
                    </a:prstGeom>
                  </pic:spPr>
                </pic:pic>
              </a:graphicData>
            </a:graphic>
          </wp:inline>
        </w:drawing>
      </w:r>
    </w:p>
    <w:p w:rsidR="006B7D13" w:rsidRDefault="006B7D13"/>
    <w:p w:rsidR="0062179C" w:rsidRDefault="00592A68">
      <w:r>
        <w:t xml:space="preserve">Figure </w:t>
      </w:r>
      <w:r w:rsidR="00B03AF6">
        <w:t>4</w:t>
      </w:r>
      <w:r>
        <w:t>:  Markov node for individuals with untreated LTBI</w:t>
      </w:r>
    </w:p>
    <w:p w:rsidR="0062179C" w:rsidRPr="00DC604E" w:rsidRDefault="00DC604E">
      <w:pPr>
        <w:rPr>
          <w:b/>
        </w:rPr>
      </w:pPr>
      <w:r w:rsidRPr="00DC604E">
        <w:rPr>
          <w:b/>
        </w:rPr>
        <w:lastRenderedPageBreak/>
        <w:t xml:space="preserve">Section 2:  </w:t>
      </w:r>
      <w:r w:rsidR="00C12016" w:rsidRPr="00DC604E">
        <w:rPr>
          <w:b/>
        </w:rPr>
        <w:t xml:space="preserve">Data </w:t>
      </w:r>
      <w:r>
        <w:rPr>
          <w:b/>
        </w:rPr>
        <w:t>s</w:t>
      </w:r>
      <w:r w:rsidR="00C12016" w:rsidRPr="00DC604E">
        <w:rPr>
          <w:b/>
        </w:rPr>
        <w:t xml:space="preserve">ources for </w:t>
      </w:r>
      <w:r>
        <w:rPr>
          <w:b/>
        </w:rPr>
        <w:t>m</w:t>
      </w:r>
      <w:r w:rsidR="00C12016" w:rsidRPr="00DC604E">
        <w:rPr>
          <w:b/>
        </w:rPr>
        <w:t xml:space="preserve">ajor </w:t>
      </w:r>
      <w:r>
        <w:rPr>
          <w:b/>
        </w:rPr>
        <w:t>e</w:t>
      </w:r>
      <w:r w:rsidR="00C12016" w:rsidRPr="00DC604E">
        <w:rPr>
          <w:b/>
        </w:rPr>
        <w:t xml:space="preserve">pidemiological </w:t>
      </w:r>
      <w:r>
        <w:rPr>
          <w:b/>
        </w:rPr>
        <w:t>p</w:t>
      </w:r>
      <w:r w:rsidR="00C12016" w:rsidRPr="00DC604E">
        <w:rPr>
          <w:b/>
        </w:rPr>
        <w:t>arameters</w:t>
      </w:r>
    </w:p>
    <w:p w:rsidR="00C12016" w:rsidRPr="00DC604E" w:rsidRDefault="00C12016" w:rsidP="00CB6BE8">
      <w:pPr>
        <w:spacing w:after="0"/>
        <w:rPr>
          <w:i/>
        </w:rPr>
      </w:pPr>
      <w:r w:rsidRPr="00DC604E">
        <w:rPr>
          <w:i/>
        </w:rPr>
        <w:t>Prevalence of active TB in refugee camps</w:t>
      </w:r>
    </w:p>
    <w:p w:rsidR="00C12016" w:rsidRDefault="00C12016" w:rsidP="00CB6BE8">
      <w:pPr>
        <w:spacing w:after="0"/>
      </w:pPr>
      <w:r>
        <w:t xml:space="preserve">The prevalence of active TB diagnosed in refugee camps was </w:t>
      </w:r>
      <w:r w:rsidR="00AE1829">
        <w:t>sourced</w:t>
      </w:r>
      <w:r>
        <w:t xml:space="preserve"> from the Migration Health Report produced by the International Organization of Migration.</w:t>
      </w:r>
      <w:r w:rsidR="00DC604E" w:rsidRPr="00DC604E">
        <w:rPr>
          <w:vertAlign w:val="superscript"/>
        </w:rPr>
        <w:t>9</w:t>
      </w:r>
      <w:r>
        <w:t xml:space="preserve">  The handbook contains data from the results of medical examinations conducted in refugee camps overseas.  Refugees in regions with the highest prevalence of active TB had 955 cases per 100,000, and refugees hailing from regions that had the second highest prevalence of disease had 426 cases per 100,000.  </w:t>
      </w:r>
      <w:r w:rsidR="004B22A9">
        <w:t xml:space="preserve">Meanwhile, refugees from areas with the lowest prevalence of </w:t>
      </w:r>
      <w:r w:rsidR="00DC604E">
        <w:t xml:space="preserve">active TB had </w:t>
      </w:r>
      <w:r w:rsidR="004B22A9">
        <w:t xml:space="preserve">9 cases per 100,000.  </w:t>
      </w:r>
    </w:p>
    <w:p w:rsidR="00CB6BE8" w:rsidRDefault="00CB6BE8" w:rsidP="00CB6BE8">
      <w:pPr>
        <w:spacing w:after="0"/>
      </w:pPr>
    </w:p>
    <w:p w:rsidR="004B22A9" w:rsidRPr="00CB6BE8" w:rsidRDefault="004B22A9" w:rsidP="00CB6BE8">
      <w:pPr>
        <w:spacing w:after="0"/>
        <w:rPr>
          <w:i/>
        </w:rPr>
      </w:pPr>
      <w:r w:rsidRPr="00CB6BE8">
        <w:rPr>
          <w:i/>
        </w:rPr>
        <w:t>Derivation of TST Specificity</w:t>
      </w:r>
    </w:p>
    <w:p w:rsidR="00CB6BE8" w:rsidRDefault="004B22A9" w:rsidP="00CB6BE8">
      <w:pPr>
        <w:spacing w:after="0"/>
      </w:pPr>
      <w:r>
        <w:t xml:space="preserve">TST specificity varies as a function of BCG vaccination, wherein higher levels of BCG vaccination </w:t>
      </w:r>
      <w:r w:rsidR="004C23C4">
        <w:t xml:space="preserve">and later timing of BCG </w:t>
      </w:r>
      <w:r>
        <w:t xml:space="preserve">in a population are associated with lower levels of TST specificity.  </w:t>
      </w:r>
      <w:r w:rsidR="0012717B">
        <w:t xml:space="preserve">More specifically, when the BCG vaccine is given in infancy, the TST specificity is </w:t>
      </w:r>
      <w:r w:rsidR="00475F8A">
        <w:t>approximately 92</w:t>
      </w:r>
      <w:r w:rsidR="0012717B">
        <w:t>%</w:t>
      </w:r>
      <w:r w:rsidR="006307AF">
        <w:t>.  W</w:t>
      </w:r>
      <w:r w:rsidR="0012717B">
        <w:t>hen the BCG vaccine is given after the age of one</w:t>
      </w:r>
      <w:r w:rsidR="006307AF">
        <w:t>,</w:t>
      </w:r>
      <w:r w:rsidR="00AE1829">
        <w:t xml:space="preserve"> </w:t>
      </w:r>
      <w:r w:rsidR="0012717B">
        <w:t xml:space="preserve">TST specificity decreases to 60%.  </w:t>
      </w:r>
      <w:r w:rsidR="00475F8A">
        <w:t>When there is no BCG vaccine given, the TST specificity is 98%.</w:t>
      </w:r>
      <w:r w:rsidR="00AE1829" w:rsidRPr="00CB6BE8">
        <w:rPr>
          <w:vertAlign w:val="superscript"/>
        </w:rPr>
        <w:t>10</w:t>
      </w:r>
      <w:r w:rsidR="00AE1829">
        <w:rPr>
          <w:vertAlign w:val="superscript"/>
        </w:rPr>
        <w:t xml:space="preserve">   </w:t>
      </w:r>
      <w:r w:rsidR="00AE1829">
        <w:t>We</w:t>
      </w:r>
      <w:r w:rsidR="0012717B">
        <w:t xml:space="preserve"> had no data available on the proportion of refugees that had received BCG vaccine, nor any data on when they had received the vaccine, so we assumed that refugees were divided approximately equally between </w:t>
      </w:r>
      <w:r w:rsidR="00475F8A">
        <w:t xml:space="preserve">no BCG vaccination, BCG vaccination received during infancy, and BCG vaccination received after infancy.  The average specificity in these situations is 83.3%, but we rounded it to 85% as an estimate.  </w:t>
      </w:r>
      <w:r w:rsidR="00AE1829">
        <w:t>Given that</w:t>
      </w:r>
      <w:r w:rsidR="00E82BF2">
        <w:t xml:space="preserve"> there was </w:t>
      </w:r>
      <w:r w:rsidR="00AE1829">
        <w:t xml:space="preserve">substantial </w:t>
      </w:r>
      <w:r w:rsidR="00475F8A">
        <w:t>uncertainty regarding this parameter, we included it in sensitivity analysis</w:t>
      </w:r>
      <w:r w:rsidR="00AE1829">
        <w:t xml:space="preserve"> with</w:t>
      </w:r>
      <w:r w:rsidR="00E82BF2">
        <w:t xml:space="preserve"> </w:t>
      </w:r>
      <w:r w:rsidR="00475F8A">
        <w:t>ranges of 60</w:t>
      </w:r>
      <w:r w:rsidR="00807147">
        <w:t>%</w:t>
      </w:r>
      <w:r w:rsidR="00475F8A">
        <w:t xml:space="preserve"> to </w:t>
      </w:r>
      <w:r w:rsidR="00807147">
        <w:t>9</w:t>
      </w:r>
      <w:r w:rsidR="00475F8A">
        <w:t xml:space="preserve">8% in order to reflect the </w:t>
      </w:r>
      <w:r w:rsidR="00807147">
        <w:t>minimum</w:t>
      </w:r>
      <w:r w:rsidR="00475F8A">
        <w:t xml:space="preserve"> and maximum </w:t>
      </w:r>
      <w:r w:rsidR="00807147">
        <w:t>specificities</w:t>
      </w:r>
      <w:r w:rsidR="00475F8A">
        <w:t xml:space="preserve"> </w:t>
      </w:r>
      <w:r w:rsidR="00AE1829">
        <w:t xml:space="preserve">TST </w:t>
      </w:r>
      <w:r w:rsidR="00807147">
        <w:t xml:space="preserve">resulting from BCG vaccination.  </w:t>
      </w:r>
    </w:p>
    <w:p w:rsidR="004B22A9" w:rsidRDefault="00807147" w:rsidP="00CB6BE8">
      <w:pPr>
        <w:spacing w:after="0"/>
      </w:pPr>
      <w:r>
        <w:t xml:space="preserve"> </w:t>
      </w:r>
    </w:p>
    <w:p w:rsidR="0062179C" w:rsidRPr="00CB6BE8" w:rsidRDefault="00E21852" w:rsidP="00CB6BE8">
      <w:pPr>
        <w:spacing w:after="0"/>
        <w:rPr>
          <w:i/>
        </w:rPr>
      </w:pPr>
      <w:r w:rsidRPr="00CB6BE8">
        <w:rPr>
          <w:i/>
        </w:rPr>
        <w:t>Proportion of refugees with positive TST</w:t>
      </w:r>
    </w:p>
    <w:p w:rsidR="00E21852" w:rsidRDefault="00E21852" w:rsidP="00CB6BE8">
      <w:pPr>
        <w:spacing w:after="0"/>
      </w:pPr>
      <w:r>
        <w:t xml:space="preserve">In order to determine a </w:t>
      </w:r>
      <w:r w:rsidR="003F7C2F">
        <w:t xml:space="preserve">plausible </w:t>
      </w:r>
      <w:r>
        <w:t>range of refugees that might test positive with the TST, we searched the literature for studies that evaluated the proportion of refugees with positive TST results</w:t>
      </w:r>
      <w:r w:rsidR="00CB6BE8">
        <w:t xml:space="preserve"> in the U.S</w:t>
      </w:r>
      <w:r>
        <w:t xml:space="preserve">.  </w:t>
      </w:r>
      <w:r w:rsidR="002108FD">
        <w:t>In their study of refugees arriving into Minnesota,</w:t>
      </w:r>
      <w:r w:rsidR="006020CB">
        <w:t xml:space="preserve"> Varkey and colleagues found that the percentage of refugees with a positive TST result ranged from 40% to 55</w:t>
      </w:r>
      <w:r w:rsidR="00CB6BE8">
        <w:t>% depending</w:t>
      </w:r>
      <w:r w:rsidR="006020CB">
        <w:t xml:space="preserve"> upon the </w:t>
      </w:r>
      <w:r w:rsidR="00CB6BE8">
        <w:t>refugee’s</w:t>
      </w:r>
      <w:r w:rsidR="006020CB">
        <w:t xml:space="preserve"> continent of origin.</w:t>
      </w:r>
      <w:r w:rsidR="00CB6BE8" w:rsidRPr="00CB6BE8">
        <w:rPr>
          <w:vertAlign w:val="superscript"/>
        </w:rPr>
        <w:t>11</w:t>
      </w:r>
      <w:r w:rsidR="006020CB">
        <w:t xml:space="preserve">  Chai and colleagues found that </w:t>
      </w:r>
      <w:r w:rsidR="002108FD">
        <w:t>38% of refugees coming into the Washington D.C. area had a positive TST result</w:t>
      </w:r>
      <w:r w:rsidR="00B51829">
        <w:t>,</w:t>
      </w:r>
      <w:r w:rsidR="00CB6BE8" w:rsidRPr="00CB6BE8">
        <w:rPr>
          <w:vertAlign w:val="superscript"/>
        </w:rPr>
        <w:t>12</w:t>
      </w:r>
      <w:r w:rsidR="002108FD">
        <w:t xml:space="preserve"> while Kowatsch-Beyer and </w:t>
      </w:r>
      <w:r w:rsidR="003F7C2F">
        <w:t>colleagues</w:t>
      </w:r>
      <w:r w:rsidR="002108FD">
        <w:t xml:space="preserve"> indicated that approximately 46% of </w:t>
      </w:r>
      <w:r w:rsidR="00B51829">
        <w:t xml:space="preserve">refugees </w:t>
      </w:r>
      <w:r w:rsidR="002108FD">
        <w:t>arriving in Ohio had positive TST results.</w:t>
      </w:r>
      <w:r w:rsidR="00CB6BE8" w:rsidRPr="00CB6BE8">
        <w:rPr>
          <w:vertAlign w:val="superscript"/>
        </w:rPr>
        <w:t>13</w:t>
      </w:r>
      <w:r w:rsidR="002108FD">
        <w:t xml:space="preserve">  A study by Bennett and colleagues utilized data from the National Health and Nutrition Examination Survey and indicated that 19% of the general foreign</w:t>
      </w:r>
      <w:r w:rsidR="00CB6BE8">
        <w:t>-</w:t>
      </w:r>
      <w:r w:rsidR="002108FD">
        <w:t xml:space="preserve">born population </w:t>
      </w:r>
      <w:r w:rsidR="003F7C2F">
        <w:t>had positive TST results.</w:t>
      </w:r>
      <w:r w:rsidR="00CB6BE8" w:rsidRPr="00CB6BE8">
        <w:rPr>
          <w:vertAlign w:val="superscript"/>
        </w:rPr>
        <w:t>14</w:t>
      </w:r>
      <w:r w:rsidR="003F7C2F">
        <w:t xml:space="preserve">   Based upon this data, we used figures of 55%, 35%, and 20% as plausible estimates for the proportion of refugees with positive TST results in regions with high, moderate, and low prevalence of LTBI infection.  </w:t>
      </w:r>
    </w:p>
    <w:p w:rsidR="00CB6BE8" w:rsidRDefault="00CB6BE8" w:rsidP="00CB6BE8">
      <w:pPr>
        <w:spacing w:after="0"/>
      </w:pPr>
    </w:p>
    <w:p w:rsidR="006D725D" w:rsidRDefault="006D725D">
      <w:r>
        <w:t xml:space="preserve">For modeling purposes, we needed to estimate the proportion of refugees that truly had </w:t>
      </w:r>
      <w:r w:rsidR="002732BA">
        <w:t>LTBI</w:t>
      </w:r>
      <w:r>
        <w:t xml:space="preserve"> which is distinct from that number </w:t>
      </w:r>
      <w:r w:rsidR="00AE1829">
        <w:t>with positive TST results</w:t>
      </w:r>
      <w:r>
        <w:t>.  In order to accomplish this, we used the following formula as demonstrated in Shah and colleagues:</w:t>
      </w:r>
      <w:r w:rsidR="00CB6BE8" w:rsidRPr="00CB6BE8">
        <w:rPr>
          <w:vertAlign w:val="superscript"/>
        </w:rPr>
        <w:t>15</w:t>
      </w:r>
      <w:r>
        <w:t xml:space="preserve">  (% test positive + specificity – 1)/(sensitivity + specificity – 1).  </w:t>
      </w:r>
      <w:r w:rsidR="00AE1829">
        <w:t xml:space="preserve">Using this formula, we </w:t>
      </w:r>
      <w:r>
        <w:t xml:space="preserve">estimated </w:t>
      </w:r>
      <w:r w:rsidR="00AE1829">
        <w:t xml:space="preserve">the </w:t>
      </w:r>
      <w:r>
        <w:t xml:space="preserve">proportion of refugees with </w:t>
      </w:r>
      <w:r w:rsidR="002732BA">
        <w:t>LTBI</w:t>
      </w:r>
      <w:r>
        <w:t xml:space="preserve"> from the high, moderate, and low LTBI prevalence populations by utilizing the region specific proportion of refugees that </w:t>
      </w:r>
      <w:r w:rsidR="00147627">
        <w:t xml:space="preserve">would have positive TST tests.  </w:t>
      </w:r>
    </w:p>
    <w:p w:rsidR="00CB6BE8" w:rsidRDefault="00CB6BE8"/>
    <w:p w:rsidR="00E82BF2" w:rsidRDefault="00E82BF2"/>
    <w:p w:rsidR="00147627" w:rsidRPr="00CB6BE8" w:rsidRDefault="00147627" w:rsidP="00CB6BE8">
      <w:pPr>
        <w:spacing w:after="0"/>
        <w:rPr>
          <w:i/>
        </w:rPr>
      </w:pPr>
      <w:r w:rsidRPr="00CB6BE8">
        <w:rPr>
          <w:i/>
        </w:rPr>
        <w:lastRenderedPageBreak/>
        <w:t xml:space="preserve">Chest </w:t>
      </w:r>
      <w:r w:rsidR="00A736AD" w:rsidRPr="00CB6BE8">
        <w:rPr>
          <w:i/>
        </w:rPr>
        <w:t>radiograph</w:t>
      </w:r>
      <w:r w:rsidR="00533DC6" w:rsidRPr="00CB6BE8">
        <w:rPr>
          <w:i/>
        </w:rPr>
        <w:t xml:space="preserve"> test characteristics</w:t>
      </w:r>
    </w:p>
    <w:p w:rsidR="00533DC6" w:rsidRDefault="00147627" w:rsidP="00CB6BE8">
      <w:pPr>
        <w:spacing w:after="0"/>
      </w:pPr>
      <w:r>
        <w:t>W</w:t>
      </w:r>
      <w:r w:rsidR="00830C91">
        <w:t xml:space="preserve">e made two assumptions based on a previous cost-effectiveness study that examined screening for LTBI in populations </w:t>
      </w:r>
      <w:r w:rsidR="00B51829">
        <w:t>emigrating</w:t>
      </w:r>
      <w:r>
        <w:t xml:space="preserve"> to a new country</w:t>
      </w:r>
      <w:r w:rsidR="00830C91">
        <w:t xml:space="preserve">:  1) that the chest radiograph would have 100% sensitivity for screening of active TB disease, and 2) assumed that </w:t>
      </w:r>
      <w:r w:rsidR="00286F7F">
        <w:t>11% of the refugees with LTBI would have abnormal chest radiographs</w:t>
      </w:r>
      <w:r>
        <w:t>.</w:t>
      </w:r>
      <w:r w:rsidR="00CB6BE8" w:rsidRPr="00CB6BE8">
        <w:rPr>
          <w:vertAlign w:val="superscript"/>
        </w:rPr>
        <w:t>6</w:t>
      </w:r>
      <w:r w:rsidR="00286F7F">
        <w:rPr>
          <w:vertAlign w:val="superscript"/>
        </w:rPr>
        <w:t xml:space="preserve">  </w:t>
      </w:r>
      <w:r w:rsidR="00E82BF2">
        <w:rPr>
          <w:vertAlign w:val="superscript"/>
        </w:rPr>
        <w:t xml:space="preserve"> </w:t>
      </w:r>
      <w:r w:rsidR="00351459">
        <w:t xml:space="preserve">These would be </w:t>
      </w:r>
      <w:r w:rsidR="00351459" w:rsidRPr="00CB6BE8">
        <w:t xml:space="preserve">refugees with inactive TB disease and they would have a </w:t>
      </w:r>
      <w:r w:rsidR="006414B2" w:rsidRPr="00CB6BE8">
        <w:t xml:space="preserve">Class B1 designation due to their positive chest </w:t>
      </w:r>
      <w:r w:rsidR="00A736AD" w:rsidRPr="00CB6BE8">
        <w:t>radiographs</w:t>
      </w:r>
      <w:r w:rsidR="006414B2" w:rsidRPr="00CB6BE8">
        <w:t xml:space="preserve"> during overseas screening.</w:t>
      </w:r>
      <w:r w:rsidR="006414B2">
        <w:t xml:space="preserve">  </w:t>
      </w:r>
      <w:r w:rsidR="00351459">
        <w:t xml:space="preserve">  </w:t>
      </w:r>
    </w:p>
    <w:p w:rsidR="00CB6BE8" w:rsidRPr="00CB6BE8" w:rsidRDefault="00CB6BE8" w:rsidP="00CB6BE8">
      <w:pPr>
        <w:spacing w:after="0"/>
        <w:rPr>
          <w:i/>
        </w:rPr>
      </w:pPr>
    </w:p>
    <w:p w:rsidR="005B6112" w:rsidRDefault="00533DC6" w:rsidP="00CB6BE8">
      <w:pPr>
        <w:spacing w:after="0"/>
        <w:rPr>
          <w:i/>
        </w:rPr>
      </w:pPr>
      <w:r w:rsidRPr="00CB6BE8">
        <w:rPr>
          <w:i/>
        </w:rPr>
        <w:t xml:space="preserve">Probability of accepting </w:t>
      </w:r>
      <w:r w:rsidR="005B6112">
        <w:rPr>
          <w:i/>
        </w:rPr>
        <w:t xml:space="preserve">and completing </w:t>
      </w:r>
      <w:r w:rsidRPr="00CB6BE8">
        <w:rPr>
          <w:i/>
        </w:rPr>
        <w:t>3HP regimen</w:t>
      </w:r>
    </w:p>
    <w:p w:rsidR="005B6112" w:rsidRDefault="005B6112" w:rsidP="005B6112">
      <w:pPr>
        <w:spacing w:after="0"/>
      </w:pPr>
      <w:r>
        <w:t>When refugees are offered voluntary presumptive treatment for intestinal parasites, the primary reason that adults do not accept treatment is because of pregnancy.</w:t>
      </w:r>
      <w:r w:rsidRPr="00132451">
        <w:rPr>
          <w:vertAlign w:val="superscript"/>
        </w:rPr>
        <w:t>3</w:t>
      </w:r>
      <w:r>
        <w:t xml:space="preserve"> In our model, we assume that the primary reasons adult refugees would not accept treatment overseas is because of pregnancy or medical contraindications.  Accordingly, we estimate that 95% of refugees would accept treatment with 3HP.  </w:t>
      </w:r>
    </w:p>
    <w:p w:rsidR="00533DC6" w:rsidRDefault="009C0362" w:rsidP="00CB6BE8">
      <w:pPr>
        <w:spacing w:after="0"/>
      </w:pPr>
      <w:r>
        <w:t>However because of the uncertainty in these measurements, we included this parameter in sensitivity analysis.</w:t>
      </w:r>
      <w:r w:rsidR="00B51829">
        <w:t xml:space="preserve"> </w:t>
      </w:r>
      <w:r>
        <w:t xml:space="preserve"> In sensitivity analysis, we lowered the acceptance rate to </w:t>
      </w:r>
      <w:r w:rsidR="0049734D">
        <w:t>77</w:t>
      </w:r>
      <w:r w:rsidR="0049734D" w:rsidRPr="00CB6BE8">
        <w:t xml:space="preserve">%.  We used 77% because </w:t>
      </w:r>
      <w:r w:rsidR="00B51829">
        <w:t xml:space="preserve">this is the rate of acceptance </w:t>
      </w:r>
      <w:r w:rsidR="005B6112">
        <w:t>observed</w:t>
      </w:r>
      <w:r w:rsidR="00B51829">
        <w:t xml:space="preserve"> in the foreign-born</w:t>
      </w:r>
      <w:r w:rsidRPr="00CB6BE8">
        <w:t xml:space="preserve"> </w:t>
      </w:r>
      <w:r w:rsidR="00B51829">
        <w:t>while they are in the U.S</w:t>
      </w:r>
      <w:r w:rsidRPr="00CB6BE8">
        <w:t>.</w:t>
      </w:r>
      <w:r w:rsidR="00CB6BE8" w:rsidRPr="00CB6BE8">
        <w:rPr>
          <w:vertAlign w:val="superscript"/>
        </w:rPr>
        <w:t>16</w:t>
      </w:r>
      <w:r w:rsidRPr="00CB6BE8">
        <w:t xml:space="preserve"> </w:t>
      </w:r>
      <w:r w:rsidR="00CB6BE8">
        <w:t>W</w:t>
      </w:r>
      <w:r w:rsidR="0049734D" w:rsidRPr="00CB6BE8">
        <w:t xml:space="preserve">e assumed that the vast majority of refugees would go on to complete 3HP treatment overseas </w:t>
      </w:r>
      <w:r w:rsidR="00CB6BE8">
        <w:t>in a fashion similar to that seen</w:t>
      </w:r>
      <w:r w:rsidR="0049734D" w:rsidRPr="00CB6BE8">
        <w:t xml:space="preserve"> with presumptive treatment for intestinal </w:t>
      </w:r>
      <w:r w:rsidR="005B6112" w:rsidRPr="00CB6BE8">
        <w:t>parasites.</w:t>
      </w:r>
      <w:r w:rsidR="005B6112" w:rsidRPr="00CB6BE8">
        <w:rPr>
          <w:vertAlign w:val="superscript"/>
        </w:rPr>
        <w:t>3</w:t>
      </w:r>
      <w:r w:rsidR="005B6112" w:rsidRPr="00CB6BE8">
        <w:t xml:space="preserve"> The</w:t>
      </w:r>
      <w:r w:rsidR="0049734D" w:rsidRPr="00CB6BE8">
        <w:t xml:space="preserve"> only reason that refugees would not complete treatment overseas would be due to </w:t>
      </w:r>
      <w:r w:rsidR="00996AF1" w:rsidRPr="00CB6BE8">
        <w:t>side effects</w:t>
      </w:r>
      <w:r w:rsidR="005B6112">
        <w:t xml:space="preserve"> </w:t>
      </w:r>
      <w:r w:rsidR="008D6B75">
        <w:t xml:space="preserve">that preclude treatment </w:t>
      </w:r>
      <w:r w:rsidR="005B6112">
        <w:t>(five percent)</w:t>
      </w:r>
      <w:r w:rsidR="00996AF1" w:rsidRPr="00CB6BE8">
        <w:t>.</w:t>
      </w:r>
      <w:r w:rsidR="00996AF1">
        <w:t xml:space="preserve">  </w:t>
      </w:r>
    </w:p>
    <w:p w:rsidR="00B35F61" w:rsidRDefault="00B35F61" w:rsidP="009B1465">
      <w:pPr>
        <w:spacing w:after="0"/>
        <w:rPr>
          <w:i/>
        </w:rPr>
      </w:pPr>
    </w:p>
    <w:p w:rsidR="0049734D" w:rsidRPr="009B1465" w:rsidRDefault="0049734D" w:rsidP="009B1465">
      <w:pPr>
        <w:spacing w:after="0"/>
        <w:rPr>
          <w:i/>
        </w:rPr>
      </w:pPr>
      <w:r w:rsidRPr="009B1465">
        <w:rPr>
          <w:i/>
        </w:rPr>
        <w:t>3HP effectiveness</w:t>
      </w:r>
    </w:p>
    <w:p w:rsidR="00073ED4" w:rsidRDefault="00CE4EF9" w:rsidP="009B1465">
      <w:pPr>
        <w:spacing w:after="0"/>
      </w:pPr>
      <w:r>
        <w:t xml:space="preserve">Based upon the example of a </w:t>
      </w:r>
      <w:r w:rsidR="00996AF1">
        <w:t xml:space="preserve">previous cost-utility </w:t>
      </w:r>
      <w:r w:rsidR="009B1465">
        <w:t>analysis</w:t>
      </w:r>
      <w:r w:rsidR="00996AF1">
        <w:t>, we estimated that 3HP would be 93% effective in preventing progression to active TB in refugees with LTBI.</w:t>
      </w:r>
      <w:r w:rsidR="009B1465" w:rsidRPr="009B1465">
        <w:rPr>
          <w:vertAlign w:val="superscript"/>
        </w:rPr>
        <w:t>8</w:t>
      </w:r>
      <w:r w:rsidR="00996AF1">
        <w:t xml:space="preserve">  We conservatively estimated that refugees who had to cease 3HP treatment did so at two weeks with a corresponding effectiveness of 0%.  This </w:t>
      </w:r>
      <w:r>
        <w:t xml:space="preserve">conservative estimate helps to avoid overestimating the cost of the overseas screening program since more refugees take the 3HP in </w:t>
      </w:r>
      <w:r w:rsidR="00B51829">
        <w:t>the proposed program</w:t>
      </w:r>
      <w:r>
        <w:t xml:space="preserve">. </w:t>
      </w:r>
    </w:p>
    <w:p w:rsidR="00B35F61" w:rsidRDefault="00B35F61" w:rsidP="009B1465">
      <w:pPr>
        <w:spacing w:after="0"/>
        <w:rPr>
          <w:i/>
        </w:rPr>
      </w:pPr>
    </w:p>
    <w:p w:rsidR="00073ED4" w:rsidRPr="009B1465" w:rsidRDefault="00073ED4" w:rsidP="009B1465">
      <w:pPr>
        <w:spacing w:after="0"/>
        <w:rPr>
          <w:i/>
        </w:rPr>
      </w:pPr>
      <w:r w:rsidRPr="009B1465">
        <w:rPr>
          <w:i/>
        </w:rPr>
        <w:t>Reactivation rate with LTBI</w:t>
      </w:r>
    </w:p>
    <w:p w:rsidR="009D074E" w:rsidRDefault="00073ED4" w:rsidP="009B1465">
      <w:pPr>
        <w:spacing w:after="0"/>
      </w:pPr>
      <w:r>
        <w:t>We used an annual risk of 0.1% to model the probability of converting from LTBI to active TB.</w:t>
      </w:r>
      <w:r w:rsidR="008D6B75">
        <w:t xml:space="preserve">  </w:t>
      </w:r>
      <w:r>
        <w:t>This data is derived from surveillance data of progression to TB in a group of refugees.</w:t>
      </w:r>
      <w:r w:rsidR="009B1465" w:rsidRPr="009B1465">
        <w:rPr>
          <w:vertAlign w:val="superscript"/>
        </w:rPr>
        <w:t>17</w:t>
      </w:r>
      <w:r>
        <w:t xml:space="preserve">  This reactivation rate has been used in multiple cost-effectiveness analyses</w:t>
      </w:r>
      <w:r w:rsidR="00234C5A">
        <w:t>,</w:t>
      </w:r>
      <w:r w:rsidR="009B1465" w:rsidRPr="009B1465">
        <w:rPr>
          <w:vertAlign w:val="superscript"/>
        </w:rPr>
        <w:t>6,18,19</w:t>
      </w:r>
      <w:r w:rsidR="00234C5A">
        <w:t xml:space="preserve"> and represents a conservative rate of reaction when compared to reactivation rates used in other cost-effectiveness analyses.</w:t>
      </w:r>
      <w:r w:rsidR="009B1465" w:rsidRPr="009B1465">
        <w:rPr>
          <w:vertAlign w:val="superscript"/>
        </w:rPr>
        <w:t>7</w:t>
      </w:r>
      <w:r w:rsidR="00234C5A">
        <w:t xml:space="preserve">  Thus this conservative reactivation rate</w:t>
      </w:r>
      <w:r w:rsidR="002860E5">
        <w:t xml:space="preserve"> prevents us from overstating the benefits of the overseas screening and treatment program as more refugees would be treated with this regimen.  </w:t>
      </w:r>
    </w:p>
    <w:p w:rsidR="009B1465" w:rsidRDefault="009B1465" w:rsidP="009B1465">
      <w:pPr>
        <w:spacing w:after="0"/>
      </w:pPr>
    </w:p>
    <w:p w:rsidR="009D074E" w:rsidRPr="00155BEB" w:rsidRDefault="009B1465" w:rsidP="009B1465">
      <w:pPr>
        <w:spacing w:after="0"/>
        <w:rPr>
          <w:i/>
        </w:rPr>
      </w:pPr>
      <w:r w:rsidRPr="00155BEB">
        <w:rPr>
          <w:i/>
        </w:rPr>
        <w:t>Overseas TST price</w:t>
      </w:r>
    </w:p>
    <w:p w:rsidR="00147627" w:rsidRDefault="00EC149B">
      <w:r>
        <w:t xml:space="preserve">The price of the </w:t>
      </w:r>
      <w:r w:rsidR="006C0209">
        <w:t xml:space="preserve">TST during overseas screening was derived by using unpublished data from Kenyan Panel Physicians.  </w:t>
      </w:r>
      <w:r w:rsidR="00D069B8">
        <w:t xml:space="preserve">Panel physicians work in the </w:t>
      </w:r>
      <w:r w:rsidR="009B1465">
        <w:t>refugee’s</w:t>
      </w:r>
      <w:r w:rsidR="00D069B8">
        <w:t xml:space="preserve"> country of origin and are </w:t>
      </w:r>
      <w:r w:rsidR="008B3370">
        <w:t>selected by the United States Department of State</w:t>
      </w:r>
      <w:r w:rsidR="00D069B8">
        <w:t xml:space="preserve"> to administer the medical examinations overseas.</w:t>
      </w:r>
      <w:r w:rsidR="009B1465" w:rsidRPr="009B1465">
        <w:rPr>
          <w:vertAlign w:val="superscript"/>
        </w:rPr>
        <w:t>1</w:t>
      </w:r>
      <w:r w:rsidR="00D069B8">
        <w:t xml:space="preserve">  </w:t>
      </w:r>
      <w:r w:rsidR="009D074E">
        <w:t xml:space="preserve">The Kenyan panel physicians </w:t>
      </w:r>
      <w:r w:rsidR="008B3370">
        <w:t>reported</w:t>
      </w:r>
      <w:r w:rsidR="009D074E">
        <w:t xml:space="preserve"> that the local price for a TST in American dollars was $4.80.  In order to estimate the price of the TST in other refugee camps, we </w:t>
      </w:r>
      <w:r w:rsidR="0029704D">
        <w:t xml:space="preserve">used </w:t>
      </w:r>
      <w:r w:rsidR="00D2452A">
        <w:t>country specific</w:t>
      </w:r>
      <w:r w:rsidR="0029704D">
        <w:t xml:space="preserve"> national price level</w:t>
      </w:r>
      <w:r w:rsidR="00D2452A">
        <w:t>s</w:t>
      </w:r>
      <w:r w:rsidR="0029704D">
        <w:t xml:space="preserve">.  The national price level is an index that is used when comparing the price of goods across </w:t>
      </w:r>
      <w:r w:rsidR="00D2452A">
        <w:t xml:space="preserve">countries </w:t>
      </w:r>
      <w:r w:rsidR="00B51829">
        <w:t>with</w:t>
      </w:r>
      <w:r w:rsidR="00D2452A">
        <w:t xml:space="preserve"> the U.S. dollar as the benchmark.</w:t>
      </w:r>
      <w:r w:rsidR="00155BEB" w:rsidRPr="00155BEB">
        <w:rPr>
          <w:vertAlign w:val="superscript"/>
        </w:rPr>
        <w:t>20</w:t>
      </w:r>
      <w:r w:rsidR="00D2452A">
        <w:t xml:space="preserve">   As an example, during 2012, Kenya’s national price level was 0.44</w:t>
      </w:r>
      <w:r w:rsidR="005F3301">
        <w:t xml:space="preserve"> (rounded to two decimals)</w:t>
      </w:r>
      <w:r w:rsidR="00D2452A">
        <w:t xml:space="preserve">, so 44 cents would buy the same in Kenya as one dollar would in the U.S.  </w:t>
      </w:r>
    </w:p>
    <w:p w:rsidR="00D2452A" w:rsidRDefault="00D2452A">
      <w:r>
        <w:lastRenderedPageBreak/>
        <w:t>We downloaded the 2012 national price le</w:t>
      </w:r>
      <w:r w:rsidR="00A674C1">
        <w:t>vels from World Bank data</w:t>
      </w:r>
      <w:r w:rsidR="00155BEB" w:rsidRPr="00155BEB">
        <w:rPr>
          <w:vertAlign w:val="superscript"/>
        </w:rPr>
        <w:t>20</w:t>
      </w:r>
      <w:r w:rsidR="00A674C1">
        <w:t xml:space="preserve"> in order to obtain the national price levels for the countries where most U.S. bound refugees originated from.</w:t>
      </w:r>
      <w:r w:rsidR="00155BEB" w:rsidRPr="00155BEB">
        <w:rPr>
          <w:vertAlign w:val="superscript"/>
        </w:rPr>
        <w:t>9</w:t>
      </w:r>
      <w:r w:rsidR="00A674C1">
        <w:t xml:space="preserve">  </w:t>
      </w:r>
      <w:r w:rsidR="008B3370">
        <w:t>In addition to</w:t>
      </w:r>
      <w:r w:rsidR="00A674C1">
        <w:t xml:space="preserve"> Kenya</w:t>
      </w:r>
      <w:r w:rsidR="008B3370">
        <w:t>, we</w:t>
      </w:r>
      <w:r w:rsidR="00A674C1">
        <w:t xml:space="preserve"> included Thailand, Malaysia, Nepal, Ethiopia, Uganda, Iraq, Jordan, and Syria.  Syria did not have national price data list</w:t>
      </w:r>
      <w:r w:rsidR="008D6B75">
        <w:t>ed</w:t>
      </w:r>
      <w:r w:rsidR="00A674C1">
        <w:t xml:space="preserve"> for 2012.  For the remaining countries, the national price levels ranged from 0.32 to 0.47.  Accordingly, the price of the TST across these countri</w:t>
      </w:r>
      <w:r w:rsidR="005F3301">
        <w:t>es ranged from $3.50 to $5.15.</w:t>
      </w:r>
      <w:r w:rsidR="00A674C1">
        <w:t xml:space="preserve"> </w:t>
      </w:r>
      <w:r w:rsidR="00B51829">
        <w:t xml:space="preserve"> </w:t>
      </w:r>
      <w:r w:rsidR="005F3301">
        <w:t xml:space="preserve">When the price of the TST was averaged across all of the countries excluding Syria, the average price was found to be $4.49.  We rounded this estimated price to $4.50.  We used the range of prices found in the other countries in our sensitivity analysis in order to account for uncertainty in this parameter estimate.  </w:t>
      </w:r>
    </w:p>
    <w:p w:rsidR="00155BEB" w:rsidRPr="00155BEB" w:rsidRDefault="00155BEB" w:rsidP="00667DFE">
      <w:pPr>
        <w:spacing w:after="0" w:line="240" w:lineRule="auto"/>
        <w:rPr>
          <w:i/>
        </w:rPr>
      </w:pPr>
      <w:r w:rsidRPr="00155BEB">
        <w:rPr>
          <w:i/>
        </w:rPr>
        <w:t>Overseas DOT Labor Cost</w:t>
      </w:r>
    </w:p>
    <w:p w:rsidR="00DE4701" w:rsidRDefault="00667DFE" w:rsidP="00DE4701">
      <w:pPr>
        <w:spacing w:after="0" w:line="240" w:lineRule="auto"/>
      </w:pPr>
      <w:r w:rsidRPr="00195BEA">
        <w:t xml:space="preserve">The </w:t>
      </w:r>
      <w:r>
        <w:t xml:space="preserve">country specific </w:t>
      </w:r>
      <w:r w:rsidRPr="00195BEA">
        <w:t>cost for labor to administer 3HP was determined</w:t>
      </w:r>
      <w:r>
        <w:t xml:space="preserve"> using the most recently published (2011-2013) United Nations (U.N.) pay scales</w:t>
      </w:r>
      <w:r w:rsidR="002B7208">
        <w:t xml:space="preserve"> available at the time the study was being conducted</w:t>
      </w:r>
      <w:r>
        <w:t>.</w:t>
      </w:r>
      <w:r w:rsidR="00155BEB" w:rsidRPr="00155BEB">
        <w:rPr>
          <w:vertAlign w:val="superscript"/>
        </w:rPr>
        <w:t>21</w:t>
      </w:r>
      <w:r>
        <w:t xml:space="preserve">  </w:t>
      </w:r>
      <w:r w:rsidR="002B7208">
        <w:t xml:space="preserve">Talks with CDC personnel familiar with overseas operations in refugee camps indicated that the salaries of medical officials in refugee camps that might administer DOT to refugees would be most similar to a </w:t>
      </w:r>
      <w:r>
        <w:t xml:space="preserve">U.N. General Service Category </w:t>
      </w:r>
      <w:r w:rsidR="008D6B75">
        <w:t>S</w:t>
      </w:r>
      <w:r>
        <w:t xml:space="preserve">tep 3 </w:t>
      </w:r>
      <w:r w:rsidR="008D6B75">
        <w:t>L</w:t>
      </w:r>
      <w:r>
        <w:t>evel 3 pay grade.</w:t>
      </w:r>
      <w:r>
        <w:fldChar w:fldCharType="begin"/>
      </w:r>
      <w:r>
        <w:instrText xml:space="preserve"> ADDIN EN.CITE &lt;EndNote&gt;&lt;Cite&gt;&lt;RecNum&gt;102&lt;/RecNum&gt;&lt;DisplayText&gt;(33)&lt;/DisplayText&gt;&lt;record&gt;&lt;rec-number&gt;102&lt;/rec-number&gt;&lt;foreign-keys&gt;&lt;key app="EN" db-id="d25wwxzaq0f0aqeedss5fewwsr0xza222f99"&gt;102&lt;/key&gt;&lt;/foreign-keys&gt;&lt;ref-type name="Journal Article"&gt;17&lt;/ref-type&gt;&lt;contributors&gt;&lt;/contributors&gt;&lt;titles&gt;&lt;title&gt;United Nations.  Salary scales for staff in the general service and related categories.  [cited November 05, 2013].  Available at:  http://www.un.org/Depts/OHRM/salaries_allowances/salaries/gs.htm.&lt;/title&gt;&lt;/titles&gt;&lt;dates&gt;&lt;/dates&gt;&lt;urls&gt;&lt;/urls&gt;&lt;/record&gt;&lt;/Cite&gt;&lt;/EndNote&gt;</w:instrText>
      </w:r>
      <w:r>
        <w:fldChar w:fldCharType="end"/>
      </w:r>
      <w:r>
        <w:t xml:space="preserve">  </w:t>
      </w:r>
      <w:r w:rsidR="008B3370">
        <w:t>W</w:t>
      </w:r>
      <w:r w:rsidRPr="002B7E9D">
        <w:t>e adjusted</w:t>
      </w:r>
      <w:r>
        <w:t xml:space="preserve"> wages for the  countries to </w:t>
      </w:r>
      <w:r w:rsidR="004C02D0">
        <w:t xml:space="preserve">a base  year of </w:t>
      </w:r>
      <w:r>
        <w:t xml:space="preserve">2012 using GDP deflator data obtained from the International Monetary </w:t>
      </w:r>
      <w:r w:rsidRPr="002B7E9D">
        <w:t>Fund</w:t>
      </w:r>
      <w:r w:rsidR="008B3370">
        <w:t xml:space="preserve"> if </w:t>
      </w:r>
      <w:r w:rsidR="00DE4701">
        <w:t>the wage data was reported for 2011 or 2013</w:t>
      </w:r>
      <w:r w:rsidRPr="002B7E9D">
        <w:t>.</w:t>
      </w:r>
      <w:r w:rsidR="004C02D0" w:rsidRPr="004C02D0">
        <w:rPr>
          <w:vertAlign w:val="superscript"/>
        </w:rPr>
        <w:t>22</w:t>
      </w:r>
      <w:r>
        <w:fldChar w:fldCharType="begin"/>
      </w:r>
      <w:r>
        <w:instrText xml:space="preserve"> ADDIN EN.CITE &lt;EndNote&gt;&lt;Cite&gt;&lt;RecNum&gt;103&lt;/RecNum&gt;&lt;DisplayText&gt;(34)&lt;/DisplayText&gt;&lt;record&gt;&lt;rec-number&gt;103&lt;/rec-number&gt;&lt;foreign-keys&gt;&lt;key app="EN" db-id="d25wwxzaq0f0aqeedss5fewwsr0xza222f99"&gt;103&lt;/key&gt;&lt;/foreign-keys&gt;&lt;ref-type name="Web Page"&gt;12&lt;/ref-type&gt;&lt;contributors&gt;&lt;/contributors&gt;&lt;titles&gt;&lt;title&gt;International Monetary Fund.  World economic outlook database.  [cited November 05, 2013].  Available at:  http://www.imf.org/external/pubs/ft/weo/2012/01/weodata/index.aspx.&lt;/title&gt;&lt;/titles&gt;&lt;dates&gt;&lt;/dates&gt;&lt;urls&gt;&lt;/urls&gt;&lt;/record&gt;&lt;/Cite&gt;&lt;/EndNote&gt;</w:instrText>
      </w:r>
      <w:r>
        <w:fldChar w:fldCharType="end"/>
      </w:r>
      <w:r w:rsidRPr="002B7E9D">
        <w:t xml:space="preserve">  </w:t>
      </w:r>
      <w:r w:rsidR="004C02D0">
        <w:t xml:space="preserve">Our next step was to convert these </w:t>
      </w:r>
      <w:r w:rsidRPr="002B7E9D">
        <w:t xml:space="preserve">salaries </w:t>
      </w:r>
      <w:r w:rsidR="004C02D0">
        <w:t xml:space="preserve">into a common currency of </w:t>
      </w:r>
      <w:r w:rsidRPr="002B7E9D">
        <w:t>U.S. dollars</w:t>
      </w:r>
      <w:r w:rsidR="004C02D0">
        <w:t>, and we did this</w:t>
      </w:r>
      <w:r w:rsidRPr="002B7E9D">
        <w:t xml:space="preserve"> using exchange rates</w:t>
      </w:r>
      <w:r w:rsidR="002B7208">
        <w:t xml:space="preserve"> for 2012 from the Central Intell</w:t>
      </w:r>
      <w:r w:rsidR="00596F5F">
        <w:t>igence Agency World Factbook</w:t>
      </w:r>
      <w:r w:rsidRPr="002B7E9D">
        <w:t>.</w:t>
      </w:r>
      <w:r w:rsidR="004C02D0" w:rsidRPr="004C02D0">
        <w:rPr>
          <w:vertAlign w:val="superscript"/>
        </w:rPr>
        <w:t>23</w:t>
      </w:r>
      <w:r w:rsidRPr="002B7E9D">
        <w:t xml:space="preserve">  We </w:t>
      </w:r>
      <w:r w:rsidR="004C02D0">
        <w:t xml:space="preserve">then utilized data from the pay scales to estimate the annual number of work hours for each respective country.  </w:t>
      </w:r>
      <w:r w:rsidR="00A62B62">
        <w:t>The hourly salaries were used to estimate the salary per minute.</w:t>
      </w:r>
      <w:r w:rsidR="004C02D0">
        <w:t xml:space="preserve">  </w:t>
      </w:r>
      <w:r w:rsidR="00DE4701" w:rsidRPr="002B7E9D">
        <w:t xml:space="preserve">For example, Syria’s salaries </w:t>
      </w:r>
      <w:r w:rsidR="00DE4701">
        <w:t>were</w:t>
      </w:r>
      <w:r w:rsidR="00DE4701" w:rsidRPr="002B7E9D">
        <w:t xml:space="preserve"> based upon a 36</w:t>
      </w:r>
      <w:r w:rsidR="00DE4701">
        <w:t>-</w:t>
      </w:r>
      <w:r w:rsidR="00DE4701" w:rsidRPr="002B7E9D">
        <w:t>hour work week</w:t>
      </w:r>
      <w:r w:rsidR="00DE4701">
        <w:t>,</w:t>
      </w:r>
      <w:r w:rsidR="002C323D" w:rsidRPr="002C323D">
        <w:rPr>
          <w:vertAlign w:val="superscript"/>
        </w:rPr>
        <w:t>21</w:t>
      </w:r>
      <w:r w:rsidR="00DE4701" w:rsidRPr="002B7E9D">
        <w:t xml:space="preserve"> so we divided annual wages by 112,320 minutes (52 weeks x 36 hours per week x 60 minutes)</w:t>
      </w:r>
      <w:r w:rsidR="00DE4701">
        <w:t xml:space="preserve"> </w:t>
      </w:r>
      <w:r w:rsidR="00DE4701" w:rsidRPr="002B7E9D">
        <w:t>to obtain the salary per minute.</w:t>
      </w:r>
      <w:r w:rsidR="00DE4701">
        <w:t xml:space="preserve"> </w:t>
      </w:r>
    </w:p>
    <w:p w:rsidR="008D6B75" w:rsidRDefault="008D6B75">
      <w:pPr>
        <w:rPr>
          <w:b/>
        </w:rPr>
      </w:pPr>
    </w:p>
    <w:p w:rsidR="0087557F" w:rsidRPr="00CD26A8" w:rsidRDefault="00CD26A8">
      <w:pPr>
        <w:rPr>
          <w:b/>
        </w:rPr>
      </w:pPr>
      <w:r w:rsidRPr="00CD26A8">
        <w:rPr>
          <w:b/>
        </w:rPr>
        <w:t xml:space="preserve">Section 3:  Absolute number of active TB cases </w:t>
      </w:r>
      <w:r w:rsidR="00B35F61">
        <w:rPr>
          <w:b/>
        </w:rPr>
        <w:t xml:space="preserve">diagnosed and </w:t>
      </w:r>
      <w:r w:rsidRPr="00CD26A8">
        <w:rPr>
          <w:b/>
        </w:rPr>
        <w:t>prevented</w:t>
      </w:r>
    </w:p>
    <w:p w:rsidR="00B35F61" w:rsidRDefault="00CD26A8">
      <w:r>
        <w:t>In our base case analysis presented in the manuscript, we discounted costs and outcomes at a 3% annual rate in accordance with recommendations for economic evaluations.</w:t>
      </w:r>
      <w:r w:rsidR="00590C26" w:rsidRPr="00590C26">
        <w:rPr>
          <w:vertAlign w:val="superscript"/>
        </w:rPr>
        <w:t>24</w:t>
      </w:r>
      <w:r>
        <w:t xml:space="preserve">  However, from a public health standpoint, it is worthwhile to look at the absolute number of TB cases presented.  We show the results from this analysis in Table </w:t>
      </w:r>
      <w:r w:rsidR="00AA1CF9">
        <w:t>1</w:t>
      </w:r>
      <w:r>
        <w:t xml:space="preserve"> below.  In this analysis, we exclude the cases that were diagnosed among Class B1 refugees shortly after </w:t>
      </w:r>
      <w:r w:rsidR="00B35F61">
        <w:t>U.S. entry as some of these cases may have been active cases that were imported from overseas.</w:t>
      </w:r>
      <w:r w:rsidR="00B35F61" w:rsidRPr="00B35F61">
        <w:rPr>
          <w:vertAlign w:val="superscript"/>
        </w:rPr>
        <w:t>25</w:t>
      </w:r>
      <w:r w:rsidR="00B35F61">
        <w:t xml:space="preserve">  </w:t>
      </w:r>
      <w:r w:rsidR="009A240D">
        <w:t>This analysis uses assumptions from our base case where 75% of the Class B1 refugees receive LTBI testing if the</w:t>
      </w:r>
      <w:r w:rsidR="00A62B62">
        <w:t>y</w:t>
      </w:r>
      <w:r w:rsidR="009A240D">
        <w:t xml:space="preserve"> present to follow-up, and 50% of the Class B2 refugees receiv</w:t>
      </w:r>
      <w:r w:rsidR="00A62B62">
        <w:t>ed</w:t>
      </w:r>
      <w:r w:rsidR="009A240D">
        <w:t xml:space="preserve"> LTBI testing during follow-up exams.</w:t>
      </w:r>
      <w:r w:rsidR="00A62B62">
        <w:t xml:space="preserve">  The number of cases prevented varied from 77 to 591 depending upon the prevalence of LTBI in the refugee’s country of origin.  </w:t>
      </w:r>
    </w:p>
    <w:p w:rsidR="009A240D" w:rsidRDefault="009A240D"/>
    <w:p w:rsidR="009A240D" w:rsidRDefault="009A240D"/>
    <w:p w:rsidR="009A240D" w:rsidRDefault="009A240D"/>
    <w:p w:rsidR="009A240D" w:rsidRDefault="009A240D"/>
    <w:p w:rsidR="009A240D" w:rsidRDefault="009A240D"/>
    <w:p w:rsidR="009A240D" w:rsidRDefault="009A240D"/>
    <w:p w:rsidR="009A240D" w:rsidRDefault="009A240D"/>
    <w:p w:rsidR="009A240D" w:rsidRDefault="009A240D"/>
    <w:p w:rsidR="00B35F61" w:rsidRPr="000C2A5A" w:rsidRDefault="009A240D" w:rsidP="00B35F61">
      <w:pPr>
        <w:suppressLineNumbers/>
        <w:rPr>
          <w:b/>
        </w:rPr>
      </w:pPr>
      <w:r>
        <w:rPr>
          <w:b/>
        </w:rPr>
        <w:t>Table 1</w:t>
      </w:r>
      <w:r w:rsidR="00B35F61" w:rsidRPr="000C2A5A">
        <w:rPr>
          <w:b/>
        </w:rPr>
        <w:t xml:space="preserve">: Tuberculosis </w:t>
      </w:r>
      <w:r w:rsidR="00A62B62">
        <w:rPr>
          <w:b/>
        </w:rPr>
        <w:t>c</w:t>
      </w:r>
      <w:r w:rsidR="00B35F61">
        <w:rPr>
          <w:b/>
        </w:rPr>
        <w:t xml:space="preserve">ases </w:t>
      </w:r>
      <w:r w:rsidR="00A62B62">
        <w:rPr>
          <w:b/>
        </w:rPr>
        <w:t>d</w:t>
      </w:r>
      <w:r w:rsidR="00B35F61" w:rsidRPr="000C2A5A">
        <w:rPr>
          <w:b/>
        </w:rPr>
        <w:t xml:space="preserve">iagnosed in the U.S. among </w:t>
      </w:r>
      <w:r w:rsidR="00B35F61">
        <w:rPr>
          <w:b/>
        </w:rPr>
        <w:t xml:space="preserve">a </w:t>
      </w:r>
      <w:r w:rsidR="00A62B62">
        <w:rPr>
          <w:b/>
        </w:rPr>
        <w:t>c</w:t>
      </w:r>
      <w:r w:rsidR="00B35F61" w:rsidRPr="000C2A5A">
        <w:rPr>
          <w:b/>
        </w:rPr>
        <w:t>ohort of 100,000 U.S.</w:t>
      </w:r>
      <w:r w:rsidR="00B35F61">
        <w:rPr>
          <w:b/>
        </w:rPr>
        <w:t>-</w:t>
      </w:r>
      <w:r w:rsidR="00A62B62">
        <w:rPr>
          <w:b/>
        </w:rPr>
        <w:t>b</w:t>
      </w:r>
      <w:r w:rsidR="00B35F61" w:rsidRPr="000C2A5A">
        <w:rPr>
          <w:b/>
        </w:rPr>
        <w:t xml:space="preserve">ound </w:t>
      </w:r>
      <w:r w:rsidR="00A62B62">
        <w:rPr>
          <w:b/>
        </w:rPr>
        <w:t>r</w:t>
      </w:r>
      <w:r w:rsidR="00B35F61" w:rsidRPr="000C2A5A">
        <w:rPr>
          <w:b/>
        </w:rPr>
        <w:t xml:space="preserve">efugees over 20 </w:t>
      </w:r>
      <w:r w:rsidR="00A62B62">
        <w:rPr>
          <w:b/>
        </w:rPr>
        <w:t>y</w:t>
      </w:r>
      <w:r w:rsidR="00B35F61" w:rsidRPr="000C2A5A">
        <w:rPr>
          <w:b/>
        </w:rPr>
        <w:t>ears</w:t>
      </w:r>
    </w:p>
    <w:tbl>
      <w:tblPr>
        <w:tblStyle w:val="TableGrid"/>
        <w:tblW w:w="0" w:type="auto"/>
        <w:tblLook w:val="04A0" w:firstRow="1" w:lastRow="0" w:firstColumn="1" w:lastColumn="0" w:noHBand="0" w:noVBand="1"/>
      </w:tblPr>
      <w:tblGrid>
        <w:gridCol w:w="2008"/>
        <w:gridCol w:w="1153"/>
        <w:gridCol w:w="1217"/>
        <w:gridCol w:w="1277"/>
        <w:gridCol w:w="1277"/>
        <w:gridCol w:w="1277"/>
        <w:gridCol w:w="1151"/>
      </w:tblGrid>
      <w:tr w:rsidR="00B35F61" w:rsidTr="009A240D">
        <w:tc>
          <w:tcPr>
            <w:tcW w:w="2008" w:type="dxa"/>
            <w:tcBorders>
              <w:top w:val="single" w:sz="4" w:space="0" w:color="auto"/>
              <w:left w:val="nil"/>
              <w:bottom w:val="nil"/>
              <w:right w:val="nil"/>
            </w:tcBorders>
          </w:tcPr>
          <w:p w:rsidR="00B35F61" w:rsidRDefault="00B35F61" w:rsidP="007B6C5A">
            <w:pPr>
              <w:suppressLineNumbers/>
              <w:jc w:val="center"/>
            </w:pPr>
          </w:p>
        </w:tc>
        <w:tc>
          <w:tcPr>
            <w:tcW w:w="7352" w:type="dxa"/>
            <w:gridSpan w:val="6"/>
            <w:tcBorders>
              <w:top w:val="single" w:sz="4" w:space="0" w:color="auto"/>
              <w:left w:val="nil"/>
              <w:bottom w:val="single" w:sz="4" w:space="0" w:color="auto"/>
              <w:right w:val="nil"/>
            </w:tcBorders>
          </w:tcPr>
          <w:p w:rsidR="00B35F61" w:rsidRDefault="00B35F61" w:rsidP="007B6C5A">
            <w:pPr>
              <w:suppressLineNumbers/>
              <w:jc w:val="center"/>
            </w:pPr>
            <w:r>
              <w:t>LTBI prevalence</w:t>
            </w:r>
          </w:p>
        </w:tc>
      </w:tr>
      <w:tr w:rsidR="00B35F61" w:rsidTr="009A240D">
        <w:tc>
          <w:tcPr>
            <w:tcW w:w="2008" w:type="dxa"/>
            <w:tcBorders>
              <w:top w:val="nil"/>
              <w:left w:val="nil"/>
              <w:bottom w:val="single" w:sz="4" w:space="0" w:color="auto"/>
              <w:right w:val="nil"/>
            </w:tcBorders>
          </w:tcPr>
          <w:p w:rsidR="00B35F61" w:rsidRDefault="00B35F61" w:rsidP="007B6C5A">
            <w:pPr>
              <w:suppressLineNumbers/>
              <w:jc w:val="center"/>
            </w:pPr>
          </w:p>
        </w:tc>
        <w:tc>
          <w:tcPr>
            <w:tcW w:w="2370" w:type="dxa"/>
            <w:gridSpan w:val="2"/>
            <w:tcBorders>
              <w:top w:val="single" w:sz="4" w:space="0" w:color="auto"/>
              <w:left w:val="nil"/>
              <w:bottom w:val="single" w:sz="4" w:space="0" w:color="auto"/>
              <w:right w:val="nil"/>
            </w:tcBorders>
          </w:tcPr>
          <w:p w:rsidR="00B35F61" w:rsidRDefault="00B35F61" w:rsidP="007B6C5A">
            <w:pPr>
              <w:suppressLineNumbers/>
              <w:jc w:val="center"/>
            </w:pPr>
            <w:r>
              <w:t>High (55%)</w:t>
            </w:r>
            <w:r w:rsidRPr="00BB4829">
              <w:rPr>
                <w:vertAlign w:val="superscript"/>
              </w:rPr>
              <w:t>A</w:t>
            </w:r>
          </w:p>
        </w:tc>
        <w:tc>
          <w:tcPr>
            <w:tcW w:w="2554" w:type="dxa"/>
            <w:gridSpan w:val="2"/>
            <w:tcBorders>
              <w:top w:val="single" w:sz="4" w:space="0" w:color="auto"/>
              <w:left w:val="nil"/>
              <w:bottom w:val="single" w:sz="4" w:space="0" w:color="auto"/>
              <w:right w:val="nil"/>
            </w:tcBorders>
          </w:tcPr>
          <w:p w:rsidR="00B35F61" w:rsidRDefault="00B35F61" w:rsidP="007B6C5A">
            <w:pPr>
              <w:suppressLineNumbers/>
              <w:jc w:val="center"/>
            </w:pPr>
            <w:r>
              <w:t>Moderate (35%)</w:t>
            </w:r>
            <w:r w:rsidRPr="00BB4829">
              <w:rPr>
                <w:vertAlign w:val="superscript"/>
              </w:rPr>
              <w:t>A</w:t>
            </w:r>
            <w:r>
              <w:t xml:space="preserve"> </w:t>
            </w:r>
          </w:p>
        </w:tc>
        <w:tc>
          <w:tcPr>
            <w:tcW w:w="2428" w:type="dxa"/>
            <w:gridSpan w:val="2"/>
            <w:tcBorders>
              <w:top w:val="single" w:sz="4" w:space="0" w:color="auto"/>
              <w:left w:val="nil"/>
              <w:bottom w:val="single" w:sz="4" w:space="0" w:color="auto"/>
              <w:right w:val="nil"/>
            </w:tcBorders>
          </w:tcPr>
          <w:p w:rsidR="00B35F61" w:rsidRDefault="00B35F61" w:rsidP="007B6C5A">
            <w:pPr>
              <w:suppressLineNumbers/>
              <w:jc w:val="center"/>
            </w:pPr>
            <w:r>
              <w:t>Low (20%)</w:t>
            </w:r>
            <w:r w:rsidRPr="00BB4829">
              <w:rPr>
                <w:vertAlign w:val="superscript"/>
              </w:rPr>
              <w:t>A</w:t>
            </w:r>
          </w:p>
        </w:tc>
      </w:tr>
      <w:tr w:rsidR="00B35F61" w:rsidTr="009A240D">
        <w:tc>
          <w:tcPr>
            <w:tcW w:w="2008" w:type="dxa"/>
            <w:tcBorders>
              <w:top w:val="single" w:sz="4" w:space="0" w:color="auto"/>
              <w:left w:val="nil"/>
              <w:bottom w:val="nil"/>
              <w:right w:val="nil"/>
            </w:tcBorders>
          </w:tcPr>
          <w:p w:rsidR="00B35F61" w:rsidRDefault="00B35F61" w:rsidP="007B6C5A">
            <w:pPr>
              <w:suppressLineNumbers/>
            </w:pPr>
          </w:p>
        </w:tc>
        <w:tc>
          <w:tcPr>
            <w:tcW w:w="1153" w:type="dxa"/>
            <w:tcBorders>
              <w:top w:val="single" w:sz="4" w:space="0" w:color="auto"/>
              <w:left w:val="nil"/>
              <w:bottom w:val="nil"/>
              <w:right w:val="nil"/>
            </w:tcBorders>
          </w:tcPr>
          <w:p w:rsidR="00B35F61" w:rsidRDefault="00B35F61" w:rsidP="007B6C5A">
            <w:pPr>
              <w:suppressLineNumbers/>
              <w:jc w:val="right"/>
            </w:pPr>
            <w:r>
              <w:t>No overseas screening</w:t>
            </w:r>
            <w:r w:rsidRPr="009C2613">
              <w:rPr>
                <w:vertAlign w:val="superscript"/>
              </w:rPr>
              <w:t>B</w:t>
            </w:r>
          </w:p>
        </w:tc>
        <w:tc>
          <w:tcPr>
            <w:tcW w:w="1217" w:type="dxa"/>
            <w:tcBorders>
              <w:top w:val="single" w:sz="4" w:space="0" w:color="auto"/>
              <w:left w:val="nil"/>
              <w:bottom w:val="nil"/>
              <w:right w:val="nil"/>
            </w:tcBorders>
          </w:tcPr>
          <w:p w:rsidR="00B35F61" w:rsidRDefault="00B35F61" w:rsidP="007B6C5A">
            <w:pPr>
              <w:suppressLineNumbers/>
              <w:jc w:val="right"/>
            </w:pPr>
            <w:r>
              <w:t>Overseas screening</w:t>
            </w:r>
            <w:r w:rsidRPr="00734BAA">
              <w:rPr>
                <w:vertAlign w:val="superscript"/>
              </w:rPr>
              <w:t>C</w:t>
            </w:r>
          </w:p>
        </w:tc>
        <w:tc>
          <w:tcPr>
            <w:tcW w:w="1277" w:type="dxa"/>
            <w:tcBorders>
              <w:top w:val="single" w:sz="4" w:space="0" w:color="auto"/>
              <w:left w:val="nil"/>
              <w:bottom w:val="nil"/>
              <w:right w:val="nil"/>
            </w:tcBorders>
          </w:tcPr>
          <w:p w:rsidR="00B35F61" w:rsidRDefault="00B35F61" w:rsidP="007B6C5A">
            <w:pPr>
              <w:suppressLineNumbers/>
              <w:jc w:val="right"/>
            </w:pPr>
            <w:r>
              <w:t xml:space="preserve">No </w:t>
            </w:r>
          </w:p>
          <w:p w:rsidR="00B35F61" w:rsidRDefault="00B35F61" w:rsidP="007B6C5A">
            <w:pPr>
              <w:suppressLineNumbers/>
              <w:jc w:val="right"/>
            </w:pPr>
            <w:r>
              <w:t>overseas screening</w:t>
            </w:r>
            <w:r w:rsidRPr="009C2613">
              <w:rPr>
                <w:vertAlign w:val="superscript"/>
              </w:rPr>
              <w:t>B</w:t>
            </w:r>
          </w:p>
        </w:tc>
        <w:tc>
          <w:tcPr>
            <w:tcW w:w="1277" w:type="dxa"/>
            <w:tcBorders>
              <w:top w:val="single" w:sz="4" w:space="0" w:color="auto"/>
              <w:left w:val="nil"/>
              <w:bottom w:val="nil"/>
              <w:right w:val="nil"/>
            </w:tcBorders>
          </w:tcPr>
          <w:p w:rsidR="00B35F61" w:rsidRDefault="00B35F61" w:rsidP="007B6C5A">
            <w:pPr>
              <w:suppressLineNumbers/>
              <w:jc w:val="right"/>
            </w:pPr>
            <w:r>
              <w:t>Overseas screening</w:t>
            </w:r>
            <w:r w:rsidRPr="00734BAA">
              <w:rPr>
                <w:vertAlign w:val="superscript"/>
              </w:rPr>
              <w:t>C</w:t>
            </w:r>
          </w:p>
        </w:tc>
        <w:tc>
          <w:tcPr>
            <w:tcW w:w="1277" w:type="dxa"/>
            <w:tcBorders>
              <w:top w:val="single" w:sz="4" w:space="0" w:color="auto"/>
              <w:left w:val="nil"/>
              <w:bottom w:val="nil"/>
              <w:right w:val="nil"/>
            </w:tcBorders>
          </w:tcPr>
          <w:p w:rsidR="00B35F61" w:rsidRDefault="00B35F61" w:rsidP="007B6C5A">
            <w:pPr>
              <w:suppressLineNumbers/>
              <w:jc w:val="right"/>
            </w:pPr>
            <w:r>
              <w:t>No</w:t>
            </w:r>
          </w:p>
          <w:p w:rsidR="00B35F61" w:rsidRDefault="00B35F61" w:rsidP="007B6C5A">
            <w:pPr>
              <w:suppressLineNumbers/>
              <w:jc w:val="right"/>
            </w:pPr>
            <w:r>
              <w:t xml:space="preserve"> overseas screening</w:t>
            </w:r>
            <w:r w:rsidRPr="009C2613">
              <w:rPr>
                <w:vertAlign w:val="superscript"/>
              </w:rPr>
              <w:t>B</w:t>
            </w:r>
          </w:p>
        </w:tc>
        <w:tc>
          <w:tcPr>
            <w:tcW w:w="1151" w:type="dxa"/>
            <w:tcBorders>
              <w:top w:val="single" w:sz="4" w:space="0" w:color="auto"/>
              <w:left w:val="nil"/>
              <w:bottom w:val="nil"/>
              <w:right w:val="nil"/>
            </w:tcBorders>
          </w:tcPr>
          <w:p w:rsidR="00B35F61" w:rsidRDefault="00B35F61" w:rsidP="007B6C5A">
            <w:pPr>
              <w:suppressLineNumbers/>
              <w:jc w:val="right"/>
            </w:pPr>
            <w:r>
              <w:t>Overseas screening</w:t>
            </w:r>
            <w:r w:rsidRPr="00734BAA">
              <w:rPr>
                <w:vertAlign w:val="superscript"/>
              </w:rPr>
              <w:t>C</w:t>
            </w:r>
          </w:p>
        </w:tc>
      </w:tr>
      <w:tr w:rsidR="00B35F61" w:rsidTr="009A240D">
        <w:tc>
          <w:tcPr>
            <w:tcW w:w="2008" w:type="dxa"/>
            <w:tcBorders>
              <w:top w:val="nil"/>
              <w:left w:val="nil"/>
              <w:bottom w:val="nil"/>
              <w:right w:val="nil"/>
            </w:tcBorders>
          </w:tcPr>
          <w:p w:rsidR="00B35F61" w:rsidRPr="00EC145D" w:rsidRDefault="00B35F61" w:rsidP="007B6C5A">
            <w:pPr>
              <w:rPr>
                <w:b/>
              </w:rPr>
            </w:pPr>
            <w:r w:rsidRPr="00EC145D">
              <w:rPr>
                <w:b/>
              </w:rPr>
              <w:t xml:space="preserve">No </w:t>
            </w:r>
            <w:r>
              <w:rPr>
                <w:b/>
              </w:rPr>
              <w:t>d</w:t>
            </w:r>
            <w:r w:rsidRPr="00EC145D">
              <w:rPr>
                <w:b/>
              </w:rPr>
              <w:t>iscounting</w:t>
            </w:r>
          </w:p>
        </w:tc>
        <w:tc>
          <w:tcPr>
            <w:tcW w:w="1153" w:type="dxa"/>
            <w:tcBorders>
              <w:top w:val="nil"/>
              <w:left w:val="nil"/>
              <w:bottom w:val="nil"/>
              <w:right w:val="nil"/>
            </w:tcBorders>
            <w:vAlign w:val="bottom"/>
          </w:tcPr>
          <w:p w:rsidR="00B35F61" w:rsidRDefault="00B35F61" w:rsidP="007B6C5A">
            <w:pPr>
              <w:jc w:val="right"/>
            </w:pPr>
          </w:p>
        </w:tc>
        <w:tc>
          <w:tcPr>
            <w:tcW w:w="1217" w:type="dxa"/>
            <w:tcBorders>
              <w:top w:val="nil"/>
              <w:left w:val="nil"/>
              <w:bottom w:val="nil"/>
              <w:right w:val="nil"/>
            </w:tcBorders>
            <w:vAlign w:val="bottom"/>
          </w:tcPr>
          <w:p w:rsidR="00B35F61" w:rsidRDefault="00B35F61" w:rsidP="007B6C5A">
            <w:pPr>
              <w:jc w:val="right"/>
            </w:pPr>
          </w:p>
        </w:tc>
        <w:tc>
          <w:tcPr>
            <w:tcW w:w="1277" w:type="dxa"/>
            <w:tcBorders>
              <w:top w:val="nil"/>
              <w:left w:val="nil"/>
              <w:bottom w:val="nil"/>
              <w:right w:val="nil"/>
            </w:tcBorders>
            <w:vAlign w:val="bottom"/>
          </w:tcPr>
          <w:p w:rsidR="00B35F61" w:rsidRDefault="00B35F61" w:rsidP="007B6C5A">
            <w:pPr>
              <w:jc w:val="right"/>
            </w:pPr>
          </w:p>
        </w:tc>
        <w:tc>
          <w:tcPr>
            <w:tcW w:w="1277" w:type="dxa"/>
            <w:tcBorders>
              <w:top w:val="nil"/>
              <w:left w:val="nil"/>
              <w:bottom w:val="nil"/>
              <w:right w:val="nil"/>
            </w:tcBorders>
            <w:vAlign w:val="bottom"/>
          </w:tcPr>
          <w:p w:rsidR="00B35F61" w:rsidRDefault="00B35F61" w:rsidP="007B6C5A">
            <w:pPr>
              <w:jc w:val="right"/>
            </w:pPr>
          </w:p>
        </w:tc>
        <w:tc>
          <w:tcPr>
            <w:tcW w:w="1277" w:type="dxa"/>
            <w:tcBorders>
              <w:top w:val="nil"/>
              <w:left w:val="nil"/>
              <w:bottom w:val="nil"/>
              <w:right w:val="nil"/>
            </w:tcBorders>
            <w:vAlign w:val="bottom"/>
          </w:tcPr>
          <w:p w:rsidR="00B35F61" w:rsidRDefault="00B35F61" w:rsidP="007B6C5A">
            <w:pPr>
              <w:jc w:val="right"/>
            </w:pPr>
          </w:p>
        </w:tc>
        <w:tc>
          <w:tcPr>
            <w:tcW w:w="1151" w:type="dxa"/>
            <w:tcBorders>
              <w:top w:val="nil"/>
              <w:left w:val="nil"/>
              <w:bottom w:val="nil"/>
              <w:right w:val="nil"/>
            </w:tcBorders>
            <w:vAlign w:val="bottom"/>
          </w:tcPr>
          <w:p w:rsidR="00B35F61" w:rsidRDefault="00B35F61" w:rsidP="007B6C5A">
            <w:pPr>
              <w:jc w:val="right"/>
            </w:pPr>
          </w:p>
        </w:tc>
      </w:tr>
      <w:tr w:rsidR="00B35F61" w:rsidTr="009A240D">
        <w:tc>
          <w:tcPr>
            <w:tcW w:w="2008" w:type="dxa"/>
            <w:tcBorders>
              <w:top w:val="nil"/>
              <w:left w:val="nil"/>
              <w:bottom w:val="nil"/>
              <w:right w:val="nil"/>
            </w:tcBorders>
          </w:tcPr>
          <w:p w:rsidR="00B35F61" w:rsidRPr="00DA25FA" w:rsidRDefault="00B35F61" w:rsidP="007B6C5A">
            <w:r>
              <w:rPr>
                <w:b/>
              </w:rPr>
              <w:t xml:space="preserve">     </w:t>
            </w:r>
            <w:r w:rsidRPr="00DA25FA">
              <w:t>Total cases</w:t>
            </w:r>
          </w:p>
        </w:tc>
        <w:tc>
          <w:tcPr>
            <w:tcW w:w="1153" w:type="dxa"/>
            <w:tcBorders>
              <w:top w:val="nil"/>
              <w:left w:val="nil"/>
              <w:bottom w:val="nil"/>
              <w:right w:val="nil"/>
            </w:tcBorders>
            <w:vAlign w:val="bottom"/>
          </w:tcPr>
          <w:p w:rsidR="00B35F61" w:rsidRDefault="00B35F61" w:rsidP="007B6C5A">
            <w:pPr>
              <w:jc w:val="right"/>
            </w:pPr>
            <w:r>
              <w:t>834</w:t>
            </w:r>
          </w:p>
        </w:tc>
        <w:tc>
          <w:tcPr>
            <w:tcW w:w="1217" w:type="dxa"/>
            <w:tcBorders>
              <w:top w:val="nil"/>
              <w:left w:val="nil"/>
              <w:bottom w:val="nil"/>
              <w:right w:val="nil"/>
            </w:tcBorders>
            <w:vAlign w:val="bottom"/>
          </w:tcPr>
          <w:p w:rsidR="00B35F61" w:rsidRDefault="00B35F61" w:rsidP="007B6C5A">
            <w:pPr>
              <w:jc w:val="right"/>
            </w:pPr>
            <w:r>
              <w:t>243</w:t>
            </w:r>
          </w:p>
        </w:tc>
        <w:tc>
          <w:tcPr>
            <w:tcW w:w="1277" w:type="dxa"/>
            <w:tcBorders>
              <w:top w:val="nil"/>
              <w:left w:val="nil"/>
              <w:bottom w:val="nil"/>
              <w:right w:val="nil"/>
            </w:tcBorders>
            <w:vAlign w:val="bottom"/>
          </w:tcPr>
          <w:p w:rsidR="00B35F61" w:rsidRDefault="00B35F61" w:rsidP="007B6C5A">
            <w:pPr>
              <w:jc w:val="right"/>
            </w:pPr>
            <w:r>
              <w:t>417</w:t>
            </w:r>
          </w:p>
        </w:tc>
        <w:tc>
          <w:tcPr>
            <w:tcW w:w="1277" w:type="dxa"/>
            <w:tcBorders>
              <w:top w:val="nil"/>
              <w:left w:val="nil"/>
              <w:bottom w:val="nil"/>
              <w:right w:val="nil"/>
            </w:tcBorders>
            <w:vAlign w:val="bottom"/>
          </w:tcPr>
          <w:p w:rsidR="00B35F61" w:rsidRDefault="00B35F61" w:rsidP="007B6C5A">
            <w:pPr>
              <w:jc w:val="right"/>
            </w:pPr>
            <w:r>
              <w:t>122</w:t>
            </w:r>
          </w:p>
        </w:tc>
        <w:tc>
          <w:tcPr>
            <w:tcW w:w="1277" w:type="dxa"/>
            <w:tcBorders>
              <w:top w:val="nil"/>
              <w:left w:val="nil"/>
              <w:bottom w:val="nil"/>
              <w:right w:val="nil"/>
            </w:tcBorders>
            <w:vAlign w:val="bottom"/>
          </w:tcPr>
          <w:p w:rsidR="00B35F61" w:rsidRDefault="00B35F61" w:rsidP="007B6C5A">
            <w:pPr>
              <w:jc w:val="right"/>
            </w:pPr>
            <w:r>
              <w:t>109</w:t>
            </w:r>
          </w:p>
        </w:tc>
        <w:tc>
          <w:tcPr>
            <w:tcW w:w="1151" w:type="dxa"/>
            <w:tcBorders>
              <w:top w:val="nil"/>
              <w:left w:val="nil"/>
              <w:bottom w:val="nil"/>
              <w:right w:val="nil"/>
            </w:tcBorders>
            <w:vAlign w:val="bottom"/>
          </w:tcPr>
          <w:p w:rsidR="00B35F61" w:rsidRDefault="00B35F61" w:rsidP="007B6C5A">
            <w:pPr>
              <w:jc w:val="right"/>
            </w:pPr>
            <w:r>
              <w:t>32</w:t>
            </w:r>
          </w:p>
        </w:tc>
      </w:tr>
      <w:tr w:rsidR="00B35F61" w:rsidTr="009A240D">
        <w:trPr>
          <w:trHeight w:val="288"/>
        </w:trPr>
        <w:tc>
          <w:tcPr>
            <w:tcW w:w="2008" w:type="dxa"/>
            <w:tcBorders>
              <w:top w:val="nil"/>
              <w:left w:val="nil"/>
              <w:bottom w:val="single" w:sz="4" w:space="0" w:color="auto"/>
              <w:right w:val="nil"/>
            </w:tcBorders>
          </w:tcPr>
          <w:p w:rsidR="00B35F61" w:rsidRDefault="00B35F61" w:rsidP="007B6C5A">
            <w:r>
              <w:t xml:space="preserve">     Cases prevented </w:t>
            </w:r>
          </w:p>
        </w:tc>
        <w:tc>
          <w:tcPr>
            <w:tcW w:w="2370" w:type="dxa"/>
            <w:gridSpan w:val="2"/>
            <w:tcBorders>
              <w:top w:val="nil"/>
              <w:left w:val="nil"/>
              <w:bottom w:val="single" w:sz="4" w:space="0" w:color="auto"/>
              <w:right w:val="nil"/>
            </w:tcBorders>
            <w:vAlign w:val="bottom"/>
          </w:tcPr>
          <w:p w:rsidR="00B35F61" w:rsidRDefault="00B35F61" w:rsidP="007B6C5A">
            <w:pPr>
              <w:jc w:val="right"/>
            </w:pPr>
            <w:r>
              <w:t>591</w:t>
            </w:r>
          </w:p>
        </w:tc>
        <w:tc>
          <w:tcPr>
            <w:tcW w:w="2554" w:type="dxa"/>
            <w:gridSpan w:val="2"/>
            <w:tcBorders>
              <w:top w:val="nil"/>
              <w:left w:val="nil"/>
              <w:bottom w:val="single" w:sz="4" w:space="0" w:color="auto"/>
              <w:right w:val="nil"/>
            </w:tcBorders>
            <w:vAlign w:val="bottom"/>
          </w:tcPr>
          <w:p w:rsidR="00B35F61" w:rsidRDefault="00B35F61" w:rsidP="007B6C5A">
            <w:pPr>
              <w:jc w:val="right"/>
            </w:pPr>
            <w:r>
              <w:t>295</w:t>
            </w:r>
          </w:p>
        </w:tc>
        <w:tc>
          <w:tcPr>
            <w:tcW w:w="2428" w:type="dxa"/>
            <w:gridSpan w:val="2"/>
            <w:tcBorders>
              <w:top w:val="nil"/>
              <w:left w:val="nil"/>
              <w:bottom w:val="single" w:sz="4" w:space="0" w:color="auto"/>
              <w:right w:val="nil"/>
            </w:tcBorders>
            <w:vAlign w:val="bottom"/>
          </w:tcPr>
          <w:p w:rsidR="00B35F61" w:rsidRDefault="00B35F61" w:rsidP="007B6C5A">
            <w:pPr>
              <w:jc w:val="right"/>
            </w:pPr>
            <w:r>
              <w:t>77</w:t>
            </w:r>
          </w:p>
        </w:tc>
      </w:tr>
    </w:tbl>
    <w:p w:rsidR="00B35F61" w:rsidRPr="007864D1" w:rsidRDefault="00B35F61" w:rsidP="00B35F61">
      <w:pPr>
        <w:suppressLineNumbers/>
        <w:spacing w:after="0"/>
      </w:pPr>
      <w:r w:rsidRPr="007864D1">
        <w:t>LTBI=latent tuberculosis infection; TST=tuberculin skin test</w:t>
      </w:r>
    </w:p>
    <w:p w:rsidR="00B35F61" w:rsidRPr="007864D1" w:rsidRDefault="00B35F61" w:rsidP="00B35F61">
      <w:pPr>
        <w:suppressLineNumbers/>
        <w:spacing w:after="0"/>
      </w:pPr>
      <w:r w:rsidRPr="007864D1">
        <w:t>A:  Proportion TST positive;  B:  All LTBI screening and treatment takes place in the U.S.;  C:  Refugees screened with TST overseas</w:t>
      </w:r>
      <w:r>
        <w:t>,</w:t>
      </w:r>
      <w:r w:rsidRPr="007864D1">
        <w:t xml:space="preserve"> and TST positive refugees are offered treatment with 12 doses of once weekly rifapentine and isoniazid</w:t>
      </w:r>
    </w:p>
    <w:p w:rsidR="00B35F61" w:rsidRDefault="00B35F61" w:rsidP="00B35F61">
      <w:pPr>
        <w:suppressLineNumbers/>
        <w:spacing w:after="0"/>
      </w:pPr>
    </w:p>
    <w:p w:rsidR="00470008" w:rsidRDefault="00470008" w:rsidP="00B35F61">
      <w:pPr>
        <w:suppressLineNumbers/>
        <w:spacing w:after="0" w:line="240" w:lineRule="auto"/>
        <w:rPr>
          <w:b/>
        </w:rPr>
      </w:pPr>
    </w:p>
    <w:p w:rsidR="00B35F61" w:rsidRPr="00A2574F" w:rsidRDefault="00A2574F">
      <w:pPr>
        <w:rPr>
          <w:b/>
        </w:rPr>
      </w:pPr>
      <w:r w:rsidRPr="00A2574F">
        <w:rPr>
          <w:b/>
        </w:rPr>
        <w:t>Section 4:  Monte Carlo multivariate probabilistic sensitivity analysis</w:t>
      </w:r>
    </w:p>
    <w:p w:rsidR="0087557F" w:rsidRDefault="00470008">
      <w:r>
        <w:t>A Monte Carlo probabilistic sensitivity analysis was performed</w:t>
      </w:r>
      <w:r w:rsidR="00A62B62">
        <w:t xml:space="preserve"> to further evaluate the effect of uncertainty</w:t>
      </w:r>
      <w:r>
        <w:t>.  A Monte Caro probabilistic sensitivity analysis allows for an assessment of the outcomes when multiple parameters are varied simultaneously.  Th</w:t>
      </w:r>
      <w:r w:rsidR="00A62B62">
        <w:t xml:space="preserve">is type of sensitivity analysis </w:t>
      </w:r>
      <w:r>
        <w:t xml:space="preserve">allows for random sampling of parameter values from </w:t>
      </w:r>
      <w:r w:rsidR="00592A68">
        <w:t>distributions</w:t>
      </w:r>
      <w:r>
        <w:t xml:space="preserve"> that are created to </w:t>
      </w:r>
      <w:r w:rsidR="00DF37D5">
        <w:t xml:space="preserve">represent plausible values for </w:t>
      </w:r>
      <w:r w:rsidR="00A62B62">
        <w:t>the chosen</w:t>
      </w:r>
      <w:r w:rsidR="00DF37D5">
        <w:t xml:space="preserve"> variables.  </w:t>
      </w:r>
      <w:r w:rsidR="00D007FB">
        <w:t xml:space="preserve">The Monte Carlo probabilistic sensitivity analysis was performed with 10,000 iterations.  </w:t>
      </w:r>
    </w:p>
    <w:p w:rsidR="00A62B62" w:rsidRPr="000C2A5A" w:rsidRDefault="00A62B62" w:rsidP="00A62B62">
      <w:pPr>
        <w:suppressLineNumbers/>
        <w:rPr>
          <w:b/>
        </w:rPr>
      </w:pPr>
      <w:r>
        <w:rPr>
          <w:b/>
        </w:rPr>
        <w:t>Table 2</w:t>
      </w:r>
      <w:r w:rsidRPr="000C2A5A">
        <w:rPr>
          <w:b/>
        </w:rPr>
        <w:t>:</w:t>
      </w:r>
      <w:r>
        <w:rPr>
          <w:b/>
        </w:rPr>
        <w:t xml:space="preserve"> </w:t>
      </w:r>
      <w:r w:rsidRPr="000C2A5A">
        <w:rPr>
          <w:b/>
        </w:rPr>
        <w:t xml:space="preserve"> </w:t>
      </w:r>
      <w:r>
        <w:rPr>
          <w:b/>
        </w:rPr>
        <w:t>Parameter values used in Monte Carlo probabilistic sensitivity analysis</w:t>
      </w:r>
    </w:p>
    <w:tbl>
      <w:tblPr>
        <w:tblStyle w:val="TableGrid"/>
        <w:tblW w:w="9540" w:type="dxa"/>
        <w:tblInd w:w="18" w:type="dxa"/>
        <w:tblLayout w:type="fixed"/>
        <w:tblLook w:val="04A0" w:firstRow="1" w:lastRow="0" w:firstColumn="1" w:lastColumn="0" w:noHBand="0" w:noVBand="1"/>
      </w:tblPr>
      <w:tblGrid>
        <w:gridCol w:w="4932"/>
        <w:gridCol w:w="1440"/>
        <w:gridCol w:w="3168"/>
      </w:tblGrid>
      <w:tr w:rsidR="00AE623B" w:rsidTr="002B15CF">
        <w:trPr>
          <w:trHeight w:hRule="exact" w:val="317"/>
        </w:trPr>
        <w:tc>
          <w:tcPr>
            <w:tcW w:w="4932" w:type="dxa"/>
            <w:tcBorders>
              <w:top w:val="single" w:sz="4" w:space="0" w:color="auto"/>
              <w:left w:val="nil"/>
              <w:bottom w:val="single" w:sz="4" w:space="0" w:color="auto"/>
              <w:right w:val="nil"/>
            </w:tcBorders>
          </w:tcPr>
          <w:p w:rsidR="00AE623B" w:rsidRPr="004B4022" w:rsidRDefault="00AE623B" w:rsidP="007B6C5A">
            <w:pPr>
              <w:spacing w:after="200" w:line="276" w:lineRule="auto"/>
              <w:rPr>
                <w:b/>
              </w:rPr>
            </w:pPr>
            <w:r w:rsidRPr="004B4022">
              <w:rPr>
                <w:b/>
              </w:rPr>
              <w:t>Parameter</w:t>
            </w:r>
          </w:p>
        </w:tc>
        <w:tc>
          <w:tcPr>
            <w:tcW w:w="1440" w:type="dxa"/>
            <w:tcBorders>
              <w:top w:val="single" w:sz="4" w:space="0" w:color="auto"/>
              <w:left w:val="nil"/>
              <w:bottom w:val="single" w:sz="4" w:space="0" w:color="auto"/>
              <w:right w:val="nil"/>
            </w:tcBorders>
          </w:tcPr>
          <w:p w:rsidR="00AE623B" w:rsidRDefault="00D007FB" w:rsidP="007B6C5A">
            <w:r>
              <w:t>Distribution</w:t>
            </w:r>
          </w:p>
        </w:tc>
        <w:tc>
          <w:tcPr>
            <w:tcW w:w="3168" w:type="dxa"/>
            <w:tcBorders>
              <w:top w:val="single" w:sz="4" w:space="0" w:color="auto"/>
              <w:left w:val="nil"/>
              <w:bottom w:val="single" w:sz="4" w:space="0" w:color="auto"/>
              <w:right w:val="nil"/>
            </w:tcBorders>
          </w:tcPr>
          <w:p w:rsidR="00AE623B" w:rsidRDefault="002B15CF" w:rsidP="007B6C5A">
            <w:r>
              <w:t>Distribution characteristics</w:t>
            </w:r>
          </w:p>
        </w:tc>
      </w:tr>
      <w:tr w:rsidR="00AE623B" w:rsidRPr="004B4022" w:rsidTr="002B15CF">
        <w:trPr>
          <w:trHeight w:hRule="exact" w:val="317"/>
        </w:trPr>
        <w:tc>
          <w:tcPr>
            <w:tcW w:w="4932" w:type="dxa"/>
            <w:tcBorders>
              <w:top w:val="nil"/>
              <w:left w:val="nil"/>
              <w:bottom w:val="nil"/>
              <w:right w:val="nil"/>
            </w:tcBorders>
          </w:tcPr>
          <w:p w:rsidR="00AE623B" w:rsidRPr="004B4022" w:rsidRDefault="00AE623B" w:rsidP="00D007FB">
            <w:pPr>
              <w:spacing w:after="200" w:line="276" w:lineRule="auto"/>
              <w:rPr>
                <w:b/>
              </w:rPr>
            </w:pPr>
            <w:r w:rsidRPr="004B4022">
              <w:rPr>
                <w:b/>
              </w:rPr>
              <w:t xml:space="preserve">Epidemiological </w:t>
            </w:r>
            <w:r w:rsidR="00D007FB">
              <w:rPr>
                <w:b/>
              </w:rPr>
              <w:t>p</w:t>
            </w:r>
            <w:r w:rsidRPr="003D0D68">
              <w:rPr>
                <w:b/>
              </w:rPr>
              <w:t>arameters</w:t>
            </w:r>
          </w:p>
        </w:tc>
        <w:tc>
          <w:tcPr>
            <w:tcW w:w="1440" w:type="dxa"/>
            <w:tcBorders>
              <w:top w:val="nil"/>
              <w:left w:val="nil"/>
              <w:bottom w:val="nil"/>
              <w:right w:val="nil"/>
            </w:tcBorders>
          </w:tcPr>
          <w:p w:rsidR="00AE623B" w:rsidRPr="004B4022" w:rsidRDefault="00AE623B" w:rsidP="007B6C5A">
            <w:pPr>
              <w:spacing w:after="200" w:line="276" w:lineRule="auto"/>
              <w:rPr>
                <w:b/>
              </w:rPr>
            </w:pPr>
          </w:p>
        </w:tc>
        <w:tc>
          <w:tcPr>
            <w:tcW w:w="3168" w:type="dxa"/>
            <w:tcBorders>
              <w:top w:val="nil"/>
              <w:left w:val="nil"/>
              <w:bottom w:val="nil"/>
              <w:right w:val="nil"/>
            </w:tcBorders>
          </w:tcPr>
          <w:p w:rsidR="00AE623B" w:rsidRPr="004B4022" w:rsidRDefault="00AE623B" w:rsidP="007B6C5A">
            <w:pPr>
              <w:rPr>
                <w:b/>
              </w:rPr>
            </w:pPr>
          </w:p>
        </w:tc>
      </w:tr>
      <w:tr w:rsidR="00AE623B" w:rsidRPr="000478C3" w:rsidTr="002B15CF">
        <w:tc>
          <w:tcPr>
            <w:tcW w:w="4932" w:type="dxa"/>
            <w:tcBorders>
              <w:top w:val="nil"/>
              <w:left w:val="nil"/>
              <w:bottom w:val="nil"/>
              <w:right w:val="nil"/>
            </w:tcBorders>
          </w:tcPr>
          <w:p w:rsidR="00AE623B" w:rsidRDefault="00AE623B" w:rsidP="007B6C5A">
            <w:r>
              <w:t xml:space="preserve">TST specificity </w:t>
            </w:r>
          </w:p>
        </w:tc>
        <w:tc>
          <w:tcPr>
            <w:tcW w:w="1440" w:type="dxa"/>
            <w:tcBorders>
              <w:top w:val="nil"/>
              <w:left w:val="nil"/>
              <w:bottom w:val="nil"/>
              <w:right w:val="nil"/>
            </w:tcBorders>
          </w:tcPr>
          <w:p w:rsidR="00AE623B" w:rsidRDefault="00D007FB" w:rsidP="002B15CF">
            <w:pPr>
              <w:jc w:val="center"/>
            </w:pPr>
            <w:r>
              <w:t>Beta</w:t>
            </w:r>
          </w:p>
        </w:tc>
        <w:tc>
          <w:tcPr>
            <w:tcW w:w="3168" w:type="dxa"/>
            <w:tcBorders>
              <w:top w:val="nil"/>
              <w:left w:val="nil"/>
              <w:bottom w:val="nil"/>
              <w:right w:val="nil"/>
            </w:tcBorders>
          </w:tcPr>
          <w:p w:rsidR="00AE623B" w:rsidRPr="00AE623B" w:rsidRDefault="00D007FB" w:rsidP="007B6C5A">
            <w:r>
              <w:t>85%</w:t>
            </w:r>
            <w:r w:rsidR="002B15CF">
              <w:t xml:space="preserve"> mean</w:t>
            </w:r>
          </w:p>
        </w:tc>
      </w:tr>
      <w:tr w:rsidR="00AE623B" w:rsidRPr="00B144EA" w:rsidTr="002B15CF">
        <w:tc>
          <w:tcPr>
            <w:tcW w:w="4932" w:type="dxa"/>
            <w:tcBorders>
              <w:top w:val="nil"/>
              <w:left w:val="nil"/>
              <w:bottom w:val="nil"/>
              <w:right w:val="nil"/>
            </w:tcBorders>
          </w:tcPr>
          <w:p w:rsidR="00AE623B" w:rsidRDefault="00AE623B" w:rsidP="00D007FB">
            <w:r>
              <w:t xml:space="preserve">Probability of </w:t>
            </w:r>
            <w:r w:rsidR="00D007FB">
              <w:t>declining</w:t>
            </w:r>
            <w:r>
              <w:t xml:space="preserve"> a 12-dose weekly isoniazid-rifapentine regimen overseas with positive TST </w:t>
            </w:r>
          </w:p>
        </w:tc>
        <w:tc>
          <w:tcPr>
            <w:tcW w:w="1440" w:type="dxa"/>
            <w:tcBorders>
              <w:top w:val="nil"/>
              <w:left w:val="nil"/>
              <w:bottom w:val="nil"/>
              <w:right w:val="nil"/>
            </w:tcBorders>
          </w:tcPr>
          <w:p w:rsidR="00AE623B" w:rsidRDefault="00D007FB" w:rsidP="002B15CF">
            <w:pPr>
              <w:jc w:val="center"/>
            </w:pPr>
            <w:r>
              <w:t>Beta</w:t>
            </w:r>
          </w:p>
        </w:tc>
        <w:tc>
          <w:tcPr>
            <w:tcW w:w="3168" w:type="dxa"/>
            <w:tcBorders>
              <w:top w:val="nil"/>
              <w:left w:val="nil"/>
              <w:bottom w:val="nil"/>
              <w:right w:val="nil"/>
            </w:tcBorders>
          </w:tcPr>
          <w:p w:rsidR="00AE623B" w:rsidRPr="003A1196" w:rsidRDefault="00D007FB" w:rsidP="007B6C5A">
            <w:r>
              <w:t>5%</w:t>
            </w:r>
            <w:r w:rsidR="002B15CF">
              <w:t xml:space="preserve"> mean</w:t>
            </w:r>
          </w:p>
        </w:tc>
      </w:tr>
      <w:tr w:rsidR="00AE623B" w:rsidRPr="000478C3" w:rsidTr="002B15CF">
        <w:tc>
          <w:tcPr>
            <w:tcW w:w="4932" w:type="dxa"/>
            <w:tcBorders>
              <w:top w:val="nil"/>
              <w:left w:val="nil"/>
              <w:bottom w:val="nil"/>
              <w:right w:val="nil"/>
            </w:tcBorders>
          </w:tcPr>
          <w:p w:rsidR="00AE623B" w:rsidRDefault="00AE623B" w:rsidP="007B6C5A">
            <w:r>
              <w:t>Probability of completing 12-dose weekly isoniazid-rifapentine regimen overseas</w:t>
            </w:r>
          </w:p>
        </w:tc>
        <w:tc>
          <w:tcPr>
            <w:tcW w:w="1440" w:type="dxa"/>
            <w:tcBorders>
              <w:top w:val="nil"/>
              <w:left w:val="nil"/>
              <w:bottom w:val="nil"/>
              <w:right w:val="nil"/>
            </w:tcBorders>
          </w:tcPr>
          <w:p w:rsidR="00AE623B" w:rsidRDefault="00D007FB" w:rsidP="002B15CF">
            <w:pPr>
              <w:jc w:val="center"/>
            </w:pPr>
            <w:r>
              <w:t>Beta</w:t>
            </w:r>
          </w:p>
        </w:tc>
        <w:tc>
          <w:tcPr>
            <w:tcW w:w="3168" w:type="dxa"/>
            <w:tcBorders>
              <w:top w:val="nil"/>
              <w:left w:val="nil"/>
              <w:bottom w:val="nil"/>
              <w:right w:val="nil"/>
            </w:tcBorders>
          </w:tcPr>
          <w:p w:rsidR="00AE623B" w:rsidRPr="003A1196" w:rsidRDefault="00D007FB" w:rsidP="007B6C5A">
            <w:r>
              <w:t>95%</w:t>
            </w:r>
            <w:r w:rsidR="002B15CF">
              <w:t xml:space="preserve"> mean</w:t>
            </w:r>
          </w:p>
        </w:tc>
      </w:tr>
      <w:tr w:rsidR="00AE623B" w:rsidRPr="000478C3" w:rsidTr="002B15CF">
        <w:tc>
          <w:tcPr>
            <w:tcW w:w="4932" w:type="dxa"/>
            <w:tcBorders>
              <w:top w:val="nil"/>
              <w:left w:val="nil"/>
              <w:bottom w:val="nil"/>
              <w:right w:val="nil"/>
            </w:tcBorders>
          </w:tcPr>
          <w:p w:rsidR="00AE623B" w:rsidRDefault="00AE623B" w:rsidP="007B6C5A">
            <w:r>
              <w:t>Probability of presenting for domestic follow-up at U.S. health department</w:t>
            </w:r>
          </w:p>
        </w:tc>
        <w:tc>
          <w:tcPr>
            <w:tcW w:w="1440" w:type="dxa"/>
            <w:tcBorders>
              <w:top w:val="nil"/>
              <w:left w:val="nil"/>
              <w:bottom w:val="nil"/>
              <w:right w:val="nil"/>
            </w:tcBorders>
          </w:tcPr>
          <w:p w:rsidR="00AE623B" w:rsidRDefault="00D007FB" w:rsidP="002B15CF">
            <w:pPr>
              <w:jc w:val="center"/>
            </w:pPr>
            <w:r>
              <w:t>Beta</w:t>
            </w:r>
          </w:p>
        </w:tc>
        <w:tc>
          <w:tcPr>
            <w:tcW w:w="3168" w:type="dxa"/>
            <w:tcBorders>
              <w:top w:val="nil"/>
              <w:left w:val="nil"/>
              <w:bottom w:val="nil"/>
              <w:right w:val="nil"/>
            </w:tcBorders>
          </w:tcPr>
          <w:p w:rsidR="00AE623B" w:rsidRPr="003A1196" w:rsidRDefault="00D007FB" w:rsidP="007B6C5A">
            <w:r>
              <w:t>76%</w:t>
            </w:r>
            <w:r w:rsidR="002B15CF">
              <w:t xml:space="preserve"> mean</w:t>
            </w:r>
          </w:p>
        </w:tc>
      </w:tr>
      <w:tr w:rsidR="00AE623B" w:rsidRPr="002C25FF" w:rsidTr="002B15CF">
        <w:tc>
          <w:tcPr>
            <w:tcW w:w="4932" w:type="dxa"/>
            <w:tcBorders>
              <w:top w:val="nil"/>
              <w:left w:val="nil"/>
              <w:bottom w:val="nil"/>
              <w:right w:val="nil"/>
            </w:tcBorders>
          </w:tcPr>
          <w:p w:rsidR="00AE623B" w:rsidRPr="002C25FF" w:rsidRDefault="00AE623B" w:rsidP="007B6C5A">
            <w:r w:rsidRPr="002C25FF">
              <w:t>Probability of receiving TST at domestic follow-up (Class B1)</w:t>
            </w:r>
          </w:p>
        </w:tc>
        <w:tc>
          <w:tcPr>
            <w:tcW w:w="1440" w:type="dxa"/>
            <w:tcBorders>
              <w:top w:val="nil"/>
              <w:left w:val="nil"/>
              <w:bottom w:val="nil"/>
              <w:right w:val="nil"/>
            </w:tcBorders>
          </w:tcPr>
          <w:p w:rsidR="00AE623B" w:rsidRPr="002C25FF" w:rsidRDefault="00D007FB" w:rsidP="002B15CF">
            <w:pPr>
              <w:jc w:val="center"/>
            </w:pPr>
            <w:r>
              <w:t>Beta</w:t>
            </w:r>
          </w:p>
        </w:tc>
        <w:tc>
          <w:tcPr>
            <w:tcW w:w="3168" w:type="dxa"/>
            <w:tcBorders>
              <w:top w:val="nil"/>
              <w:left w:val="nil"/>
              <w:bottom w:val="nil"/>
              <w:right w:val="nil"/>
            </w:tcBorders>
          </w:tcPr>
          <w:p w:rsidR="00AE623B" w:rsidRPr="003A1196" w:rsidRDefault="002B15CF" w:rsidP="007B6C5A">
            <w:r>
              <w:t>75% mean</w:t>
            </w:r>
          </w:p>
        </w:tc>
      </w:tr>
      <w:tr w:rsidR="00AE623B" w:rsidRPr="002C25FF" w:rsidTr="002B15CF">
        <w:tc>
          <w:tcPr>
            <w:tcW w:w="4932" w:type="dxa"/>
            <w:tcBorders>
              <w:top w:val="nil"/>
              <w:left w:val="nil"/>
              <w:bottom w:val="nil"/>
              <w:right w:val="nil"/>
            </w:tcBorders>
          </w:tcPr>
          <w:p w:rsidR="00AE623B" w:rsidRPr="002C25FF" w:rsidRDefault="00AE623B" w:rsidP="007B6C5A">
            <w:r w:rsidRPr="002C25FF">
              <w:t>Probability of receiving TST at domestic follow-up (No TB class)</w:t>
            </w:r>
          </w:p>
        </w:tc>
        <w:tc>
          <w:tcPr>
            <w:tcW w:w="1440" w:type="dxa"/>
            <w:tcBorders>
              <w:top w:val="nil"/>
              <w:left w:val="nil"/>
              <w:bottom w:val="nil"/>
              <w:right w:val="nil"/>
            </w:tcBorders>
          </w:tcPr>
          <w:p w:rsidR="00AE623B" w:rsidRPr="002C25FF" w:rsidRDefault="00D007FB" w:rsidP="002B15CF">
            <w:pPr>
              <w:jc w:val="center"/>
            </w:pPr>
            <w:r>
              <w:t>Beta</w:t>
            </w:r>
          </w:p>
        </w:tc>
        <w:tc>
          <w:tcPr>
            <w:tcW w:w="3168" w:type="dxa"/>
            <w:tcBorders>
              <w:top w:val="nil"/>
              <w:left w:val="nil"/>
              <w:bottom w:val="nil"/>
              <w:right w:val="nil"/>
            </w:tcBorders>
          </w:tcPr>
          <w:p w:rsidR="00AE623B" w:rsidRPr="003A1196" w:rsidRDefault="002B15CF" w:rsidP="007B6C5A">
            <w:r>
              <w:t>50% mean</w:t>
            </w:r>
          </w:p>
        </w:tc>
      </w:tr>
      <w:tr w:rsidR="00AE623B" w:rsidRPr="000478C3" w:rsidTr="002B15CF">
        <w:tc>
          <w:tcPr>
            <w:tcW w:w="4932" w:type="dxa"/>
            <w:tcBorders>
              <w:top w:val="nil"/>
              <w:left w:val="nil"/>
              <w:bottom w:val="nil"/>
              <w:right w:val="nil"/>
            </w:tcBorders>
          </w:tcPr>
          <w:p w:rsidR="00AE623B" w:rsidRDefault="00AE623B" w:rsidP="007B6C5A">
            <w:r>
              <w:t>Costs of TST used in overseas screening with hypothetical protocol</w:t>
            </w:r>
          </w:p>
        </w:tc>
        <w:tc>
          <w:tcPr>
            <w:tcW w:w="1440" w:type="dxa"/>
            <w:tcBorders>
              <w:top w:val="nil"/>
              <w:left w:val="nil"/>
              <w:bottom w:val="nil"/>
              <w:right w:val="nil"/>
            </w:tcBorders>
          </w:tcPr>
          <w:p w:rsidR="00AE623B" w:rsidRDefault="00D007FB" w:rsidP="002B15CF">
            <w:pPr>
              <w:jc w:val="center"/>
            </w:pPr>
            <w:r>
              <w:t>Triangular</w:t>
            </w:r>
          </w:p>
        </w:tc>
        <w:tc>
          <w:tcPr>
            <w:tcW w:w="3168" w:type="dxa"/>
            <w:tcBorders>
              <w:top w:val="nil"/>
              <w:left w:val="nil"/>
              <w:bottom w:val="nil"/>
              <w:right w:val="nil"/>
            </w:tcBorders>
          </w:tcPr>
          <w:p w:rsidR="00AE623B" w:rsidRPr="003A1196" w:rsidRDefault="002B15CF" w:rsidP="007B6C5A">
            <w:r>
              <w:t>$3.30 minimum, $5.15 maximum, most likely $4.50</w:t>
            </w:r>
          </w:p>
        </w:tc>
      </w:tr>
      <w:tr w:rsidR="00AE623B" w:rsidRPr="000478C3" w:rsidTr="002B15CF">
        <w:tc>
          <w:tcPr>
            <w:tcW w:w="4932" w:type="dxa"/>
            <w:tcBorders>
              <w:top w:val="nil"/>
              <w:left w:val="nil"/>
              <w:bottom w:val="single" w:sz="4" w:space="0" w:color="auto"/>
              <w:right w:val="nil"/>
            </w:tcBorders>
          </w:tcPr>
          <w:p w:rsidR="00AE623B" w:rsidRDefault="00AE623B" w:rsidP="0059783E">
            <w:r>
              <w:t xml:space="preserve">Costs of 12 weekly 900 mg rifapentine doses </w:t>
            </w:r>
          </w:p>
        </w:tc>
        <w:tc>
          <w:tcPr>
            <w:tcW w:w="1440" w:type="dxa"/>
            <w:tcBorders>
              <w:top w:val="nil"/>
              <w:left w:val="nil"/>
              <w:bottom w:val="single" w:sz="4" w:space="0" w:color="auto"/>
              <w:right w:val="nil"/>
            </w:tcBorders>
          </w:tcPr>
          <w:p w:rsidR="00AE623B" w:rsidRDefault="002B15CF" w:rsidP="002B15CF">
            <w:pPr>
              <w:jc w:val="center"/>
            </w:pPr>
            <w:r>
              <w:t>Uniform</w:t>
            </w:r>
          </w:p>
        </w:tc>
        <w:tc>
          <w:tcPr>
            <w:tcW w:w="3168" w:type="dxa"/>
            <w:tcBorders>
              <w:top w:val="nil"/>
              <w:left w:val="nil"/>
              <w:bottom w:val="single" w:sz="4" w:space="0" w:color="auto"/>
              <w:right w:val="nil"/>
            </w:tcBorders>
          </w:tcPr>
          <w:p w:rsidR="00AE623B" w:rsidRPr="003A1196" w:rsidRDefault="002B15CF" w:rsidP="007B6C5A">
            <w:r>
              <w:t>$72.00 minimum, $144.00 maximum</w:t>
            </w:r>
          </w:p>
        </w:tc>
      </w:tr>
    </w:tbl>
    <w:p w:rsidR="0062179C" w:rsidRDefault="0062179C"/>
    <w:p w:rsidR="0062179C" w:rsidRDefault="0062179C"/>
    <w:p w:rsidR="002B15CF" w:rsidRDefault="002B15CF">
      <w:r>
        <w:t xml:space="preserve">Figure </w:t>
      </w:r>
      <w:r w:rsidR="00AA1CF9">
        <w:t>5</w:t>
      </w:r>
      <w:r>
        <w:t xml:space="preserve"> shows the proportion of times that the new protocol is the optimal selection when compared to the current protocol </w:t>
      </w:r>
      <w:r w:rsidR="00A62B62">
        <w:t>when evaluating the</w:t>
      </w:r>
      <w:r>
        <w:t xml:space="preserve"> Monte Carlo probabilistic sensitivity analysis</w:t>
      </w:r>
      <w:r w:rsidR="003026A5">
        <w:t xml:space="preserve"> for high LTBI prevalence populations</w:t>
      </w:r>
      <w:r>
        <w:t xml:space="preserve">.  </w:t>
      </w:r>
      <w:r w:rsidR="003026A5">
        <w:t>For the purposes of this particular analysis, a strategy is deemed the optimal selection whenever it has lower overall cost</w:t>
      </w:r>
      <w:r w:rsidR="00A62B62">
        <w:t>s</w:t>
      </w:r>
      <w:r w:rsidR="003026A5">
        <w:t xml:space="preserve"> than the alternative program.  As seen in Figure 5, the new protocol that incorporates overseas screening and treatment has lower overall costs nearly 100% o</w:t>
      </w:r>
      <w:r w:rsidR="00810A42">
        <w:t>f the</w:t>
      </w:r>
      <w:r w:rsidR="003026A5">
        <w:t xml:space="preserve"> time.</w:t>
      </w:r>
    </w:p>
    <w:p w:rsidR="002B15CF" w:rsidRDefault="002B15CF"/>
    <w:p w:rsidR="002B15CF" w:rsidRDefault="002B15CF"/>
    <w:p w:rsidR="002B15CF" w:rsidRDefault="002B15CF"/>
    <w:p w:rsidR="002B15CF" w:rsidRDefault="002B15CF"/>
    <w:p w:rsidR="0062179C" w:rsidRDefault="00592A68">
      <w:r w:rsidRPr="00592A68">
        <w:rPr>
          <w:noProof/>
        </w:rPr>
        <w:drawing>
          <wp:inline distT="0" distB="0" distL="0" distR="0" wp14:anchorId="3318BDEC" wp14:editId="573ADD47">
            <wp:extent cx="5943600" cy="403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297"/>
                    <a:stretch/>
                  </pic:blipFill>
                  <pic:spPr bwMode="auto">
                    <a:xfrm>
                      <a:off x="0" y="0"/>
                      <a:ext cx="5943600" cy="4038600"/>
                    </a:xfrm>
                    <a:prstGeom prst="rect">
                      <a:avLst/>
                    </a:prstGeom>
                    <a:ln>
                      <a:noFill/>
                    </a:ln>
                    <a:extLst>
                      <a:ext uri="{53640926-AAD7-44D8-BBD7-CCE9431645EC}">
                        <a14:shadowObscured xmlns:a14="http://schemas.microsoft.com/office/drawing/2010/main"/>
                      </a:ext>
                    </a:extLst>
                  </pic:spPr>
                </pic:pic>
              </a:graphicData>
            </a:graphic>
          </wp:inline>
        </w:drawing>
      </w:r>
    </w:p>
    <w:p w:rsidR="0062179C" w:rsidRDefault="0062179C"/>
    <w:p w:rsidR="0062179C" w:rsidRDefault="003026A5">
      <w:r>
        <w:t>Figure 5:  Proportion of times each protocol is the optimal selection for screening and treatment of LTBI in refugees from high LTBI prevalence populations</w:t>
      </w:r>
    </w:p>
    <w:p w:rsidR="0062179C" w:rsidRDefault="0062179C"/>
    <w:p w:rsidR="0062179C" w:rsidRDefault="0062179C"/>
    <w:p w:rsidR="0062179C" w:rsidRDefault="003026A5">
      <w:r>
        <w:lastRenderedPageBreak/>
        <w:t xml:space="preserve">Figure </w:t>
      </w:r>
      <w:r w:rsidR="00AA1CF9">
        <w:t>6</w:t>
      </w:r>
      <w:r>
        <w:t xml:space="preserve"> shows the percentage of times that the </w:t>
      </w:r>
      <w:r w:rsidR="000E491B">
        <w:t>proposed</w:t>
      </w:r>
      <w:r>
        <w:t xml:space="preserve"> protocol is the optimal selection when compared to the current protocol </w:t>
      </w:r>
      <w:r w:rsidR="000E491B">
        <w:t>when using</w:t>
      </w:r>
      <w:r>
        <w:t xml:space="preserve"> the results of the Monte Carlo probabilistic sensitivity analysis</w:t>
      </w:r>
      <w:r w:rsidR="008D6B75">
        <w:t xml:space="preserve"> for refugee populations with a moderate prevalence of LTBI</w:t>
      </w:r>
      <w:r w:rsidR="000E491B">
        <w:t>.  A</w:t>
      </w:r>
      <w:r>
        <w:t xml:space="preserve"> </w:t>
      </w:r>
      <w:r w:rsidR="000E491B">
        <w:t>protocol</w:t>
      </w:r>
      <w:r>
        <w:t xml:space="preserve"> is deemed optimal whenever it has lower </w:t>
      </w:r>
      <w:r w:rsidR="00810A42">
        <w:t xml:space="preserve">costs </w:t>
      </w:r>
      <w:r w:rsidR="000E491B">
        <w:t>compared to the other protocol</w:t>
      </w:r>
      <w:r>
        <w:t xml:space="preserve">.  </w:t>
      </w:r>
      <w:r w:rsidR="000E491B">
        <w:t>T</w:t>
      </w:r>
      <w:r>
        <w:t xml:space="preserve">he new protocol </w:t>
      </w:r>
      <w:r w:rsidR="000E491B">
        <w:t xml:space="preserve">was the optimal protocol in nearly 70% of the iterations obtained from the Monte Carlo probabilistic sensitivity analysis.  </w:t>
      </w:r>
    </w:p>
    <w:p w:rsidR="0062179C" w:rsidRDefault="0062179C"/>
    <w:p w:rsidR="000A2E67" w:rsidRDefault="000A2E67"/>
    <w:p w:rsidR="000A2E67" w:rsidRDefault="000A2E67"/>
    <w:p w:rsidR="0062179C" w:rsidRDefault="0062179C"/>
    <w:p w:rsidR="00592A68" w:rsidRDefault="00592A68">
      <w:r w:rsidRPr="00592A68">
        <w:rPr>
          <w:noProof/>
        </w:rPr>
        <w:drawing>
          <wp:inline distT="0" distB="0" distL="0" distR="0" wp14:anchorId="30E94A7B" wp14:editId="2C53E06E">
            <wp:extent cx="5943600" cy="398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684"/>
                    <a:stretch/>
                  </pic:blipFill>
                  <pic:spPr bwMode="auto">
                    <a:xfrm>
                      <a:off x="0" y="0"/>
                      <a:ext cx="5943600" cy="3981450"/>
                    </a:xfrm>
                    <a:prstGeom prst="rect">
                      <a:avLst/>
                    </a:prstGeom>
                    <a:ln>
                      <a:noFill/>
                    </a:ln>
                    <a:extLst>
                      <a:ext uri="{53640926-AAD7-44D8-BBD7-CCE9431645EC}">
                        <a14:shadowObscured xmlns:a14="http://schemas.microsoft.com/office/drawing/2010/main"/>
                      </a:ext>
                    </a:extLst>
                  </pic:spPr>
                </pic:pic>
              </a:graphicData>
            </a:graphic>
          </wp:inline>
        </w:drawing>
      </w:r>
    </w:p>
    <w:p w:rsidR="0062179C" w:rsidRDefault="0062179C"/>
    <w:p w:rsidR="000E491B" w:rsidRDefault="000E491B" w:rsidP="000E491B">
      <w:r>
        <w:t>Figure 6:  Proportion of times each protocol is the optimal selection for screening and treatment of LTBI in refugees from moderate LTBI prevalence populations</w:t>
      </w:r>
    </w:p>
    <w:p w:rsidR="0062179C" w:rsidRDefault="0062179C"/>
    <w:p w:rsidR="0062179C" w:rsidRDefault="0062179C"/>
    <w:p w:rsidR="0062179C" w:rsidRDefault="0062179C"/>
    <w:p w:rsidR="0062179C" w:rsidRDefault="0062179C"/>
    <w:p w:rsidR="000E491B" w:rsidRDefault="000E491B" w:rsidP="000E491B">
      <w:r>
        <w:lastRenderedPageBreak/>
        <w:t xml:space="preserve">Figure </w:t>
      </w:r>
      <w:r w:rsidR="00AA1CF9">
        <w:t>7</w:t>
      </w:r>
      <w:r>
        <w:t xml:space="preserve"> is a graphical depiction of the percentage of times that the proposed protocol is the optimal selection when compared to the current protocol for low LTBI prevalence</w:t>
      </w:r>
      <w:r w:rsidR="004D24A7">
        <w:t xml:space="preserve"> refugee</w:t>
      </w:r>
      <w:r>
        <w:t xml:space="preserve"> populations</w:t>
      </w:r>
      <w:r w:rsidR="00810A42">
        <w:t xml:space="preserve"> when using the Monte Carlo probabilistic sensitivity analysis</w:t>
      </w:r>
      <w:r>
        <w:t>.  The protocol with lover overall cost</w:t>
      </w:r>
      <w:r w:rsidR="00810A42">
        <w:t>s</w:t>
      </w:r>
      <w:r>
        <w:t xml:space="preserve"> is the optimal protocol. The current protocol was the optimal protocol in virtually all of the </w:t>
      </w:r>
      <w:r w:rsidR="008D6B75">
        <w:t>simulatoins</w:t>
      </w:r>
      <w:r>
        <w:t xml:space="preserve"> for this population.  </w:t>
      </w:r>
    </w:p>
    <w:p w:rsidR="0062179C" w:rsidRDefault="0062179C"/>
    <w:p w:rsidR="0062179C" w:rsidRDefault="0062179C"/>
    <w:p w:rsidR="0062179C" w:rsidRDefault="00592A68">
      <w:r w:rsidRPr="00592A68">
        <w:rPr>
          <w:noProof/>
        </w:rPr>
        <w:drawing>
          <wp:inline distT="0" distB="0" distL="0" distR="0" wp14:anchorId="22C82F10" wp14:editId="74C22DB5">
            <wp:extent cx="5943600" cy="398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0684"/>
                    <a:stretch/>
                  </pic:blipFill>
                  <pic:spPr bwMode="auto">
                    <a:xfrm>
                      <a:off x="0" y="0"/>
                      <a:ext cx="5943600" cy="3981450"/>
                    </a:xfrm>
                    <a:prstGeom prst="rect">
                      <a:avLst/>
                    </a:prstGeom>
                    <a:ln>
                      <a:noFill/>
                    </a:ln>
                    <a:extLst>
                      <a:ext uri="{53640926-AAD7-44D8-BBD7-CCE9431645EC}">
                        <a14:shadowObscured xmlns:a14="http://schemas.microsoft.com/office/drawing/2010/main"/>
                      </a:ext>
                    </a:extLst>
                  </pic:spPr>
                </pic:pic>
              </a:graphicData>
            </a:graphic>
          </wp:inline>
        </w:drawing>
      </w:r>
    </w:p>
    <w:p w:rsidR="0062179C" w:rsidRDefault="0062179C"/>
    <w:p w:rsidR="000A2E67" w:rsidRDefault="000A2E67" w:rsidP="000A2E67">
      <w:r>
        <w:t>Figure 7:  Proportion of times each protocol is the optimal selection for screening and treatment of LTBI in refugees from moderate LTBI prevalence populations</w:t>
      </w:r>
    </w:p>
    <w:p w:rsidR="0062179C" w:rsidRDefault="0062179C"/>
    <w:p w:rsidR="0062179C" w:rsidRDefault="0062179C"/>
    <w:p w:rsidR="00810A42" w:rsidRDefault="00810A42"/>
    <w:p w:rsidR="00810A42" w:rsidRDefault="00810A42"/>
    <w:p w:rsidR="00810A42" w:rsidRDefault="00810A42"/>
    <w:p w:rsidR="0062179C" w:rsidRDefault="0062179C"/>
    <w:p w:rsidR="000A2E67" w:rsidRPr="00A736AD" w:rsidRDefault="000A2E67" w:rsidP="000A2E67">
      <w:pPr>
        <w:rPr>
          <w:b/>
        </w:rPr>
      </w:pPr>
      <w:r w:rsidRPr="00A736AD">
        <w:rPr>
          <w:b/>
        </w:rPr>
        <w:lastRenderedPageBreak/>
        <w:t xml:space="preserve">Section </w:t>
      </w:r>
      <w:r w:rsidR="00554113">
        <w:rPr>
          <w:b/>
        </w:rPr>
        <w:t>5</w:t>
      </w:r>
      <w:r w:rsidRPr="00A736AD">
        <w:rPr>
          <w:b/>
        </w:rPr>
        <w:t xml:space="preserve">:  </w:t>
      </w:r>
      <w:r w:rsidR="00554113">
        <w:rPr>
          <w:b/>
        </w:rPr>
        <w:t>Explanation of alternative scenarios</w:t>
      </w:r>
    </w:p>
    <w:p w:rsidR="000A2E67" w:rsidRDefault="000A2E67" w:rsidP="000A2E67">
      <w:r>
        <w:t xml:space="preserve">Figure </w:t>
      </w:r>
      <w:r w:rsidR="00AA1CF9">
        <w:t>8</w:t>
      </w:r>
      <w:r>
        <w:t xml:space="preserve"> depicts </w:t>
      </w:r>
      <w:r w:rsidR="00554113">
        <w:t xml:space="preserve">the decision tree that is used in the scenario analysis where INH is used to treat refugees in the U.S.  </w:t>
      </w:r>
      <w:r w:rsidR="00BC206D">
        <w:t>The sequence of events is similar to that seen in the base case analysis, and the primary difference is the form of treatment in the U.S</w:t>
      </w:r>
      <w:r w:rsidR="00921A52">
        <w:t xml:space="preserve">.  However, </w:t>
      </w:r>
      <w:r w:rsidR="00BC206D">
        <w:t>3HP is used during overseas treatment.</w:t>
      </w:r>
    </w:p>
    <w:p w:rsidR="000A2E67" w:rsidRDefault="000A2E67" w:rsidP="000A2E67">
      <w:r w:rsidRPr="008E22C2">
        <w:rPr>
          <w:noProof/>
        </w:rPr>
        <w:drawing>
          <wp:inline distT="0" distB="0" distL="0" distR="0" wp14:anchorId="3BC3E019" wp14:editId="6478EC8E">
            <wp:extent cx="3809365" cy="49625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4184" cy="4981830"/>
                    </a:xfrm>
                    <a:prstGeom prst="rect">
                      <a:avLst/>
                    </a:prstGeom>
                  </pic:spPr>
                </pic:pic>
              </a:graphicData>
            </a:graphic>
          </wp:inline>
        </w:drawing>
      </w:r>
    </w:p>
    <w:p w:rsidR="000A2E67" w:rsidRDefault="000A2E67" w:rsidP="000A2E67"/>
    <w:p w:rsidR="000A2E67" w:rsidRDefault="000A2E67" w:rsidP="000A2E67">
      <w:r>
        <w:t>Figure</w:t>
      </w:r>
      <w:r w:rsidR="00921A52">
        <w:t xml:space="preserve"> 8</w:t>
      </w:r>
      <w:r>
        <w:t>:  Overview of decision tree for comparison of two protocols for treating LTBI in U.S. bound refugees</w:t>
      </w:r>
      <w:r w:rsidR="00810A42">
        <w:t xml:space="preserve"> </w:t>
      </w:r>
      <w:r w:rsidR="00BC206D">
        <w:t>where INH is used for treatment in the U.S.</w:t>
      </w:r>
    </w:p>
    <w:p w:rsidR="0062179C" w:rsidRDefault="0062179C"/>
    <w:p w:rsidR="0062179C" w:rsidRDefault="0062179C"/>
    <w:p w:rsidR="0062179C" w:rsidRDefault="0062179C"/>
    <w:p w:rsidR="0062179C" w:rsidRDefault="0062179C"/>
    <w:p w:rsidR="0062179C" w:rsidRDefault="00AA5A3E">
      <w:r>
        <w:lastRenderedPageBreak/>
        <w:t xml:space="preserve">Figure </w:t>
      </w:r>
      <w:r w:rsidR="00AA1CF9">
        <w:t>9</w:t>
      </w:r>
      <w:r>
        <w:t xml:space="preserve"> depicts part of the decision tree under the alternative proposed protocol where screening for LTBI is conducted overseas, but all treatment takes place in the U.S.  This portion of the decision tree demonstrates the sequence of events for refugees with a positive TST overseas.  All refugees are encouraged to present for follow up medical evaluations once they arrive in the U.S.  Refugees that present for follow up evaluations and have a prior positive </w:t>
      </w:r>
      <w:r w:rsidR="00BC206D">
        <w:t>TST</w:t>
      </w:r>
      <w:r>
        <w:t xml:space="preserve"> from overseas are offered domestic treatment with 3HP</w:t>
      </w:r>
      <w:r w:rsidR="00BC206D">
        <w:t xml:space="preserve"> in the U.S</w:t>
      </w:r>
      <w:r>
        <w:t>.</w:t>
      </w:r>
    </w:p>
    <w:p w:rsidR="0062179C" w:rsidRDefault="0062179C"/>
    <w:p w:rsidR="0062179C" w:rsidRDefault="00921A52">
      <w:r w:rsidRPr="00921A52">
        <w:rPr>
          <w:noProof/>
        </w:rPr>
        <w:drawing>
          <wp:inline distT="0" distB="0" distL="0" distR="0" wp14:anchorId="69F001BC" wp14:editId="48943192">
            <wp:extent cx="5943600" cy="4259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259580"/>
                    </a:xfrm>
                    <a:prstGeom prst="rect">
                      <a:avLst/>
                    </a:prstGeom>
                  </pic:spPr>
                </pic:pic>
              </a:graphicData>
            </a:graphic>
          </wp:inline>
        </w:drawing>
      </w:r>
    </w:p>
    <w:p w:rsidR="0062179C" w:rsidRDefault="0062179C"/>
    <w:p w:rsidR="0062179C" w:rsidRDefault="0062179C"/>
    <w:p w:rsidR="0062179C" w:rsidRDefault="00AA5A3E">
      <w:r>
        <w:t>Figure 9:  LTBI screening for U.S. bound refugees with a positive TST overseas under the alternative proposed protocol incorporating screening overseas and treatment in the U.S.</w:t>
      </w:r>
    </w:p>
    <w:p w:rsidR="0062179C" w:rsidRDefault="0062179C"/>
    <w:p w:rsidR="0062179C" w:rsidRDefault="0062179C"/>
    <w:p w:rsidR="0062179C" w:rsidRDefault="0062179C"/>
    <w:p w:rsidR="0062179C" w:rsidRDefault="0062179C"/>
    <w:p w:rsidR="0062179C" w:rsidRDefault="0062179C"/>
    <w:p w:rsidR="00704C0A" w:rsidRDefault="00704C0A" w:rsidP="00704C0A">
      <w:r>
        <w:lastRenderedPageBreak/>
        <w:t xml:space="preserve">Figure 10 depicts the part of the decision tree under the alternative proposed protocol where screening for LTBI is conducted overseas, but all treatment takes place in the U.S.  The diagram shows the sequence of events for refugees with a negative TST overseas.  Refugees are encouraged to present for follow up medical evaluations after U.S. arrival.  Refugees presenting for follow up may </w:t>
      </w:r>
      <w:r w:rsidR="00F92CAB">
        <w:t xml:space="preserve">or may not </w:t>
      </w:r>
      <w:r>
        <w:t>receive LTBI testing again if they had a negative TST result during overseas testing.</w:t>
      </w:r>
    </w:p>
    <w:p w:rsidR="00704C0A" w:rsidRDefault="00704C0A" w:rsidP="00704C0A"/>
    <w:p w:rsidR="00704C0A" w:rsidRDefault="00704C0A" w:rsidP="00704C0A">
      <w:r w:rsidRPr="00704C0A">
        <w:rPr>
          <w:noProof/>
        </w:rPr>
        <w:drawing>
          <wp:inline distT="0" distB="0" distL="0" distR="0" wp14:anchorId="3C7A0359" wp14:editId="2FDF3E08">
            <wp:extent cx="5943600" cy="42329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32910"/>
                    </a:xfrm>
                    <a:prstGeom prst="rect">
                      <a:avLst/>
                    </a:prstGeom>
                  </pic:spPr>
                </pic:pic>
              </a:graphicData>
            </a:graphic>
          </wp:inline>
        </w:drawing>
      </w:r>
    </w:p>
    <w:p w:rsidR="00704C0A" w:rsidRDefault="00704C0A" w:rsidP="00704C0A"/>
    <w:p w:rsidR="00704C0A" w:rsidRDefault="00704C0A" w:rsidP="00704C0A"/>
    <w:p w:rsidR="00704C0A" w:rsidRDefault="00704C0A" w:rsidP="00704C0A"/>
    <w:p w:rsidR="00704C0A" w:rsidRDefault="00704C0A" w:rsidP="00704C0A">
      <w:r>
        <w:t>Figure 10:  LTBI screening for U.S. bound refugees with a negative TST overseas under the alternative proposed protocol incorporating screening overseas and treatment in the U.S.</w:t>
      </w:r>
    </w:p>
    <w:p w:rsidR="005222E4" w:rsidRDefault="005222E4" w:rsidP="00704C0A"/>
    <w:p w:rsidR="005222E4" w:rsidRDefault="005222E4" w:rsidP="00704C0A"/>
    <w:p w:rsidR="00F92CAB" w:rsidRDefault="00F92CAB" w:rsidP="00704C0A"/>
    <w:p w:rsidR="00F92CAB" w:rsidRDefault="00F92CAB" w:rsidP="00704C0A"/>
    <w:p w:rsidR="005222E4" w:rsidRPr="00F92CAB" w:rsidRDefault="005222E4" w:rsidP="00704C0A">
      <w:pPr>
        <w:rPr>
          <w:b/>
        </w:rPr>
      </w:pPr>
      <w:bookmarkStart w:id="0" w:name="_GoBack"/>
      <w:r w:rsidRPr="00F92CAB">
        <w:rPr>
          <w:b/>
        </w:rPr>
        <w:lastRenderedPageBreak/>
        <w:t>References</w:t>
      </w:r>
    </w:p>
    <w:bookmarkEnd w:id="0"/>
    <w:p w:rsidR="005222E4" w:rsidRDefault="005222E4" w:rsidP="005222E4">
      <w:pPr>
        <w:rPr>
          <w:rFonts w:ascii="Calibri" w:hAnsi="Calibri"/>
          <w:noProof/>
        </w:rPr>
      </w:pPr>
      <w:r>
        <w:rPr>
          <w:rFonts w:ascii="Calibri" w:hAnsi="Calibri"/>
          <w:noProof/>
        </w:rPr>
        <w:t xml:space="preserve">1.  </w:t>
      </w:r>
      <w:r w:rsidRPr="00F5608A">
        <w:rPr>
          <w:rFonts w:ascii="Calibri" w:hAnsi="Calibri"/>
          <w:noProof/>
        </w:rPr>
        <w:t xml:space="preserve">Centers for Disease Control and Prevention: Tuberculosis screening and treatment technical instructions (TB TIs) using cultures and directly observed therapy (DOT) for panel physicians 2013. </w:t>
      </w:r>
      <w:hyperlink r:id="rId16" w:history="1">
        <w:r w:rsidRPr="00F5608A">
          <w:rPr>
            <w:rStyle w:val="Hyperlink"/>
            <w:rFonts w:ascii="Calibri" w:hAnsi="Calibri"/>
            <w:noProof/>
          </w:rPr>
          <w:t>http://www.cdc.gov/immigrantrefugeehealth/exams/ti/panel/tuberculosis-panel-technical-instructions.html</w:t>
        </w:r>
      </w:hyperlink>
      <w:r w:rsidRPr="00F5608A">
        <w:rPr>
          <w:rFonts w:ascii="Calibri" w:hAnsi="Calibri"/>
          <w:noProof/>
        </w:rPr>
        <w:t xml:space="preserve"> (2013).  Accesed 2 Nov 2013.</w:t>
      </w:r>
    </w:p>
    <w:p w:rsidR="005222E4" w:rsidRDefault="005222E4" w:rsidP="005222E4">
      <w:pPr>
        <w:rPr>
          <w:rFonts w:ascii="Calibri" w:hAnsi="Calibri"/>
          <w:noProof/>
        </w:rPr>
      </w:pPr>
      <w:r>
        <w:rPr>
          <w:rFonts w:ascii="Calibri" w:hAnsi="Calibri"/>
          <w:noProof/>
        </w:rPr>
        <w:t xml:space="preserve">2.  </w:t>
      </w:r>
      <w:r w:rsidRPr="002C25FF">
        <w:rPr>
          <w:rFonts w:ascii="Calibri" w:hAnsi="Calibri"/>
          <w:noProof/>
        </w:rPr>
        <w:t xml:space="preserve">Liu Y, Weinberg MS, Ortega LS, Painter JA, Maloney SA. Overseas screening for tuberculosis in </w:t>
      </w:r>
      <w:r>
        <w:rPr>
          <w:rFonts w:ascii="Calibri" w:hAnsi="Calibri"/>
          <w:noProof/>
        </w:rPr>
        <w:t>U</w:t>
      </w:r>
      <w:r w:rsidRPr="002C25FF">
        <w:rPr>
          <w:rFonts w:ascii="Calibri" w:hAnsi="Calibri"/>
          <w:noProof/>
        </w:rPr>
        <w:t>.</w:t>
      </w:r>
      <w:r>
        <w:rPr>
          <w:rFonts w:ascii="Calibri" w:hAnsi="Calibri"/>
          <w:noProof/>
        </w:rPr>
        <w:t>S</w:t>
      </w:r>
      <w:r w:rsidRPr="002C25FF">
        <w:rPr>
          <w:rFonts w:ascii="Calibri" w:hAnsi="Calibri"/>
          <w:noProof/>
        </w:rPr>
        <w:t xml:space="preserve">.-bound immigrants and refugees. </w:t>
      </w:r>
      <w:r>
        <w:rPr>
          <w:rFonts w:ascii="Calibri" w:hAnsi="Calibri"/>
          <w:noProof/>
        </w:rPr>
        <w:t>N Engl J Med</w:t>
      </w:r>
      <w:r>
        <w:rPr>
          <w:rFonts w:ascii="Calibri" w:hAnsi="Calibri"/>
          <w:i/>
          <w:noProof/>
        </w:rPr>
        <w:t>.</w:t>
      </w:r>
      <w:r w:rsidRPr="002C25FF">
        <w:rPr>
          <w:rFonts w:ascii="Calibri" w:hAnsi="Calibri"/>
          <w:i/>
          <w:noProof/>
        </w:rPr>
        <w:t xml:space="preserve"> </w:t>
      </w:r>
      <w:r w:rsidRPr="002C25FF">
        <w:rPr>
          <w:rFonts w:ascii="Calibri" w:hAnsi="Calibri"/>
          <w:noProof/>
        </w:rPr>
        <w:t>2009;360</w:t>
      </w:r>
      <w:r>
        <w:rPr>
          <w:rFonts w:ascii="Calibri" w:hAnsi="Calibri"/>
          <w:noProof/>
        </w:rPr>
        <w:t>(23)</w:t>
      </w:r>
      <w:r w:rsidRPr="002C25FF">
        <w:rPr>
          <w:rFonts w:ascii="Calibri" w:hAnsi="Calibri"/>
          <w:noProof/>
        </w:rPr>
        <w:t>:2406-15.</w:t>
      </w:r>
    </w:p>
    <w:p w:rsidR="005222E4" w:rsidRDefault="005222E4" w:rsidP="005222E4">
      <w:pPr>
        <w:rPr>
          <w:rFonts w:ascii="Calibri" w:hAnsi="Calibri"/>
          <w:noProof/>
        </w:rPr>
      </w:pPr>
      <w:r>
        <w:rPr>
          <w:rFonts w:ascii="Calibri" w:hAnsi="Calibri"/>
          <w:noProof/>
        </w:rPr>
        <w:t>3.  Shah JJ, Maloney SA, Liu Y, Flagg EW, Johnston JP, Young SA, Weston R, et al.  Evaluation of the impact of overseas pre-departure treatment for infection with intestinal parasites and Montagnard refugees migrating from Cambodia to North Carolina.  Am J Trop Med Hyg. 2008;78(5):754-9.</w:t>
      </w:r>
    </w:p>
    <w:p w:rsidR="005222E4" w:rsidRDefault="005222E4" w:rsidP="005222E4">
      <w:pPr>
        <w:rPr>
          <w:rFonts w:ascii="Calibri" w:hAnsi="Calibri"/>
          <w:noProof/>
        </w:rPr>
      </w:pPr>
      <w:r>
        <w:rPr>
          <w:rFonts w:ascii="Calibri" w:hAnsi="Calibri"/>
          <w:noProof/>
        </w:rPr>
        <w:t>4</w:t>
      </w:r>
      <w:r w:rsidRPr="002C25FF">
        <w:rPr>
          <w:rFonts w:ascii="Calibri" w:hAnsi="Calibri"/>
          <w:noProof/>
        </w:rPr>
        <w:t>.</w:t>
      </w:r>
      <w:r>
        <w:rPr>
          <w:rFonts w:ascii="Calibri" w:hAnsi="Calibri"/>
          <w:noProof/>
        </w:rPr>
        <w:t xml:space="preserve"> </w:t>
      </w:r>
      <w:r w:rsidRPr="002C25FF">
        <w:rPr>
          <w:rFonts w:ascii="Calibri" w:hAnsi="Calibri"/>
          <w:noProof/>
        </w:rPr>
        <w:t>Sterling TR, Villarino ME, Borisov AS, Shang N</w:t>
      </w:r>
      <w:r>
        <w:rPr>
          <w:rFonts w:ascii="Calibri" w:hAnsi="Calibri"/>
          <w:noProof/>
        </w:rPr>
        <w:t>, Gordin F, Bliven-Sizemore E, et al</w:t>
      </w:r>
      <w:r w:rsidRPr="002C25FF">
        <w:rPr>
          <w:rFonts w:ascii="Calibri" w:hAnsi="Calibri"/>
          <w:noProof/>
        </w:rPr>
        <w:t xml:space="preserve">. Three months of rifapentine and isoniazid for latent tuberculosis infection. </w:t>
      </w:r>
      <w:r w:rsidRPr="008E52A0">
        <w:rPr>
          <w:rFonts w:ascii="Calibri" w:hAnsi="Calibri"/>
          <w:noProof/>
        </w:rPr>
        <w:t>N Engl J Med</w:t>
      </w:r>
      <w:r>
        <w:rPr>
          <w:rFonts w:ascii="Calibri" w:hAnsi="Calibri"/>
          <w:i/>
          <w:noProof/>
        </w:rPr>
        <w:t>.</w:t>
      </w:r>
      <w:r w:rsidRPr="002C25FF">
        <w:rPr>
          <w:rFonts w:ascii="Calibri" w:hAnsi="Calibri"/>
          <w:i/>
          <w:noProof/>
        </w:rPr>
        <w:t xml:space="preserve"> </w:t>
      </w:r>
      <w:r w:rsidRPr="002C25FF">
        <w:rPr>
          <w:rFonts w:ascii="Calibri" w:hAnsi="Calibri"/>
          <w:noProof/>
        </w:rPr>
        <w:t>2011;365</w:t>
      </w:r>
      <w:r>
        <w:rPr>
          <w:rFonts w:ascii="Calibri" w:hAnsi="Calibri"/>
          <w:noProof/>
        </w:rPr>
        <w:t>(23)</w:t>
      </w:r>
      <w:r w:rsidRPr="002C25FF">
        <w:rPr>
          <w:rFonts w:ascii="Calibri" w:hAnsi="Calibri"/>
          <w:noProof/>
        </w:rPr>
        <w:t>:2155-66.</w:t>
      </w:r>
    </w:p>
    <w:p w:rsidR="005222E4" w:rsidRDefault="005222E4" w:rsidP="005222E4">
      <w:pPr>
        <w:suppressLineNumbers/>
        <w:spacing w:after="0" w:line="240" w:lineRule="auto"/>
        <w:rPr>
          <w:rFonts w:ascii="Calibri" w:hAnsi="Calibri"/>
          <w:noProof/>
        </w:rPr>
      </w:pPr>
      <w:bookmarkStart w:id="1" w:name="_ENREF_48"/>
      <w:r>
        <w:rPr>
          <w:rFonts w:ascii="Calibri" w:hAnsi="Calibri"/>
          <w:noProof/>
        </w:rPr>
        <w:t>5</w:t>
      </w:r>
      <w:r w:rsidRPr="002C25FF">
        <w:rPr>
          <w:rFonts w:ascii="Calibri" w:hAnsi="Calibri"/>
          <w:noProof/>
        </w:rPr>
        <w:t>.</w:t>
      </w:r>
      <w:r>
        <w:rPr>
          <w:rFonts w:ascii="Calibri" w:hAnsi="Calibri"/>
          <w:noProof/>
        </w:rPr>
        <w:t xml:space="preserve">  </w:t>
      </w:r>
      <w:bookmarkEnd w:id="1"/>
      <w:r>
        <w:rPr>
          <w:noProof/>
        </w:rPr>
        <w:t>Lowenthal P, Westenhouse J, Moore M, Posey DL, Watt JP, et al. Reduced importation of tuberculosis after the implementation of an enhanced pre-immigration screening protocol.  Int J Tuberc Lung Dis. 2011;15:761-6.</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6.  </w:t>
      </w:r>
      <w:r w:rsidRPr="002C25FF">
        <w:rPr>
          <w:rFonts w:ascii="Calibri" w:hAnsi="Calibri"/>
          <w:noProof/>
        </w:rPr>
        <w:t xml:space="preserve">Oxlade O, Schwartzman K, Menzies D. Interferon-gamma release assays and </w:t>
      </w:r>
      <w:r>
        <w:rPr>
          <w:rFonts w:ascii="Calibri" w:hAnsi="Calibri"/>
          <w:noProof/>
        </w:rPr>
        <w:t>TB</w:t>
      </w:r>
      <w:r w:rsidRPr="002C25FF">
        <w:rPr>
          <w:rFonts w:ascii="Calibri" w:hAnsi="Calibri"/>
          <w:noProof/>
        </w:rPr>
        <w:t xml:space="preserve"> screening in high-income countries: A cost-effectiveness analysis. </w:t>
      </w:r>
      <w:r>
        <w:rPr>
          <w:rFonts w:ascii="Calibri" w:hAnsi="Calibri"/>
          <w:noProof/>
        </w:rPr>
        <w:t xml:space="preserve">Int J Tuber Lung Dis. </w:t>
      </w:r>
      <w:r w:rsidRPr="002C25FF">
        <w:rPr>
          <w:rFonts w:ascii="Calibri" w:hAnsi="Calibri"/>
          <w:noProof/>
        </w:rPr>
        <w:t>2007;11</w:t>
      </w:r>
      <w:r>
        <w:rPr>
          <w:rFonts w:ascii="Calibri" w:hAnsi="Calibri"/>
          <w:noProof/>
        </w:rPr>
        <w:t>(1)</w:t>
      </w:r>
      <w:r w:rsidRPr="002C25FF">
        <w:rPr>
          <w:rFonts w:ascii="Calibri" w:hAnsi="Calibri"/>
          <w:noProof/>
        </w:rPr>
        <w:t>:16-</w:t>
      </w:r>
      <w:r>
        <w:rPr>
          <w:rFonts w:ascii="Calibri" w:hAnsi="Calibri"/>
          <w:noProof/>
        </w:rPr>
        <w:t>26.</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7.  </w:t>
      </w:r>
      <w:r w:rsidRPr="002C25FF">
        <w:rPr>
          <w:rFonts w:ascii="Calibri" w:hAnsi="Calibri"/>
          <w:noProof/>
        </w:rPr>
        <w:t xml:space="preserve">Oxlade O, Pinto M, Trajman A, Menzies D. How methodologic differences affect results of economic analyses: </w:t>
      </w:r>
      <w:r>
        <w:rPr>
          <w:rFonts w:ascii="Calibri" w:hAnsi="Calibri"/>
          <w:noProof/>
        </w:rPr>
        <w:t>a</w:t>
      </w:r>
      <w:r w:rsidRPr="002C25FF">
        <w:rPr>
          <w:rFonts w:ascii="Calibri" w:hAnsi="Calibri"/>
          <w:noProof/>
        </w:rPr>
        <w:t xml:space="preserve"> systematic review of interferon gamma release assays for the diagnosis of </w:t>
      </w:r>
      <w:r>
        <w:rPr>
          <w:rFonts w:ascii="Calibri" w:hAnsi="Calibri"/>
          <w:noProof/>
        </w:rPr>
        <w:t>LTBI</w:t>
      </w:r>
      <w:r w:rsidRPr="002C25FF">
        <w:rPr>
          <w:rFonts w:ascii="Calibri" w:hAnsi="Calibri"/>
          <w:noProof/>
        </w:rPr>
        <w:t xml:space="preserve">. </w:t>
      </w:r>
      <w:r w:rsidRPr="00D00313">
        <w:rPr>
          <w:rFonts w:ascii="Calibri" w:hAnsi="Calibri"/>
          <w:noProof/>
        </w:rPr>
        <w:t>PloS One</w:t>
      </w:r>
      <w:r>
        <w:rPr>
          <w:rFonts w:ascii="Calibri" w:hAnsi="Calibri"/>
          <w:i/>
          <w:noProof/>
        </w:rPr>
        <w:t>.</w:t>
      </w:r>
      <w:r w:rsidRPr="002C25FF">
        <w:rPr>
          <w:rFonts w:ascii="Calibri" w:hAnsi="Calibri"/>
          <w:i/>
          <w:noProof/>
        </w:rPr>
        <w:t xml:space="preserve"> </w:t>
      </w:r>
      <w:r w:rsidRPr="002C25FF">
        <w:rPr>
          <w:rFonts w:ascii="Calibri" w:hAnsi="Calibri"/>
          <w:noProof/>
        </w:rPr>
        <w:t>2013;8</w:t>
      </w:r>
      <w:r>
        <w:rPr>
          <w:rFonts w:ascii="Calibri" w:hAnsi="Calibri"/>
          <w:noProof/>
        </w:rPr>
        <w:t>(3)</w:t>
      </w:r>
      <w:r w:rsidRPr="002C25FF">
        <w:rPr>
          <w:rFonts w:ascii="Calibri" w:hAnsi="Calibri"/>
          <w:noProof/>
        </w:rPr>
        <w:t>:e56044.</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8.  </w:t>
      </w:r>
      <w:r w:rsidRPr="002C25FF">
        <w:rPr>
          <w:rFonts w:ascii="Calibri" w:hAnsi="Calibri"/>
          <w:noProof/>
        </w:rPr>
        <w:t xml:space="preserve">Holland DP, Sanders GD, Hamilton CD, Stout JE. Costs and cost-effectiveness of four treatment regimens for latent tuberculosis infection. </w:t>
      </w:r>
      <w:r>
        <w:rPr>
          <w:rFonts w:ascii="Calibri" w:hAnsi="Calibri"/>
          <w:noProof/>
        </w:rPr>
        <w:t>Am J Respir Crit Care Med.</w:t>
      </w:r>
      <w:r w:rsidRPr="002C25FF">
        <w:rPr>
          <w:rFonts w:ascii="Calibri" w:hAnsi="Calibri"/>
          <w:i/>
          <w:noProof/>
        </w:rPr>
        <w:t xml:space="preserve"> </w:t>
      </w:r>
      <w:r w:rsidRPr="002C25FF">
        <w:rPr>
          <w:rFonts w:ascii="Calibri" w:hAnsi="Calibri"/>
          <w:noProof/>
        </w:rPr>
        <w:t>2009;179</w:t>
      </w:r>
      <w:r>
        <w:rPr>
          <w:rFonts w:ascii="Calibri" w:hAnsi="Calibri"/>
          <w:noProof/>
        </w:rPr>
        <w:t>(11)</w:t>
      </w:r>
      <w:r w:rsidRPr="002C25FF">
        <w:rPr>
          <w:rFonts w:ascii="Calibri" w:hAnsi="Calibri"/>
          <w:noProof/>
        </w:rPr>
        <w:t>:1055-60.</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9.  </w:t>
      </w:r>
      <w:r w:rsidRPr="00BF1A84">
        <w:rPr>
          <w:rFonts w:ascii="Calibri" w:hAnsi="Calibri"/>
          <w:noProof/>
        </w:rPr>
        <w:t>International Organization for Migration. Migration health annual review 2012. http://publications.iom.int/bookstore/free/MHD_AR_2012_11Sept2013.pdf (2013).  Accessed March 17, 2015.</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10. </w:t>
      </w:r>
      <w:r w:rsidRPr="002C25FF">
        <w:rPr>
          <w:rFonts w:ascii="Calibri" w:hAnsi="Calibri"/>
          <w:noProof/>
        </w:rPr>
        <w:t xml:space="preserve">Farhat M, Greenaway C, Pai M, Menzies D. False-positive tuberculin skin tests: What is the absolute effect of bcg and non-tuberculous mycobacteria? </w:t>
      </w:r>
      <w:r>
        <w:rPr>
          <w:rFonts w:ascii="Calibri" w:hAnsi="Calibri"/>
          <w:noProof/>
        </w:rPr>
        <w:t>Int J Tuber Lung Dis.</w:t>
      </w:r>
      <w:r w:rsidRPr="002C25FF">
        <w:rPr>
          <w:rFonts w:ascii="Calibri" w:hAnsi="Calibri"/>
          <w:noProof/>
        </w:rPr>
        <w:t xml:space="preserve"> 2006;10</w:t>
      </w:r>
      <w:r>
        <w:rPr>
          <w:rFonts w:ascii="Calibri" w:hAnsi="Calibri"/>
          <w:noProof/>
        </w:rPr>
        <w:t>(11)</w:t>
      </w:r>
      <w:r w:rsidRPr="002C25FF">
        <w:rPr>
          <w:rFonts w:ascii="Calibri" w:hAnsi="Calibri"/>
          <w:noProof/>
        </w:rPr>
        <w:t>:1192-204.</w:t>
      </w:r>
    </w:p>
    <w:p w:rsidR="005222E4" w:rsidRDefault="005222E4" w:rsidP="005222E4">
      <w:pPr>
        <w:suppressLineNumbers/>
        <w:spacing w:after="0" w:line="240" w:lineRule="auto"/>
        <w:rPr>
          <w:rFonts w:ascii="Calibri" w:hAnsi="Calibri"/>
          <w:noProof/>
        </w:rPr>
      </w:pPr>
      <w:bookmarkStart w:id="2" w:name="_ENREF_19"/>
    </w:p>
    <w:p w:rsidR="005222E4" w:rsidRPr="002C25FF" w:rsidRDefault="005222E4" w:rsidP="005222E4">
      <w:pPr>
        <w:suppressLineNumbers/>
        <w:spacing w:after="0" w:line="240" w:lineRule="auto"/>
        <w:rPr>
          <w:rFonts w:ascii="Calibri" w:hAnsi="Calibri"/>
          <w:noProof/>
        </w:rPr>
      </w:pPr>
      <w:r>
        <w:rPr>
          <w:rFonts w:ascii="Calibri" w:hAnsi="Calibri"/>
          <w:noProof/>
        </w:rPr>
        <w:t>11</w:t>
      </w:r>
      <w:r w:rsidRPr="002C25FF">
        <w:rPr>
          <w:rFonts w:ascii="Calibri" w:hAnsi="Calibri"/>
          <w:noProof/>
        </w:rPr>
        <w:t>.</w:t>
      </w:r>
      <w:r>
        <w:rPr>
          <w:rFonts w:ascii="Calibri" w:hAnsi="Calibri"/>
          <w:noProof/>
        </w:rPr>
        <w:t xml:space="preserve"> </w:t>
      </w:r>
      <w:r w:rsidRPr="002C25FF">
        <w:rPr>
          <w:rFonts w:ascii="Calibri" w:hAnsi="Calibri"/>
          <w:noProof/>
        </w:rPr>
        <w:t xml:space="preserve">Varkey P, Jerath AU, Bagniewski SM, Lesnick TG. The epidemiology of tuberculosis among primary refugee arrivals in minnesota between 1997 and 2001. </w:t>
      </w:r>
      <w:r w:rsidRPr="00DE5CD2">
        <w:rPr>
          <w:rFonts w:ascii="Calibri" w:hAnsi="Calibri"/>
          <w:noProof/>
        </w:rPr>
        <w:t>J</w:t>
      </w:r>
      <w:r>
        <w:rPr>
          <w:rFonts w:ascii="Calibri" w:hAnsi="Calibri"/>
          <w:noProof/>
        </w:rPr>
        <w:t xml:space="preserve"> T</w:t>
      </w:r>
      <w:r w:rsidRPr="00DE5CD2">
        <w:rPr>
          <w:rFonts w:ascii="Calibri" w:hAnsi="Calibri"/>
          <w:noProof/>
        </w:rPr>
        <w:t xml:space="preserve">ravel </w:t>
      </w:r>
      <w:r>
        <w:rPr>
          <w:rFonts w:ascii="Calibri" w:hAnsi="Calibri"/>
          <w:noProof/>
        </w:rPr>
        <w:t>M</w:t>
      </w:r>
      <w:r w:rsidRPr="00DE5CD2">
        <w:rPr>
          <w:rFonts w:ascii="Calibri" w:hAnsi="Calibri"/>
          <w:noProof/>
        </w:rPr>
        <w:t>ed</w:t>
      </w:r>
      <w:r>
        <w:rPr>
          <w:rFonts w:ascii="Calibri" w:hAnsi="Calibri"/>
          <w:noProof/>
        </w:rPr>
        <w:t>.</w:t>
      </w:r>
      <w:r w:rsidRPr="002C25FF">
        <w:rPr>
          <w:rFonts w:ascii="Calibri" w:hAnsi="Calibri"/>
          <w:i/>
          <w:noProof/>
        </w:rPr>
        <w:t xml:space="preserve"> </w:t>
      </w:r>
      <w:r w:rsidRPr="002C25FF">
        <w:rPr>
          <w:rFonts w:ascii="Calibri" w:hAnsi="Calibri"/>
          <w:noProof/>
        </w:rPr>
        <w:t>2007;14</w:t>
      </w:r>
      <w:r>
        <w:rPr>
          <w:rFonts w:ascii="Calibri" w:hAnsi="Calibri"/>
          <w:noProof/>
        </w:rPr>
        <w:t>(1)</w:t>
      </w:r>
      <w:r w:rsidRPr="002C25FF">
        <w:rPr>
          <w:rFonts w:ascii="Calibri" w:hAnsi="Calibri"/>
          <w:noProof/>
        </w:rPr>
        <w:t>:1-8.</w:t>
      </w:r>
      <w:bookmarkEnd w:id="2"/>
    </w:p>
    <w:p w:rsidR="005222E4" w:rsidRDefault="005222E4" w:rsidP="005222E4">
      <w:pPr>
        <w:suppressLineNumbers/>
        <w:spacing w:after="0" w:line="240" w:lineRule="auto"/>
        <w:rPr>
          <w:rFonts w:ascii="Calibri" w:hAnsi="Calibri"/>
          <w:noProof/>
        </w:rPr>
      </w:pPr>
      <w:bookmarkStart w:id="3" w:name="_ENREF_20"/>
    </w:p>
    <w:p w:rsidR="005222E4" w:rsidRPr="002C25FF" w:rsidRDefault="005222E4" w:rsidP="005222E4">
      <w:pPr>
        <w:suppressLineNumbers/>
        <w:spacing w:after="0" w:line="240" w:lineRule="auto"/>
        <w:rPr>
          <w:rFonts w:ascii="Calibri" w:hAnsi="Calibri"/>
          <w:noProof/>
        </w:rPr>
      </w:pPr>
      <w:r>
        <w:rPr>
          <w:rFonts w:ascii="Calibri" w:hAnsi="Calibri"/>
          <w:noProof/>
        </w:rPr>
        <w:t>12</w:t>
      </w:r>
      <w:r w:rsidRPr="002C25FF">
        <w:rPr>
          <w:rFonts w:ascii="Calibri" w:hAnsi="Calibri"/>
          <w:noProof/>
        </w:rPr>
        <w:t>.</w:t>
      </w:r>
      <w:r>
        <w:rPr>
          <w:rFonts w:ascii="Calibri" w:hAnsi="Calibri"/>
          <w:noProof/>
        </w:rPr>
        <w:t xml:space="preserve"> </w:t>
      </w:r>
      <w:r w:rsidRPr="002C25FF">
        <w:rPr>
          <w:rFonts w:ascii="Calibri" w:hAnsi="Calibri"/>
          <w:noProof/>
        </w:rPr>
        <w:t xml:space="preserve">Chai SJ, Davies-Cole J, Cookson ST. Infectious disease burden and vaccination needs among asylees versus refugees, district of columbia. </w:t>
      </w:r>
      <w:r w:rsidRPr="004B3476">
        <w:rPr>
          <w:rFonts w:ascii="Calibri" w:hAnsi="Calibri"/>
          <w:noProof/>
        </w:rPr>
        <w:t xml:space="preserve">Clin </w:t>
      </w:r>
      <w:r>
        <w:rPr>
          <w:rFonts w:ascii="Calibri" w:hAnsi="Calibri"/>
          <w:noProof/>
        </w:rPr>
        <w:t>I</w:t>
      </w:r>
      <w:r w:rsidRPr="004B3476">
        <w:rPr>
          <w:rFonts w:ascii="Calibri" w:hAnsi="Calibri"/>
          <w:noProof/>
        </w:rPr>
        <w:t xml:space="preserve">nfect </w:t>
      </w:r>
      <w:r>
        <w:rPr>
          <w:rFonts w:ascii="Calibri" w:hAnsi="Calibri"/>
          <w:noProof/>
        </w:rPr>
        <w:t>D</w:t>
      </w:r>
      <w:r w:rsidRPr="004B3476">
        <w:rPr>
          <w:rFonts w:ascii="Calibri" w:hAnsi="Calibri"/>
          <w:noProof/>
        </w:rPr>
        <w:t>is</w:t>
      </w:r>
      <w:r>
        <w:rPr>
          <w:rFonts w:ascii="Calibri" w:hAnsi="Calibri"/>
          <w:i/>
          <w:noProof/>
        </w:rPr>
        <w:t>.</w:t>
      </w:r>
      <w:r w:rsidRPr="002C25FF">
        <w:rPr>
          <w:rFonts w:ascii="Calibri" w:hAnsi="Calibri"/>
          <w:i/>
          <w:noProof/>
        </w:rPr>
        <w:t xml:space="preserve"> </w:t>
      </w:r>
      <w:r w:rsidRPr="002C25FF">
        <w:rPr>
          <w:rFonts w:ascii="Calibri" w:hAnsi="Calibri"/>
          <w:noProof/>
        </w:rPr>
        <w:t>2013;56</w:t>
      </w:r>
      <w:r>
        <w:rPr>
          <w:rFonts w:ascii="Calibri" w:hAnsi="Calibri"/>
          <w:noProof/>
        </w:rPr>
        <w:t>(5)</w:t>
      </w:r>
      <w:r w:rsidRPr="002C25FF">
        <w:rPr>
          <w:rFonts w:ascii="Calibri" w:hAnsi="Calibri"/>
          <w:noProof/>
        </w:rPr>
        <w:t>:652-8.</w:t>
      </w:r>
      <w:bookmarkEnd w:id="3"/>
    </w:p>
    <w:p w:rsidR="005222E4" w:rsidRDefault="005222E4" w:rsidP="005222E4">
      <w:pPr>
        <w:suppressLineNumbers/>
        <w:spacing w:after="0" w:line="240" w:lineRule="auto"/>
        <w:rPr>
          <w:rFonts w:ascii="Calibri" w:hAnsi="Calibri"/>
          <w:noProof/>
        </w:rPr>
      </w:pPr>
      <w:bookmarkStart w:id="4" w:name="_ENREF_21"/>
    </w:p>
    <w:p w:rsidR="005222E4" w:rsidRPr="002C25FF" w:rsidRDefault="005222E4" w:rsidP="005222E4">
      <w:pPr>
        <w:suppressLineNumbers/>
        <w:spacing w:after="0" w:line="240" w:lineRule="auto"/>
        <w:rPr>
          <w:rFonts w:ascii="Calibri" w:hAnsi="Calibri"/>
          <w:noProof/>
        </w:rPr>
      </w:pPr>
      <w:r>
        <w:rPr>
          <w:rFonts w:ascii="Calibri" w:hAnsi="Calibri"/>
          <w:noProof/>
        </w:rPr>
        <w:t>13</w:t>
      </w:r>
      <w:r w:rsidRPr="002C25FF">
        <w:rPr>
          <w:rFonts w:ascii="Calibri" w:hAnsi="Calibri"/>
          <w:noProof/>
        </w:rPr>
        <w:t>.</w:t>
      </w:r>
      <w:r>
        <w:rPr>
          <w:rFonts w:ascii="Calibri" w:hAnsi="Calibri"/>
          <w:noProof/>
        </w:rPr>
        <w:t xml:space="preserve"> </w:t>
      </w:r>
      <w:r w:rsidRPr="002C25FF">
        <w:rPr>
          <w:rFonts w:ascii="Calibri" w:hAnsi="Calibri"/>
          <w:noProof/>
        </w:rPr>
        <w:t xml:space="preserve">Kowatsch-Beyer K, Norris-Turner A, Love R, Denkowski P, Wang SH. Utilization of a latent tuberculosis infection referral system by newly resettled refugees in central </w:t>
      </w:r>
      <w:r>
        <w:rPr>
          <w:rFonts w:ascii="Calibri" w:hAnsi="Calibri"/>
          <w:noProof/>
        </w:rPr>
        <w:t>O</w:t>
      </w:r>
      <w:r w:rsidRPr="002C25FF">
        <w:rPr>
          <w:rFonts w:ascii="Calibri" w:hAnsi="Calibri"/>
          <w:noProof/>
        </w:rPr>
        <w:t xml:space="preserve">hio. </w:t>
      </w:r>
      <w:r>
        <w:rPr>
          <w:rFonts w:ascii="Calibri" w:hAnsi="Calibri"/>
          <w:noProof/>
        </w:rPr>
        <w:t>Int J Tuberc Lung Dis.</w:t>
      </w:r>
      <w:r w:rsidRPr="002C25FF">
        <w:rPr>
          <w:rFonts w:ascii="Calibri" w:hAnsi="Calibri"/>
          <w:i/>
          <w:noProof/>
        </w:rPr>
        <w:t xml:space="preserve"> </w:t>
      </w:r>
      <w:r w:rsidRPr="002C25FF">
        <w:rPr>
          <w:rFonts w:ascii="Calibri" w:hAnsi="Calibri"/>
          <w:noProof/>
        </w:rPr>
        <w:t>2013;17</w:t>
      </w:r>
      <w:r>
        <w:rPr>
          <w:rFonts w:ascii="Calibri" w:hAnsi="Calibri"/>
          <w:noProof/>
        </w:rPr>
        <w:t>(3)</w:t>
      </w:r>
      <w:r w:rsidRPr="002C25FF">
        <w:rPr>
          <w:rFonts w:ascii="Calibri" w:hAnsi="Calibri"/>
          <w:noProof/>
        </w:rPr>
        <w:t>:320-5.</w:t>
      </w:r>
      <w:bookmarkEnd w:id="4"/>
    </w:p>
    <w:p w:rsidR="005222E4" w:rsidRDefault="005222E4" w:rsidP="005222E4">
      <w:pPr>
        <w:suppressLineNumbers/>
        <w:spacing w:after="0" w:line="240" w:lineRule="auto"/>
        <w:rPr>
          <w:rFonts w:ascii="Calibri" w:hAnsi="Calibri"/>
          <w:noProof/>
        </w:rPr>
      </w:pPr>
      <w:bookmarkStart w:id="5" w:name="_ENREF_22"/>
    </w:p>
    <w:p w:rsidR="005222E4" w:rsidRDefault="005222E4" w:rsidP="005222E4">
      <w:pPr>
        <w:suppressLineNumbers/>
        <w:spacing w:after="0" w:line="240" w:lineRule="auto"/>
        <w:rPr>
          <w:rFonts w:ascii="Calibri" w:hAnsi="Calibri"/>
          <w:noProof/>
        </w:rPr>
      </w:pPr>
      <w:r>
        <w:rPr>
          <w:rFonts w:ascii="Calibri" w:hAnsi="Calibri"/>
          <w:noProof/>
        </w:rPr>
        <w:lastRenderedPageBreak/>
        <w:t>14</w:t>
      </w:r>
      <w:r w:rsidRPr="002C25FF">
        <w:rPr>
          <w:rFonts w:ascii="Calibri" w:hAnsi="Calibri"/>
          <w:noProof/>
        </w:rPr>
        <w:t>.</w:t>
      </w:r>
      <w:r>
        <w:rPr>
          <w:rFonts w:ascii="Calibri" w:hAnsi="Calibri"/>
          <w:noProof/>
        </w:rPr>
        <w:t xml:space="preserve"> </w:t>
      </w:r>
      <w:r w:rsidRPr="002C25FF">
        <w:rPr>
          <w:rFonts w:ascii="Calibri" w:hAnsi="Calibri"/>
          <w:noProof/>
        </w:rPr>
        <w:t xml:space="preserve">Bennett DE, Courval JM, Onorato I, Agerton T, Gibson JD, Lambert L, </w:t>
      </w:r>
      <w:r>
        <w:rPr>
          <w:rFonts w:ascii="Calibri" w:hAnsi="Calibri"/>
          <w:noProof/>
        </w:rPr>
        <w:t>et al</w:t>
      </w:r>
      <w:r w:rsidRPr="002C25FF">
        <w:rPr>
          <w:rFonts w:ascii="Calibri" w:hAnsi="Calibri"/>
          <w:noProof/>
        </w:rPr>
        <w:t xml:space="preserve">. Prevalence of tuberculosis infection in the united states population: The national health and nutrition examination survey, 1999-2000. </w:t>
      </w:r>
      <w:r w:rsidRPr="00697F22">
        <w:rPr>
          <w:rFonts w:ascii="Calibri" w:hAnsi="Calibri"/>
          <w:noProof/>
        </w:rPr>
        <w:t>Am</w:t>
      </w:r>
      <w:r>
        <w:rPr>
          <w:rFonts w:ascii="Calibri" w:hAnsi="Calibri"/>
          <w:noProof/>
        </w:rPr>
        <w:t xml:space="preserve"> J R</w:t>
      </w:r>
      <w:r w:rsidRPr="00697F22">
        <w:rPr>
          <w:rFonts w:ascii="Calibri" w:hAnsi="Calibri"/>
          <w:noProof/>
        </w:rPr>
        <w:t xml:space="preserve">espir </w:t>
      </w:r>
      <w:r>
        <w:rPr>
          <w:rFonts w:ascii="Calibri" w:hAnsi="Calibri"/>
          <w:noProof/>
        </w:rPr>
        <w:t>C</w:t>
      </w:r>
      <w:r w:rsidRPr="00697F22">
        <w:rPr>
          <w:rFonts w:ascii="Calibri" w:hAnsi="Calibri"/>
          <w:noProof/>
        </w:rPr>
        <w:t>rit</w:t>
      </w:r>
      <w:r>
        <w:rPr>
          <w:rFonts w:ascii="Calibri" w:hAnsi="Calibri"/>
          <w:noProof/>
        </w:rPr>
        <w:t xml:space="preserve"> C</w:t>
      </w:r>
      <w:r w:rsidRPr="00697F22">
        <w:rPr>
          <w:rFonts w:ascii="Calibri" w:hAnsi="Calibri"/>
          <w:noProof/>
        </w:rPr>
        <w:t xml:space="preserve">are </w:t>
      </w:r>
      <w:r>
        <w:rPr>
          <w:rFonts w:ascii="Calibri" w:hAnsi="Calibri"/>
          <w:noProof/>
        </w:rPr>
        <w:t>M</w:t>
      </w:r>
      <w:r w:rsidRPr="00697F22">
        <w:rPr>
          <w:rFonts w:ascii="Calibri" w:hAnsi="Calibri"/>
          <w:noProof/>
        </w:rPr>
        <w:t>ed</w:t>
      </w:r>
      <w:r>
        <w:rPr>
          <w:rFonts w:ascii="Calibri" w:hAnsi="Calibri"/>
          <w:noProof/>
        </w:rPr>
        <w:t>.</w:t>
      </w:r>
      <w:r w:rsidRPr="002C25FF">
        <w:rPr>
          <w:rFonts w:ascii="Calibri" w:hAnsi="Calibri"/>
          <w:i/>
          <w:noProof/>
        </w:rPr>
        <w:t xml:space="preserve"> </w:t>
      </w:r>
      <w:r w:rsidRPr="002C25FF">
        <w:rPr>
          <w:rFonts w:ascii="Calibri" w:hAnsi="Calibri"/>
          <w:noProof/>
        </w:rPr>
        <w:t>2008;177</w:t>
      </w:r>
      <w:r>
        <w:rPr>
          <w:rFonts w:ascii="Calibri" w:hAnsi="Calibri"/>
          <w:noProof/>
        </w:rPr>
        <w:t>(3)</w:t>
      </w:r>
      <w:r w:rsidRPr="002C25FF">
        <w:rPr>
          <w:rFonts w:ascii="Calibri" w:hAnsi="Calibri"/>
          <w:noProof/>
        </w:rPr>
        <w:t>:348-55.</w:t>
      </w:r>
      <w:bookmarkEnd w:id="5"/>
    </w:p>
    <w:p w:rsidR="005222E4" w:rsidRDefault="005222E4" w:rsidP="005222E4">
      <w:pPr>
        <w:suppressLineNumbers/>
        <w:spacing w:after="0" w:line="240" w:lineRule="auto"/>
        <w:rPr>
          <w:rFonts w:ascii="Calibri" w:hAnsi="Calibri"/>
          <w:noProof/>
        </w:rPr>
      </w:pPr>
    </w:p>
    <w:p w:rsidR="005222E4" w:rsidRPr="002C25FF" w:rsidRDefault="005222E4" w:rsidP="005222E4">
      <w:pPr>
        <w:suppressLineNumbers/>
        <w:spacing w:after="0" w:line="240" w:lineRule="auto"/>
        <w:rPr>
          <w:rFonts w:ascii="Calibri" w:hAnsi="Calibri"/>
          <w:noProof/>
        </w:rPr>
      </w:pPr>
      <w:r>
        <w:rPr>
          <w:rFonts w:ascii="Calibri" w:hAnsi="Calibri"/>
          <w:noProof/>
        </w:rPr>
        <w:t xml:space="preserve">15. </w:t>
      </w:r>
      <w:r w:rsidRPr="002C25FF">
        <w:rPr>
          <w:rFonts w:ascii="Calibri" w:hAnsi="Calibri"/>
          <w:noProof/>
        </w:rPr>
        <w:t>Shah M, Miele K, Choi H, DiPietro D, Martins-Evora M, Marsiglia V,</w:t>
      </w:r>
      <w:r>
        <w:rPr>
          <w:rFonts w:ascii="Calibri" w:hAnsi="Calibri"/>
          <w:noProof/>
        </w:rPr>
        <w:t xml:space="preserve"> et al</w:t>
      </w:r>
      <w:r w:rsidRPr="002C25FF">
        <w:rPr>
          <w:rFonts w:ascii="Calibri" w:hAnsi="Calibri"/>
          <w:noProof/>
        </w:rPr>
        <w:t>. Quantiferon-</w:t>
      </w:r>
      <w:r>
        <w:rPr>
          <w:rFonts w:ascii="Calibri" w:hAnsi="Calibri"/>
          <w:noProof/>
        </w:rPr>
        <w:t>TB</w:t>
      </w:r>
      <w:r w:rsidRPr="002C25FF">
        <w:rPr>
          <w:rFonts w:ascii="Calibri" w:hAnsi="Calibri"/>
          <w:noProof/>
        </w:rPr>
        <w:t xml:space="preserve"> gold in-tube implementation for latent tuberculosis diagnosis in a public health clinic: A cost-effectiveness analysis. </w:t>
      </w:r>
      <w:r w:rsidRPr="00B66AF2">
        <w:rPr>
          <w:rFonts w:ascii="Calibri" w:hAnsi="Calibri"/>
          <w:noProof/>
        </w:rPr>
        <w:t>BMC Infect Dis.</w:t>
      </w:r>
      <w:r w:rsidRPr="002C25FF">
        <w:rPr>
          <w:rFonts w:ascii="Calibri" w:hAnsi="Calibri"/>
          <w:i/>
          <w:noProof/>
        </w:rPr>
        <w:t xml:space="preserve"> </w:t>
      </w:r>
      <w:r w:rsidRPr="002C25FF">
        <w:rPr>
          <w:rFonts w:ascii="Calibri" w:hAnsi="Calibri"/>
          <w:noProof/>
        </w:rPr>
        <w:t>2012;12:360.</w:t>
      </w:r>
    </w:p>
    <w:p w:rsidR="005222E4" w:rsidRDefault="005222E4" w:rsidP="005222E4">
      <w:pPr>
        <w:suppressLineNumbers/>
        <w:spacing w:after="0" w:line="240" w:lineRule="auto"/>
      </w:pPr>
    </w:p>
    <w:p w:rsidR="005222E4" w:rsidRDefault="005222E4" w:rsidP="005222E4">
      <w:pPr>
        <w:suppressLineNumbers/>
        <w:spacing w:after="0" w:line="240" w:lineRule="auto"/>
        <w:rPr>
          <w:rFonts w:ascii="Calibri" w:hAnsi="Calibri"/>
          <w:noProof/>
        </w:rPr>
      </w:pPr>
      <w:r>
        <w:rPr>
          <w:rFonts w:ascii="Calibri" w:hAnsi="Calibri"/>
          <w:noProof/>
        </w:rPr>
        <w:t xml:space="preserve">16. </w:t>
      </w:r>
      <w:r w:rsidRPr="002C25FF">
        <w:rPr>
          <w:rFonts w:ascii="Calibri" w:hAnsi="Calibri"/>
          <w:noProof/>
        </w:rPr>
        <w:t>Horsburgh CR, Jr., Goldberg S, Bethel J, Chen S,</w:t>
      </w:r>
      <w:r>
        <w:rPr>
          <w:rFonts w:ascii="Calibri" w:hAnsi="Calibri"/>
          <w:noProof/>
        </w:rPr>
        <w:t xml:space="preserve"> Colson PW, Hirsch-Moverman Y, et al</w:t>
      </w:r>
      <w:r w:rsidRPr="002C25FF">
        <w:rPr>
          <w:rFonts w:ascii="Calibri" w:hAnsi="Calibri"/>
          <w:noProof/>
        </w:rPr>
        <w:t xml:space="preserve">. Latent </w:t>
      </w:r>
      <w:r>
        <w:rPr>
          <w:rFonts w:ascii="Calibri" w:hAnsi="Calibri"/>
          <w:noProof/>
        </w:rPr>
        <w:t>TB</w:t>
      </w:r>
      <w:r w:rsidRPr="002C25FF">
        <w:rPr>
          <w:rFonts w:ascii="Calibri" w:hAnsi="Calibri"/>
          <w:noProof/>
        </w:rPr>
        <w:t xml:space="preserve"> infection treatment acceptance and completion in the </w:t>
      </w:r>
      <w:r>
        <w:rPr>
          <w:rFonts w:ascii="Calibri" w:hAnsi="Calibri"/>
          <w:noProof/>
        </w:rPr>
        <w:t>U</w:t>
      </w:r>
      <w:r w:rsidRPr="002C25FF">
        <w:rPr>
          <w:rFonts w:ascii="Calibri" w:hAnsi="Calibri"/>
          <w:noProof/>
        </w:rPr>
        <w:t xml:space="preserve">nited states and </w:t>
      </w:r>
      <w:r>
        <w:rPr>
          <w:rFonts w:ascii="Calibri" w:hAnsi="Calibri"/>
          <w:noProof/>
        </w:rPr>
        <w:t>C</w:t>
      </w:r>
      <w:r w:rsidRPr="002C25FF">
        <w:rPr>
          <w:rFonts w:ascii="Calibri" w:hAnsi="Calibri"/>
          <w:noProof/>
        </w:rPr>
        <w:t xml:space="preserve">anada. </w:t>
      </w:r>
      <w:r w:rsidRPr="00DE5CD2">
        <w:rPr>
          <w:rFonts w:ascii="Calibri" w:hAnsi="Calibri"/>
          <w:noProof/>
        </w:rPr>
        <w:t>Chest</w:t>
      </w:r>
      <w:r>
        <w:rPr>
          <w:rFonts w:ascii="Calibri" w:hAnsi="Calibri"/>
          <w:i/>
          <w:noProof/>
        </w:rPr>
        <w:t>.</w:t>
      </w:r>
      <w:r w:rsidRPr="002C25FF">
        <w:rPr>
          <w:rFonts w:ascii="Calibri" w:hAnsi="Calibri"/>
          <w:i/>
          <w:noProof/>
        </w:rPr>
        <w:t xml:space="preserve"> </w:t>
      </w:r>
      <w:r w:rsidRPr="002C25FF">
        <w:rPr>
          <w:rFonts w:ascii="Calibri" w:hAnsi="Calibri"/>
          <w:noProof/>
        </w:rPr>
        <w:t>2010;137</w:t>
      </w:r>
      <w:r>
        <w:rPr>
          <w:rFonts w:ascii="Calibri" w:hAnsi="Calibri"/>
          <w:noProof/>
        </w:rPr>
        <w:t>(2)</w:t>
      </w:r>
      <w:r w:rsidRPr="002C25FF">
        <w:rPr>
          <w:rFonts w:ascii="Calibri" w:hAnsi="Calibri"/>
          <w:noProof/>
        </w:rPr>
        <w:t>:401-9.</w:t>
      </w:r>
    </w:p>
    <w:p w:rsidR="005222E4" w:rsidRDefault="005222E4" w:rsidP="005222E4">
      <w:pPr>
        <w:suppressLineNumbers/>
        <w:spacing w:after="0" w:line="240" w:lineRule="auto"/>
        <w:rPr>
          <w:rFonts w:ascii="Calibri" w:hAnsi="Calibri"/>
          <w:noProof/>
        </w:rPr>
      </w:pPr>
    </w:p>
    <w:p w:rsidR="005222E4" w:rsidRDefault="005222E4" w:rsidP="005222E4">
      <w:r>
        <w:t>17. Nolan CM, Elarth AM. Tuberculosis in a cohort of Southeast Asian Refugees.  A five year surveillance study.  Am Rev Respir Dis.  1988; 137(4):805-9.</w:t>
      </w:r>
    </w:p>
    <w:p w:rsidR="005222E4" w:rsidRDefault="005222E4" w:rsidP="005222E4">
      <w:r>
        <w:t>18.  Tan M, Menzies D, Schwartzman K.  Tuberculosis screening of travelers to higher-incidence countries: a cost-effectiveness analysis.  BMC Public Health. 2008;8:201.</w:t>
      </w:r>
    </w:p>
    <w:p w:rsidR="005222E4" w:rsidRDefault="005222E4" w:rsidP="005222E4">
      <w:r>
        <w:t>19.  Schwartzman K, Menzies D. Tuberculosis screening of immigrants to low-prevalence countries. A cost-effectiveness analysis.  Am J Respir Crit Care Med.  2000;161:780-9.</w:t>
      </w:r>
    </w:p>
    <w:p w:rsidR="005222E4" w:rsidRDefault="005222E4" w:rsidP="005222E4">
      <w:pPr>
        <w:suppressLineNumbers/>
        <w:spacing w:after="0" w:line="240" w:lineRule="auto"/>
        <w:rPr>
          <w:rFonts w:ascii="Calibri" w:hAnsi="Calibri"/>
          <w:noProof/>
        </w:rPr>
      </w:pPr>
      <w:r>
        <w:rPr>
          <w:rFonts w:ascii="Calibri" w:hAnsi="Calibri"/>
          <w:noProof/>
        </w:rPr>
        <w:t xml:space="preserve">20.  </w:t>
      </w:r>
      <w:r w:rsidRPr="00AC35B8">
        <w:rPr>
          <w:rFonts w:ascii="Calibri" w:hAnsi="Calibri"/>
          <w:noProof/>
        </w:rPr>
        <w:t xml:space="preserve">The World Bank Group. World development indicators: exchange rates and prices. </w:t>
      </w:r>
      <w:hyperlink r:id="rId17" w:history="1">
        <w:r w:rsidRPr="00AC35B8">
          <w:rPr>
            <w:rStyle w:val="Hyperlink"/>
            <w:rFonts w:ascii="Calibri" w:hAnsi="Calibri"/>
            <w:noProof/>
          </w:rPr>
          <w:t>Http://wdi.Worldbank.Org/table/4.16#</w:t>
        </w:r>
      </w:hyperlink>
      <w:r w:rsidRPr="00AC35B8">
        <w:rPr>
          <w:rStyle w:val="Hyperlink"/>
          <w:rFonts w:ascii="Calibri" w:hAnsi="Calibri"/>
          <w:noProof/>
        </w:rPr>
        <w:t xml:space="preserve"> </w:t>
      </w:r>
      <w:r w:rsidRPr="00AC35B8">
        <w:rPr>
          <w:rFonts w:ascii="Calibri" w:hAnsi="Calibri"/>
          <w:noProof/>
        </w:rPr>
        <w:t xml:space="preserve"> (201</w:t>
      </w:r>
      <w:r>
        <w:rPr>
          <w:rFonts w:ascii="Calibri" w:hAnsi="Calibri"/>
          <w:noProof/>
        </w:rPr>
        <w:t>4</w:t>
      </w:r>
      <w:r w:rsidRPr="00AC35B8">
        <w:rPr>
          <w:rFonts w:ascii="Calibri" w:hAnsi="Calibri"/>
          <w:noProof/>
        </w:rPr>
        <w:t xml:space="preserve">).  Accessed </w:t>
      </w:r>
      <w:r>
        <w:rPr>
          <w:rFonts w:ascii="Calibri" w:hAnsi="Calibri"/>
          <w:noProof/>
        </w:rPr>
        <w:t>2</w:t>
      </w:r>
      <w:r w:rsidRPr="00AC35B8">
        <w:rPr>
          <w:rFonts w:ascii="Calibri" w:hAnsi="Calibri"/>
          <w:noProof/>
        </w:rPr>
        <w:t xml:space="preserve">7 </w:t>
      </w:r>
      <w:r>
        <w:rPr>
          <w:rFonts w:ascii="Calibri" w:hAnsi="Calibri"/>
          <w:noProof/>
        </w:rPr>
        <w:t>Aug</w:t>
      </w:r>
      <w:r w:rsidRPr="00AC35B8">
        <w:rPr>
          <w:rFonts w:ascii="Calibri" w:hAnsi="Calibri"/>
          <w:noProof/>
        </w:rPr>
        <w:t xml:space="preserve"> 201</w:t>
      </w:r>
      <w:r>
        <w:rPr>
          <w:rFonts w:ascii="Calibri" w:hAnsi="Calibri"/>
          <w:noProof/>
        </w:rPr>
        <w:t>5</w:t>
      </w:r>
      <w:r w:rsidRPr="00AC35B8">
        <w:rPr>
          <w:rFonts w:ascii="Calibri" w:hAnsi="Calibri"/>
          <w:noProof/>
        </w:rPr>
        <w:t>.</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21.  </w:t>
      </w:r>
      <w:r w:rsidRPr="00265E12">
        <w:rPr>
          <w:rFonts w:ascii="Calibri" w:hAnsi="Calibri"/>
          <w:noProof/>
        </w:rPr>
        <w:t xml:space="preserve">Salary Scales for Staff in the General Service and Related </w:t>
      </w:r>
      <w:r>
        <w:rPr>
          <w:rFonts w:ascii="Calibri" w:hAnsi="Calibri"/>
          <w:noProof/>
        </w:rPr>
        <w:t>C</w:t>
      </w:r>
      <w:r w:rsidRPr="00265E12">
        <w:rPr>
          <w:rFonts w:ascii="Calibri" w:hAnsi="Calibri"/>
          <w:noProof/>
        </w:rPr>
        <w:t>ategories. United Nations, New York. 2013.</w:t>
      </w:r>
      <w:r w:rsidRPr="00265E12">
        <w:t xml:space="preserve"> </w:t>
      </w:r>
      <w:r w:rsidRPr="00265E12">
        <w:rPr>
          <w:rFonts w:ascii="Calibri" w:hAnsi="Calibri"/>
          <w:noProof/>
        </w:rPr>
        <w:t>http://www.un.org/Depts/OHRM/salaries_allowances/salaries/gs.htm. Accessed 5 Nov 2013.</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22.  </w:t>
      </w:r>
      <w:r w:rsidRPr="00036E29">
        <w:rPr>
          <w:rFonts w:ascii="Calibri" w:hAnsi="Calibri"/>
          <w:noProof/>
        </w:rPr>
        <w:t xml:space="preserve">World </w:t>
      </w:r>
      <w:r>
        <w:rPr>
          <w:rFonts w:ascii="Calibri" w:hAnsi="Calibri"/>
          <w:noProof/>
        </w:rPr>
        <w:t>E</w:t>
      </w:r>
      <w:r w:rsidRPr="00036E29">
        <w:rPr>
          <w:rFonts w:ascii="Calibri" w:hAnsi="Calibri"/>
          <w:noProof/>
        </w:rPr>
        <w:t xml:space="preserve">conomic </w:t>
      </w:r>
      <w:r>
        <w:rPr>
          <w:rFonts w:ascii="Calibri" w:hAnsi="Calibri"/>
          <w:noProof/>
        </w:rPr>
        <w:t>O</w:t>
      </w:r>
      <w:r w:rsidRPr="00036E29">
        <w:rPr>
          <w:rFonts w:ascii="Calibri" w:hAnsi="Calibri"/>
          <w:noProof/>
        </w:rPr>
        <w:t xml:space="preserve">utlook </w:t>
      </w:r>
      <w:r>
        <w:rPr>
          <w:rFonts w:ascii="Calibri" w:hAnsi="Calibri"/>
          <w:noProof/>
        </w:rPr>
        <w:t>D</w:t>
      </w:r>
      <w:r w:rsidRPr="00036E29">
        <w:rPr>
          <w:rFonts w:ascii="Calibri" w:hAnsi="Calibri"/>
          <w:noProof/>
        </w:rPr>
        <w:t>atabase</w:t>
      </w:r>
      <w:r>
        <w:rPr>
          <w:rFonts w:ascii="Calibri" w:hAnsi="Calibri"/>
          <w:noProof/>
        </w:rPr>
        <w:t xml:space="preserve">. </w:t>
      </w:r>
      <w:r w:rsidRPr="00036E29">
        <w:rPr>
          <w:rFonts w:ascii="Calibri" w:hAnsi="Calibri"/>
          <w:noProof/>
        </w:rPr>
        <w:t>International Monetary Fund</w:t>
      </w:r>
      <w:r>
        <w:rPr>
          <w:rFonts w:ascii="Calibri" w:hAnsi="Calibri"/>
          <w:noProof/>
        </w:rPr>
        <w:t>,</w:t>
      </w:r>
      <w:r w:rsidRPr="00036E29">
        <w:rPr>
          <w:rFonts w:ascii="Calibri" w:hAnsi="Calibri"/>
          <w:noProof/>
        </w:rPr>
        <w:t xml:space="preserve"> Washington D.C. 2013. </w:t>
      </w:r>
      <w:hyperlink r:id="rId18" w:history="1">
        <w:r w:rsidRPr="00FD472E">
          <w:rPr>
            <w:rStyle w:val="Hyperlink"/>
            <w:rFonts w:ascii="Calibri" w:hAnsi="Calibri"/>
            <w:noProof/>
          </w:rPr>
          <w:t>Http://www.Imf.Org/external/pubs/ft/weo/2012/01/weodata/index.Aspx. Accessed 5 Nov 2013</w:t>
        </w:r>
      </w:hyperlink>
      <w:r w:rsidRPr="00036E29">
        <w:rPr>
          <w:rFonts w:ascii="Calibri" w:hAnsi="Calibri"/>
          <w:noProof/>
        </w:rPr>
        <w:t>.</w:t>
      </w:r>
    </w:p>
    <w:p w:rsidR="005222E4" w:rsidRDefault="005222E4" w:rsidP="005222E4">
      <w:pPr>
        <w:suppressLineNumbers/>
        <w:spacing w:after="0" w:line="240" w:lineRule="auto"/>
        <w:rPr>
          <w:rFonts w:ascii="Calibri" w:hAnsi="Calibri"/>
          <w:noProof/>
        </w:rPr>
      </w:pPr>
    </w:p>
    <w:p w:rsidR="005222E4" w:rsidRDefault="005222E4" w:rsidP="005222E4">
      <w:pPr>
        <w:suppressLineNumbers/>
        <w:spacing w:after="0" w:line="240" w:lineRule="auto"/>
        <w:rPr>
          <w:rFonts w:ascii="Calibri" w:hAnsi="Calibri"/>
          <w:noProof/>
        </w:rPr>
      </w:pPr>
      <w:r>
        <w:rPr>
          <w:rFonts w:ascii="Calibri" w:hAnsi="Calibri"/>
          <w:noProof/>
        </w:rPr>
        <w:t xml:space="preserve">23. </w:t>
      </w:r>
      <w:r w:rsidRPr="006D42F3">
        <w:rPr>
          <w:rFonts w:ascii="Calibri" w:hAnsi="Calibri"/>
          <w:noProof/>
        </w:rPr>
        <w:t>The World Factbook. Central Intelligence Agency, Washington D.C. 2013.  Https://</w:t>
      </w:r>
      <w:hyperlink r:id="rId19" w:history="1">
        <w:r w:rsidRPr="006D42F3">
          <w:rPr>
            <w:rStyle w:val="Hyperlink"/>
            <w:rFonts w:ascii="Calibri" w:hAnsi="Calibri"/>
            <w:noProof/>
          </w:rPr>
          <w:t>www.Cia.Gov/library/publications/the-world-factbook/</w:t>
        </w:r>
      </w:hyperlink>
      <w:r w:rsidRPr="006D42F3">
        <w:rPr>
          <w:rFonts w:ascii="Calibri" w:hAnsi="Calibri"/>
          <w:noProof/>
        </w:rPr>
        <w:t>. Accessed 14 Jan 2014.</w:t>
      </w:r>
    </w:p>
    <w:p w:rsidR="005222E4" w:rsidRDefault="005222E4" w:rsidP="005222E4">
      <w:pPr>
        <w:suppressLineNumbers/>
        <w:spacing w:after="0" w:line="240" w:lineRule="auto"/>
        <w:rPr>
          <w:rFonts w:ascii="Calibri" w:hAnsi="Calibri"/>
          <w:noProof/>
        </w:rPr>
      </w:pPr>
    </w:p>
    <w:p w:rsidR="005222E4" w:rsidRDefault="005222E4" w:rsidP="005222E4">
      <w:pPr>
        <w:spacing w:line="240" w:lineRule="auto"/>
        <w:rPr>
          <w:rFonts w:ascii="Calibri" w:hAnsi="Calibri"/>
          <w:noProof/>
        </w:rPr>
      </w:pPr>
      <w:r>
        <w:rPr>
          <w:rFonts w:ascii="Calibri" w:hAnsi="Calibri"/>
          <w:noProof/>
        </w:rPr>
        <w:t xml:space="preserve">24.  </w:t>
      </w:r>
      <w:r w:rsidRPr="006236E0">
        <w:rPr>
          <w:rFonts w:ascii="Calibri" w:hAnsi="Calibri"/>
          <w:noProof/>
        </w:rPr>
        <w:t>Corso PS, Haddix AC. Time effects.  In: Haddix AC, Teutsch SM, Corso PS, editors. Prevention effectiveness a guide to decision analysis and economic evaluation. New York: Oxford university press; 2003. p. 92-102.</w:t>
      </w:r>
    </w:p>
    <w:p w:rsidR="005222E4" w:rsidRDefault="005222E4" w:rsidP="005222E4">
      <w:r>
        <w:rPr>
          <w:rFonts w:ascii="Calibri" w:hAnsi="Calibri"/>
          <w:noProof/>
        </w:rPr>
        <w:t>25.  W</w:t>
      </w:r>
      <w:r w:rsidRPr="002C25FF">
        <w:rPr>
          <w:rFonts w:ascii="Calibri" w:hAnsi="Calibri"/>
          <w:noProof/>
        </w:rPr>
        <w:t xml:space="preserve">alter ND, Painter J, Parker M, Lowenthal P, Flood J, Fu Y, </w:t>
      </w:r>
      <w:r>
        <w:rPr>
          <w:rFonts w:ascii="Calibri" w:hAnsi="Calibri"/>
          <w:noProof/>
        </w:rPr>
        <w:t>et al</w:t>
      </w:r>
      <w:r w:rsidRPr="002C25FF">
        <w:rPr>
          <w:rFonts w:ascii="Calibri" w:hAnsi="Calibri"/>
          <w:noProof/>
        </w:rPr>
        <w:t xml:space="preserve">. Persistent latent tuberculosis reactivation risk in </w:t>
      </w:r>
      <w:r>
        <w:rPr>
          <w:rFonts w:ascii="Calibri" w:hAnsi="Calibri"/>
          <w:noProof/>
        </w:rPr>
        <w:t>U</w:t>
      </w:r>
      <w:r w:rsidRPr="002C25FF">
        <w:rPr>
          <w:rFonts w:ascii="Calibri" w:hAnsi="Calibri"/>
          <w:noProof/>
        </w:rPr>
        <w:t xml:space="preserve">nited </w:t>
      </w:r>
      <w:r>
        <w:rPr>
          <w:rFonts w:ascii="Calibri" w:hAnsi="Calibri"/>
          <w:noProof/>
        </w:rPr>
        <w:t>S</w:t>
      </w:r>
      <w:r w:rsidRPr="002C25FF">
        <w:rPr>
          <w:rFonts w:ascii="Calibri" w:hAnsi="Calibri"/>
          <w:noProof/>
        </w:rPr>
        <w:t xml:space="preserve">tates immigrants. </w:t>
      </w:r>
      <w:r w:rsidRPr="000461D4">
        <w:rPr>
          <w:rFonts w:ascii="Calibri" w:hAnsi="Calibri"/>
          <w:noProof/>
        </w:rPr>
        <w:t>Am J Respir Crit Care Med</w:t>
      </w:r>
      <w:r>
        <w:rPr>
          <w:rFonts w:ascii="Calibri" w:hAnsi="Calibri"/>
          <w:i/>
          <w:noProof/>
        </w:rPr>
        <w:t>.</w:t>
      </w:r>
      <w:r w:rsidRPr="002C25FF">
        <w:rPr>
          <w:rFonts w:ascii="Calibri" w:hAnsi="Calibri"/>
          <w:i/>
          <w:noProof/>
        </w:rPr>
        <w:t xml:space="preserve"> </w:t>
      </w:r>
      <w:r w:rsidRPr="002C25FF">
        <w:rPr>
          <w:rFonts w:ascii="Calibri" w:hAnsi="Calibri"/>
          <w:noProof/>
        </w:rPr>
        <w:t>2014;189</w:t>
      </w:r>
      <w:r>
        <w:rPr>
          <w:rFonts w:ascii="Calibri" w:hAnsi="Calibri"/>
          <w:noProof/>
        </w:rPr>
        <w:t>(1)</w:t>
      </w:r>
      <w:r w:rsidRPr="002C25FF">
        <w:rPr>
          <w:rFonts w:ascii="Calibri" w:hAnsi="Calibri"/>
          <w:noProof/>
        </w:rPr>
        <w:t>:88-95.</w:t>
      </w:r>
    </w:p>
    <w:p w:rsidR="005222E4" w:rsidRDefault="005222E4" w:rsidP="00704C0A"/>
    <w:sectPr w:rsidR="005222E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50" w:rsidRDefault="00F51C50" w:rsidP="0062179C">
      <w:pPr>
        <w:spacing w:after="0" w:line="240" w:lineRule="auto"/>
      </w:pPr>
      <w:r>
        <w:separator/>
      </w:r>
    </w:p>
  </w:endnote>
  <w:endnote w:type="continuationSeparator" w:id="0">
    <w:p w:rsidR="00F51C50" w:rsidRDefault="00F51C50" w:rsidP="0062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38636"/>
      <w:docPartObj>
        <w:docPartGallery w:val="Page Numbers (Bottom of Page)"/>
        <w:docPartUnique/>
      </w:docPartObj>
    </w:sdtPr>
    <w:sdtEndPr>
      <w:rPr>
        <w:noProof/>
      </w:rPr>
    </w:sdtEndPr>
    <w:sdtContent>
      <w:p w:rsidR="002732BA" w:rsidRDefault="002732BA">
        <w:pPr>
          <w:pStyle w:val="Footer"/>
          <w:jc w:val="center"/>
        </w:pPr>
        <w:r>
          <w:fldChar w:fldCharType="begin"/>
        </w:r>
        <w:r>
          <w:instrText xml:space="preserve"> PAGE   \* MERGEFORMAT </w:instrText>
        </w:r>
        <w:r>
          <w:fldChar w:fldCharType="separate"/>
        </w:r>
        <w:r w:rsidR="00F92CAB">
          <w:rPr>
            <w:noProof/>
          </w:rPr>
          <w:t>17</w:t>
        </w:r>
        <w:r>
          <w:rPr>
            <w:noProof/>
          </w:rPr>
          <w:fldChar w:fldCharType="end"/>
        </w:r>
      </w:p>
    </w:sdtContent>
  </w:sdt>
  <w:p w:rsidR="002732BA" w:rsidRDefault="0027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50" w:rsidRDefault="00F51C50" w:rsidP="0062179C">
      <w:pPr>
        <w:spacing w:after="0" w:line="240" w:lineRule="auto"/>
      </w:pPr>
      <w:r>
        <w:separator/>
      </w:r>
    </w:p>
  </w:footnote>
  <w:footnote w:type="continuationSeparator" w:id="0">
    <w:p w:rsidR="00F51C50" w:rsidRDefault="00F51C50" w:rsidP="00621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1E"/>
    <w:rsid w:val="0000006C"/>
    <w:rsid w:val="00073ED4"/>
    <w:rsid w:val="000A2E67"/>
    <w:rsid w:val="000C0227"/>
    <w:rsid w:val="000E45C7"/>
    <w:rsid w:val="000E491B"/>
    <w:rsid w:val="001114CA"/>
    <w:rsid w:val="0012717B"/>
    <w:rsid w:val="00132451"/>
    <w:rsid w:val="00147627"/>
    <w:rsid w:val="00155BEB"/>
    <w:rsid w:val="00167B51"/>
    <w:rsid w:val="001C21D8"/>
    <w:rsid w:val="001D6818"/>
    <w:rsid w:val="002108FD"/>
    <w:rsid w:val="00221132"/>
    <w:rsid w:val="00234C5A"/>
    <w:rsid w:val="002732BA"/>
    <w:rsid w:val="002860E5"/>
    <w:rsid w:val="00286F7F"/>
    <w:rsid w:val="0029704D"/>
    <w:rsid w:val="002B15CF"/>
    <w:rsid w:val="002B7208"/>
    <w:rsid w:val="002C323D"/>
    <w:rsid w:val="003026A5"/>
    <w:rsid w:val="00310C2D"/>
    <w:rsid w:val="00351459"/>
    <w:rsid w:val="00387B95"/>
    <w:rsid w:val="003A1196"/>
    <w:rsid w:val="003D5745"/>
    <w:rsid w:val="003F7C2F"/>
    <w:rsid w:val="00421DF8"/>
    <w:rsid w:val="0044215C"/>
    <w:rsid w:val="00470008"/>
    <w:rsid w:val="00475F8A"/>
    <w:rsid w:val="00476708"/>
    <w:rsid w:val="00487BA1"/>
    <w:rsid w:val="0049734D"/>
    <w:rsid w:val="004B22A9"/>
    <w:rsid w:val="004B7EBC"/>
    <w:rsid w:val="004C02D0"/>
    <w:rsid w:val="004C23C4"/>
    <w:rsid w:val="004D2322"/>
    <w:rsid w:val="004D24A7"/>
    <w:rsid w:val="00502EDE"/>
    <w:rsid w:val="005222E4"/>
    <w:rsid w:val="00533DC6"/>
    <w:rsid w:val="00554113"/>
    <w:rsid w:val="00556B20"/>
    <w:rsid w:val="00590C26"/>
    <w:rsid w:val="00592A68"/>
    <w:rsid w:val="00596F5F"/>
    <w:rsid w:val="0059783E"/>
    <w:rsid w:val="005B6112"/>
    <w:rsid w:val="005F3301"/>
    <w:rsid w:val="006020CB"/>
    <w:rsid w:val="0062179C"/>
    <w:rsid w:val="006307AF"/>
    <w:rsid w:val="006414B2"/>
    <w:rsid w:val="00663051"/>
    <w:rsid w:val="00667DFE"/>
    <w:rsid w:val="006B10E7"/>
    <w:rsid w:val="006B671C"/>
    <w:rsid w:val="006B7D13"/>
    <w:rsid w:val="006C0209"/>
    <w:rsid w:val="006D0398"/>
    <w:rsid w:val="006D725D"/>
    <w:rsid w:val="00704C0A"/>
    <w:rsid w:val="00711F03"/>
    <w:rsid w:val="00727AEE"/>
    <w:rsid w:val="00764B76"/>
    <w:rsid w:val="007A14F8"/>
    <w:rsid w:val="007E0C76"/>
    <w:rsid w:val="007F6F37"/>
    <w:rsid w:val="00807147"/>
    <w:rsid w:val="00810A42"/>
    <w:rsid w:val="00814B56"/>
    <w:rsid w:val="008234C5"/>
    <w:rsid w:val="00830C91"/>
    <w:rsid w:val="00835940"/>
    <w:rsid w:val="0087557F"/>
    <w:rsid w:val="00882960"/>
    <w:rsid w:val="00885853"/>
    <w:rsid w:val="0089343E"/>
    <w:rsid w:val="008A5970"/>
    <w:rsid w:val="008B3370"/>
    <w:rsid w:val="008B7516"/>
    <w:rsid w:val="008D6B75"/>
    <w:rsid w:val="008E22C2"/>
    <w:rsid w:val="008E3836"/>
    <w:rsid w:val="00907E7C"/>
    <w:rsid w:val="00921A52"/>
    <w:rsid w:val="00957227"/>
    <w:rsid w:val="00996AF1"/>
    <w:rsid w:val="009A240D"/>
    <w:rsid w:val="009B0B99"/>
    <w:rsid w:val="009B1465"/>
    <w:rsid w:val="009C0362"/>
    <w:rsid w:val="009D074E"/>
    <w:rsid w:val="009F3141"/>
    <w:rsid w:val="00A017F9"/>
    <w:rsid w:val="00A2574F"/>
    <w:rsid w:val="00A4258F"/>
    <w:rsid w:val="00A5577A"/>
    <w:rsid w:val="00A62B62"/>
    <w:rsid w:val="00A674C1"/>
    <w:rsid w:val="00A736AD"/>
    <w:rsid w:val="00AA1CF9"/>
    <w:rsid w:val="00AA5A3E"/>
    <w:rsid w:val="00AE1829"/>
    <w:rsid w:val="00AE623B"/>
    <w:rsid w:val="00AE6AF6"/>
    <w:rsid w:val="00B03AF6"/>
    <w:rsid w:val="00B152AC"/>
    <w:rsid w:val="00B35F61"/>
    <w:rsid w:val="00B51829"/>
    <w:rsid w:val="00B776D1"/>
    <w:rsid w:val="00BA0F3B"/>
    <w:rsid w:val="00BC206D"/>
    <w:rsid w:val="00C12016"/>
    <w:rsid w:val="00C50613"/>
    <w:rsid w:val="00C76F61"/>
    <w:rsid w:val="00CB6BE8"/>
    <w:rsid w:val="00CD26A8"/>
    <w:rsid w:val="00CE4EF9"/>
    <w:rsid w:val="00CE69F0"/>
    <w:rsid w:val="00D007FB"/>
    <w:rsid w:val="00D069B8"/>
    <w:rsid w:val="00D2452A"/>
    <w:rsid w:val="00D76974"/>
    <w:rsid w:val="00D8479B"/>
    <w:rsid w:val="00D96670"/>
    <w:rsid w:val="00DA1336"/>
    <w:rsid w:val="00DA7E3C"/>
    <w:rsid w:val="00DB1D1E"/>
    <w:rsid w:val="00DB7769"/>
    <w:rsid w:val="00DC604E"/>
    <w:rsid w:val="00DE4701"/>
    <w:rsid w:val="00DF37D5"/>
    <w:rsid w:val="00DF55D3"/>
    <w:rsid w:val="00E01BDC"/>
    <w:rsid w:val="00E21852"/>
    <w:rsid w:val="00E5736A"/>
    <w:rsid w:val="00E82BF2"/>
    <w:rsid w:val="00EC149B"/>
    <w:rsid w:val="00EF08F8"/>
    <w:rsid w:val="00F50F59"/>
    <w:rsid w:val="00F51C50"/>
    <w:rsid w:val="00F81201"/>
    <w:rsid w:val="00F92CAB"/>
    <w:rsid w:val="00F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CEC8E-ED5C-4173-9718-E0A015CC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9C"/>
  </w:style>
  <w:style w:type="paragraph" w:styleId="Footer">
    <w:name w:val="footer"/>
    <w:basedOn w:val="Normal"/>
    <w:link w:val="FooterChar"/>
    <w:uiPriority w:val="99"/>
    <w:unhideWhenUsed/>
    <w:rsid w:val="0062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9C"/>
  </w:style>
  <w:style w:type="paragraph" w:styleId="BalloonText">
    <w:name w:val="Balloon Text"/>
    <w:basedOn w:val="Normal"/>
    <w:link w:val="BalloonTextChar"/>
    <w:uiPriority w:val="99"/>
    <w:semiHidden/>
    <w:unhideWhenUsed/>
    <w:rsid w:val="0088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53"/>
    <w:rPr>
      <w:rFonts w:ascii="Segoe UI" w:hAnsi="Segoe UI" w:cs="Segoe UI"/>
      <w:sz w:val="18"/>
      <w:szCs w:val="18"/>
    </w:rPr>
  </w:style>
  <w:style w:type="character" w:styleId="Hyperlink">
    <w:name w:val="Hyperlink"/>
    <w:basedOn w:val="DefaultParagraphFont"/>
    <w:uiPriority w:val="99"/>
    <w:unhideWhenUsed/>
    <w:rsid w:val="001C21D8"/>
    <w:rPr>
      <w:color w:val="0563C1" w:themeColor="hyperlink"/>
      <w:u w:val="single"/>
    </w:rPr>
  </w:style>
  <w:style w:type="character" w:styleId="FollowedHyperlink">
    <w:name w:val="FollowedHyperlink"/>
    <w:basedOn w:val="DefaultParagraphFont"/>
    <w:uiPriority w:val="99"/>
    <w:semiHidden/>
    <w:unhideWhenUsed/>
    <w:rsid w:val="00667DFE"/>
    <w:rPr>
      <w:color w:val="954F72" w:themeColor="followedHyperlink"/>
      <w:u w:val="single"/>
    </w:rPr>
  </w:style>
  <w:style w:type="table" w:styleId="TableGrid">
    <w:name w:val="Table Grid"/>
    <w:basedOn w:val="TableNormal"/>
    <w:uiPriority w:val="59"/>
    <w:rsid w:val="00B3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mf.Org/external/pubs/ft/weo/2012/01/weodata/index.Aspx.%20Accessed%205%20Nov%20201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di.Worldbank.Org/table/4.16" TargetMode="External"/><Relationship Id="rId2" Type="http://schemas.openxmlformats.org/officeDocument/2006/relationships/settings" Target="settings.xml"/><Relationship Id="rId16" Type="http://schemas.openxmlformats.org/officeDocument/2006/relationships/hyperlink" Target="http://www.cdc.gov/immigrantrefugeehealth/exams/ti/panel/tuberculosis-panel-technical-instruction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latewing@gmail.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Cia.Gov/library/publications/the-world-factbook/"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La'Marcus Wingate</dc:creator>
  <cp:keywords/>
  <dc:description/>
  <cp:lastModifiedBy>La'Marcus Wingate</cp:lastModifiedBy>
  <cp:revision>2</cp:revision>
  <cp:lastPrinted>2015-08-26T19:00:00Z</cp:lastPrinted>
  <dcterms:created xsi:type="dcterms:W3CDTF">2015-10-13T18:25:00Z</dcterms:created>
  <dcterms:modified xsi:type="dcterms:W3CDTF">2015-10-13T18:25:00Z</dcterms:modified>
</cp:coreProperties>
</file>