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8814" w14:textId="77777777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0" w:name="_GoBack"/>
      <w:bookmarkEnd w:id="0"/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SUPPLEMENTAL FIGURE LEGENDS</w:t>
      </w:r>
    </w:p>
    <w:p w14:paraId="1ECC2F0D" w14:textId="77777777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A35B9A7" w14:textId="0A780FC9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 xml:space="preserve">Figure S1. </w:t>
      </w:r>
      <w:r w:rsidR="0023737A" w:rsidRPr="00D546E1">
        <w:rPr>
          <w:rFonts w:ascii="Times New Roman" w:hAnsi="Times New Roman" w:cs="Times New Roman"/>
          <w:b/>
          <w:color w:val="000000" w:themeColor="text1"/>
          <w:sz w:val="22"/>
        </w:rPr>
        <w:t xml:space="preserve">Structural </w:t>
      </w:r>
      <w:r w:rsidR="00960751" w:rsidRPr="00D546E1">
        <w:rPr>
          <w:rFonts w:ascii="Times New Roman" w:hAnsi="Times New Roman" w:cs="Times New Roman"/>
          <w:b/>
          <w:color w:val="000000" w:themeColor="text1"/>
          <w:sz w:val="22"/>
        </w:rPr>
        <w:t>D</w:t>
      </w:r>
      <w:r w:rsidR="0023737A" w:rsidRPr="00D546E1">
        <w:rPr>
          <w:rFonts w:ascii="Times New Roman" w:hAnsi="Times New Roman" w:cs="Times New Roman"/>
          <w:b/>
          <w:color w:val="000000" w:themeColor="text1"/>
          <w:sz w:val="22"/>
        </w:rPr>
        <w:t>etermination</w:t>
      </w: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, Related to Figure 1.</w:t>
      </w:r>
    </w:p>
    <w:p w14:paraId="3C577E8C" w14:textId="22B9B556" w:rsidR="0023737A" w:rsidRPr="00D546E1" w:rsidRDefault="0023737A" w:rsidP="0023737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(A) </w:t>
      </w:r>
      <w:r w:rsidR="00960751" w:rsidRPr="00D546E1">
        <w:rPr>
          <w:rFonts w:ascii="Times New Roman" w:hAnsi="Times New Roman" w:cs="Times New Roman"/>
          <w:color w:val="000000" w:themeColor="text1"/>
          <w:sz w:val="22"/>
        </w:rPr>
        <w:t>S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imulated annealing omit </w:t>
      </w:r>
      <w:r w:rsidR="0042375D" w:rsidRPr="00D546E1">
        <w:rPr>
          <w:rFonts w:ascii="Times New Roman" w:hAnsi="Times New Roman" w:cs="Times New Roman"/>
          <w:i/>
          <w:color w:val="000000" w:themeColor="text1"/>
          <w:sz w:val="22"/>
        </w:rPr>
        <w:t>mF</w:t>
      </w:r>
      <w:r w:rsidR="0042375D" w:rsidRPr="00D546E1">
        <w:rPr>
          <w:rFonts w:ascii="Times New Roman" w:hAnsi="Times New Roman" w:cs="Times New Roman"/>
          <w:color w:val="000000" w:themeColor="text1"/>
          <w:sz w:val="22"/>
          <w:vertAlign w:val="subscript"/>
        </w:rPr>
        <w:t>O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 – </w:t>
      </w:r>
      <w:r w:rsidR="0042375D" w:rsidRPr="00D546E1">
        <w:rPr>
          <w:rFonts w:ascii="Times New Roman" w:hAnsi="Times New Roman" w:cs="Times New Roman"/>
          <w:i/>
          <w:color w:val="000000" w:themeColor="text1"/>
          <w:sz w:val="22"/>
        </w:rPr>
        <w:t>DF</w:t>
      </w:r>
      <w:r w:rsidR="0042375D" w:rsidRPr="00D546E1">
        <w:rPr>
          <w:rFonts w:ascii="Times New Roman" w:hAnsi="Times New Roman" w:cs="Times New Roman"/>
          <w:color w:val="000000" w:themeColor="text1"/>
          <w:sz w:val="22"/>
          <w:vertAlign w:val="subscript"/>
        </w:rPr>
        <w:t>C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 electron density map for the PAM and the PAM-interacting residues is shown as a blue mesh (contoured at 4.5</w:t>
      </w:r>
      <w:r w:rsidR="0042375D" w:rsidRPr="00D546E1">
        <w:rPr>
          <w:rFonts w:ascii="Symbol" w:hAnsi="Symbol" w:cs="Times New Roman"/>
          <w:color w:val="000000" w:themeColor="text1"/>
          <w:sz w:val="22"/>
        </w:rPr>
        <w:t>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>) (stereoview).</w:t>
      </w:r>
    </w:p>
    <w:p w14:paraId="5359128C" w14:textId="039E9947" w:rsidR="000B2140" w:rsidRPr="00D546E1" w:rsidRDefault="000B2140" w:rsidP="0023737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="0023737A" w:rsidRPr="00D546E1">
        <w:rPr>
          <w:rFonts w:ascii="Times New Roman" w:hAnsi="Times New Roman" w:cs="Times New Roman"/>
          <w:color w:val="000000" w:themeColor="text1"/>
          <w:sz w:val="22"/>
        </w:rPr>
        <w:t>B</w:t>
      </w:r>
      <w:r w:rsidRPr="00D546E1">
        <w:rPr>
          <w:rFonts w:ascii="Times New Roman" w:hAnsi="Times New Roman" w:cs="Times New Roman" w:hint="eastAsia"/>
          <w:color w:val="000000" w:themeColor="text1"/>
          <w:sz w:val="22"/>
        </w:rPr>
        <w:t>)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A4559F" w:rsidRPr="00D546E1">
        <w:rPr>
          <w:rFonts w:ascii="Times New Roman" w:hAnsi="Times New Roman" w:cs="Times New Roman"/>
          <w:color w:val="000000" w:themeColor="text1"/>
          <w:sz w:val="22"/>
        </w:rPr>
        <w:t xml:space="preserve">Location of the C946A mutation. </w:t>
      </w:r>
      <w:r w:rsidR="002425AE" w:rsidRPr="00D546E1">
        <w:rPr>
          <w:rFonts w:ascii="Times New Roman" w:hAnsi="Times New Roman" w:cs="Times New Roman"/>
          <w:color w:val="000000" w:themeColor="text1"/>
          <w:sz w:val="22"/>
        </w:rPr>
        <w:t xml:space="preserve">The C946A mutation is located on a surface-exposed </w:t>
      </w:r>
      <w:r w:rsidR="002425AE" w:rsidRPr="00D546E1">
        <w:rPr>
          <w:rFonts w:ascii="Symbol" w:hAnsi="Symbol" w:cs="Times New Roman"/>
          <w:color w:val="000000" w:themeColor="text1"/>
          <w:sz w:val="22"/>
        </w:rPr>
        <w:t></w:t>
      </w:r>
      <w:r w:rsidR="002425AE" w:rsidRPr="00D546E1">
        <w:rPr>
          <w:rFonts w:ascii="Times New Roman" w:hAnsi="Times New Roman" w:cs="Times New Roman"/>
          <w:color w:val="000000" w:themeColor="text1"/>
          <w:sz w:val="22"/>
        </w:rPr>
        <w:t xml:space="preserve"> helix in the TOPO domain, and </w:t>
      </w:r>
      <w:r w:rsidR="00A10D3E" w:rsidRPr="00D546E1">
        <w:rPr>
          <w:rFonts w:ascii="Times New Roman" w:hAnsi="Times New Roman" w:cs="Times New Roman"/>
          <w:color w:val="000000" w:themeColor="text1"/>
          <w:sz w:val="22"/>
        </w:rPr>
        <w:t xml:space="preserve">does </w:t>
      </w:r>
      <w:r w:rsidR="002425AE" w:rsidRPr="00D546E1">
        <w:rPr>
          <w:rFonts w:ascii="Times New Roman" w:hAnsi="Times New Roman" w:cs="Times New Roman"/>
          <w:color w:val="000000" w:themeColor="text1"/>
          <w:sz w:val="22"/>
        </w:rPr>
        <w:t>no</w:t>
      </w:r>
      <w:r w:rsidR="00A10D3E" w:rsidRPr="00D546E1">
        <w:rPr>
          <w:rFonts w:ascii="Times New Roman" w:hAnsi="Times New Roman" w:cs="Times New Roman"/>
          <w:color w:val="000000" w:themeColor="text1"/>
          <w:sz w:val="22"/>
        </w:rPr>
        <w:t>t</w:t>
      </w:r>
      <w:r w:rsidR="002425AE" w:rsidRPr="00D546E1">
        <w:rPr>
          <w:rFonts w:ascii="Times New Roman" w:hAnsi="Times New Roman" w:cs="Times New Roman"/>
          <w:color w:val="000000" w:themeColor="text1"/>
          <w:sz w:val="22"/>
        </w:rPr>
        <w:t xml:space="preserve"> contact the bound nucleic acids.</w:t>
      </w:r>
    </w:p>
    <w:p w14:paraId="1B296EBC" w14:textId="173C0DD0" w:rsidR="0042375D" w:rsidRPr="00D546E1" w:rsidRDefault="0023737A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>(C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) Target sequence in the human </w:t>
      </w:r>
      <w:r w:rsidR="0042375D" w:rsidRPr="00D546E1">
        <w:rPr>
          <w:rFonts w:ascii="Times New Roman" w:hAnsi="Times New Roman" w:cs="Times New Roman"/>
          <w:i/>
          <w:color w:val="000000" w:themeColor="text1"/>
          <w:sz w:val="22"/>
        </w:rPr>
        <w:t>DYRK1A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 locus</w:t>
      </w:r>
      <w:r w:rsidR="00A10D3E" w:rsidRPr="00D546E1">
        <w:rPr>
          <w:rFonts w:ascii="Times New Roman" w:hAnsi="Times New Roman" w:cs="Times New Roman"/>
          <w:color w:val="000000" w:themeColor="text1"/>
          <w:sz w:val="22"/>
        </w:rPr>
        <w:t>,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 used to test endogenous genome cleavage b</w:t>
      </w:r>
      <w:r w:rsidR="009672F6" w:rsidRPr="00D546E1">
        <w:rPr>
          <w:rFonts w:ascii="Times New Roman" w:hAnsi="Times New Roman" w:cs="Times New Roman"/>
          <w:color w:val="000000" w:themeColor="text1"/>
          <w:sz w:val="22"/>
        </w:rPr>
        <w:t>y the wild-type (WT) and C946A mutant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 of SaCas9. The sites</w:t>
      </w:r>
      <w:r w:rsidR="00FE13B8" w:rsidRPr="00D546E1">
        <w:rPr>
          <w:rFonts w:ascii="Times New Roman" w:hAnsi="Times New Roman" w:cs="Times New Roman"/>
          <w:color w:val="000000" w:themeColor="text1"/>
          <w:sz w:val="22"/>
        </w:rPr>
        <w:t xml:space="preserve"> cleaved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 by the RuvC and HNH domains are indicated by cyan and pink triangles, respectively.</w:t>
      </w:r>
    </w:p>
    <w:p w14:paraId="1F89EF07" w14:textId="663F6AD1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>(</w:t>
      </w:r>
      <w:r w:rsidR="0023737A" w:rsidRPr="00D546E1">
        <w:rPr>
          <w:rFonts w:ascii="Times New Roman" w:hAnsi="Times New Roman" w:cs="Times New Roman"/>
          <w:color w:val="000000" w:themeColor="text1"/>
          <w:sz w:val="22"/>
        </w:rPr>
        <w:t>D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) Comparison of the genome cleavage activities of the WT and C946A mutant of SaCas9. The activities were evaluated by</w:t>
      </w:r>
      <w:r w:rsidR="00A10D3E" w:rsidRPr="00D546E1">
        <w:rPr>
          <w:rFonts w:ascii="Times New Roman" w:hAnsi="Times New Roman" w:cs="Times New Roman"/>
          <w:color w:val="000000" w:themeColor="text1"/>
          <w:sz w:val="22"/>
        </w:rPr>
        <w:t xml:space="preserve"> the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percentage of indel formation at the </w:t>
      </w:r>
      <w:r w:rsidRPr="00D546E1">
        <w:rPr>
          <w:rFonts w:ascii="Times New Roman" w:hAnsi="Times New Roman" w:cs="Times New Roman"/>
          <w:i/>
          <w:color w:val="000000" w:themeColor="text1"/>
          <w:sz w:val="22"/>
        </w:rPr>
        <w:t>DYRK1A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locus</w:t>
      </w:r>
      <w:r w:rsidR="00A10D3E" w:rsidRPr="00D546E1">
        <w:rPr>
          <w:rFonts w:ascii="Times New Roman" w:hAnsi="Times New Roman" w:cs="Times New Roman"/>
          <w:color w:val="000000" w:themeColor="text1"/>
          <w:sz w:val="22"/>
        </w:rPr>
        <w:t>,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using next-generation sequencing of targeted amplicon (n = 3 for all experiments, error bars indicate MLE) (see </w:t>
      </w:r>
      <w:r w:rsidR="007702A2" w:rsidRPr="00D546E1">
        <w:rPr>
          <w:rFonts w:ascii="Times New Roman" w:hAnsi="Times New Roman" w:cs="Times New Roman"/>
          <w:color w:val="000000" w:themeColor="text1"/>
          <w:sz w:val="22"/>
        </w:rPr>
        <w:t>Experimental Procedure section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for more detail</w:t>
      </w:r>
      <w:r w:rsidR="00A10D3E" w:rsidRPr="00D546E1">
        <w:rPr>
          <w:rFonts w:ascii="Times New Roman" w:hAnsi="Times New Roman" w:cs="Times New Roman"/>
          <w:color w:val="000000" w:themeColor="text1"/>
          <w:sz w:val="22"/>
        </w:rPr>
        <w:t>s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).</w:t>
      </w:r>
    </w:p>
    <w:p w14:paraId="09A39306" w14:textId="77777777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634BF87D" w14:textId="2C415BD3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Figure S</w:t>
      </w:r>
      <w:r w:rsidR="00960751" w:rsidRPr="00D546E1">
        <w:rPr>
          <w:rFonts w:ascii="Times New Roman" w:hAnsi="Times New Roman" w:cs="Times New Roman"/>
          <w:b/>
          <w:color w:val="000000" w:themeColor="text1"/>
          <w:sz w:val="22"/>
        </w:rPr>
        <w:t>2</w:t>
      </w: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 xml:space="preserve">. Crystal </w:t>
      </w:r>
      <w:r w:rsidR="00A4559F" w:rsidRPr="00D546E1"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 xml:space="preserve">tructures of SpCas9 (PDB ID 4CMP) and AnCas9 (PDB ID 4OGE) in the </w:t>
      </w:r>
      <w:r w:rsidR="00A4559F" w:rsidRPr="00D546E1">
        <w:rPr>
          <w:rFonts w:ascii="Times New Roman" w:hAnsi="Times New Roman" w:cs="Times New Roman"/>
          <w:b/>
          <w:color w:val="000000" w:themeColor="text1"/>
          <w:sz w:val="22"/>
        </w:rPr>
        <w:t>A</w:t>
      </w: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 xml:space="preserve">po </w:t>
      </w:r>
      <w:r w:rsidR="00A4559F" w:rsidRPr="00D546E1">
        <w:rPr>
          <w:rFonts w:ascii="Times New Roman" w:hAnsi="Times New Roman" w:cs="Times New Roman"/>
          <w:b/>
          <w:color w:val="000000" w:themeColor="text1"/>
          <w:sz w:val="22"/>
        </w:rPr>
        <w:t>F</w:t>
      </w: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orm, Related to Figure 1</w:t>
      </w:r>
      <w:r w:rsidR="00BF793E" w:rsidRPr="00D546E1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7488ACCC" w14:textId="0FAEAAA0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>The active sites of the HNH and RuvC nuclease domains are indicate</w:t>
      </w:r>
      <w:r w:rsidR="00EF5050" w:rsidRPr="00D546E1">
        <w:rPr>
          <w:rFonts w:ascii="Times New Roman" w:hAnsi="Times New Roman" w:cs="Times New Roman"/>
          <w:color w:val="000000" w:themeColor="text1"/>
          <w:sz w:val="22"/>
        </w:rPr>
        <w:t>d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by red circles. </w:t>
      </w:r>
      <w:r w:rsidR="00F55F1A" w:rsidRPr="00D546E1">
        <w:rPr>
          <w:rFonts w:ascii="Times New Roman" w:hAnsi="Times New Roman" w:cs="Times New Roman"/>
          <w:color w:val="000000" w:themeColor="text1"/>
          <w:sz w:val="22"/>
        </w:rPr>
        <w:t xml:space="preserve">In SpCas9, the WED domain is disordered. 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In AnCas9, residues 99–136 and 171–224 in the REC lobe are disordered, probably due to their flexibility.</w:t>
      </w:r>
    </w:p>
    <w:p w14:paraId="3A5A02B3" w14:textId="77777777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2A2658C8" w14:textId="463E6C9A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Figure S</w:t>
      </w:r>
      <w:r w:rsidR="00960751" w:rsidRPr="00D546E1">
        <w:rPr>
          <w:rFonts w:ascii="Times New Roman" w:hAnsi="Times New Roman" w:cs="Times New Roman"/>
          <w:b/>
          <w:color w:val="000000" w:themeColor="text1"/>
          <w:sz w:val="22"/>
        </w:rPr>
        <w:t>3</w:t>
      </w: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. Structure-Guided Sequence Alignment of SaCas9 and SpCas9, Related to Figure 1.</w:t>
      </w:r>
    </w:p>
    <w:p w14:paraId="1C28BCA3" w14:textId="71D8E47D" w:rsidR="0042375D" w:rsidRPr="00D546E1" w:rsidRDefault="00633FF1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The structures of SaCas9 and SpCas9 (PDB ID 4UN3) were superimposed by </w:t>
      </w:r>
      <w:r w:rsidR="009278C6" w:rsidRPr="00D546E1">
        <w:rPr>
          <w:rFonts w:ascii="Times New Roman" w:hAnsi="Times New Roman" w:cs="Times New Roman"/>
          <w:color w:val="000000" w:themeColor="text1"/>
          <w:sz w:val="22"/>
        </w:rPr>
        <w:t>the</w:t>
      </w:r>
      <w:r w:rsidR="0028556D" w:rsidRPr="00D546E1">
        <w:rPr>
          <w:rFonts w:ascii="Times New Roman" w:hAnsi="Times New Roman" w:cs="Times New Roman"/>
          <w:color w:val="000000" w:themeColor="text1"/>
          <w:sz w:val="22"/>
        </w:rPr>
        <w:t xml:space="preserve"> s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econdary-structure matching (SSM) algorithm</w:t>
      </w:r>
      <w:r w:rsidR="00BF793E" w:rsidRPr="00D546E1">
        <w:rPr>
          <w:rFonts w:ascii="Times New Roman" w:hAnsi="Times New Roman" w:cs="Times New Roman"/>
          <w:color w:val="000000" w:themeColor="text1"/>
          <w:sz w:val="22"/>
        </w:rPr>
        <w:t>,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using</w:t>
      </w:r>
      <w:r w:rsidRPr="00D546E1">
        <w:rPr>
          <w:rFonts w:ascii="Times New Roman" w:hAnsi="Times New Roman" w:cs="Times New Roman"/>
          <w:sz w:val="22"/>
        </w:rPr>
        <w:t xml:space="preserve"> CueMol (http://www.cuemol.org), and then the sequence alignment was manually refined. The figure was prepared using ESPript3 (http://espript.ibcp.fr/ESPript/ESPript/).</w:t>
      </w:r>
      <w:r w:rsidR="0028556D" w:rsidRPr="00D546E1">
        <w:rPr>
          <w:rFonts w:ascii="Times New Roman" w:hAnsi="Times New Roman" w:cs="Times New Roman"/>
          <w:color w:val="000000" w:themeColor="text1"/>
          <w:sz w:val="22"/>
        </w:rPr>
        <w:t xml:space="preserve"> The secondary structures of SaCas9 and SpCas9 are shown above and below the sequences, respectively.</w:t>
      </w:r>
    </w:p>
    <w:p w14:paraId="61D973BB" w14:textId="77777777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6E39C7D0" w14:textId="1C3C002B" w:rsidR="0042375D" w:rsidRPr="00D546E1" w:rsidRDefault="00960751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Figure S4</w:t>
      </w:r>
      <w:r w:rsidR="0042375D" w:rsidRPr="00D546E1">
        <w:rPr>
          <w:rFonts w:ascii="Times New Roman" w:hAnsi="Times New Roman" w:cs="Times New Roman"/>
          <w:b/>
          <w:color w:val="000000" w:themeColor="text1"/>
          <w:sz w:val="22"/>
        </w:rPr>
        <w:t>. Comparison of the SaCas9 and SpCas9 sgRNA</w:t>
      </w:r>
      <w:r w:rsidR="00BF793E" w:rsidRPr="00D546E1"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="0042375D" w:rsidRPr="00D546E1">
        <w:rPr>
          <w:rFonts w:ascii="Times New Roman" w:hAnsi="Times New Roman" w:cs="Times New Roman"/>
          <w:b/>
          <w:color w:val="000000" w:themeColor="text1"/>
          <w:sz w:val="22"/>
        </w:rPr>
        <w:t>, Related to Figure 2.</w:t>
      </w:r>
    </w:p>
    <w:p w14:paraId="39B37292" w14:textId="52E2B7CC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(A and B) Crystal structures (left) and nucleotide sequences (right) of the SpCas9 sgRNA (PDB ID 4OO8) (A) and </w:t>
      </w:r>
      <w:r w:rsidR="00BF793E" w:rsidRPr="00D546E1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Pr="00D546E1">
        <w:rPr>
          <w:rFonts w:ascii="Times New Roman" w:hAnsi="Times New Roman" w:cs="Times New Roman"/>
          <w:sz w:val="22"/>
        </w:rPr>
        <w:t>SaCas9 sgRNA (B)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343F1631" w14:textId="2F902F2F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>(C) Effect of the truncation of stem loop 2 on</w:t>
      </w:r>
      <w:r w:rsidR="00FF2E6C" w:rsidRPr="00D546E1">
        <w:rPr>
          <w:rFonts w:ascii="Times New Roman" w:hAnsi="Times New Roman" w:cs="Times New Roman"/>
          <w:color w:val="000000" w:themeColor="text1"/>
          <w:sz w:val="22"/>
        </w:rPr>
        <w:t xml:space="preserve"> the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D546E1">
        <w:rPr>
          <w:rFonts w:ascii="Times New Roman" w:hAnsi="Times New Roman" w:cs="Times New Roman"/>
          <w:i/>
          <w:color w:val="000000" w:themeColor="text1"/>
          <w:sz w:val="22"/>
        </w:rPr>
        <w:t>in vitro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DNA cleavage activity. An </w:t>
      </w:r>
      <w:r w:rsidRPr="00D546E1">
        <w:rPr>
          <w:rFonts w:ascii="Times New Roman" w:hAnsi="Times New Roman" w:cs="Times New Roman"/>
          <w:i/>
          <w:color w:val="000000" w:themeColor="text1"/>
          <w:sz w:val="22"/>
        </w:rPr>
        <w:t>Eco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RI-linearized </w:t>
      </w:r>
      <w:r w:rsidR="0028556D" w:rsidRPr="00D546E1">
        <w:rPr>
          <w:rFonts w:ascii="Times New Roman" w:hAnsi="Times New Roman" w:cs="Times New Roman"/>
          <w:color w:val="000000" w:themeColor="text1"/>
          <w:sz w:val="22"/>
        </w:rPr>
        <w:t xml:space="preserve">pUC119 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plasmid (150 ng</w:t>
      </w:r>
      <w:r w:rsidR="0028556D" w:rsidRPr="00D546E1">
        <w:rPr>
          <w:rFonts w:ascii="Times New Roman" w:hAnsi="Times New Roman" w:cs="Times New Roman"/>
          <w:color w:val="000000" w:themeColor="text1"/>
          <w:sz w:val="22"/>
        </w:rPr>
        <w:t>, 7 nM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) was cleaved with the SaCas9–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lastRenderedPageBreak/>
        <w:t>sgRNA complex (8, 16, 32 nM) at 37°C for 1 h, and then resolved on an ethidium bromide-stained 1% agarose gel.</w:t>
      </w:r>
    </w:p>
    <w:p w14:paraId="734336C1" w14:textId="69B9C858" w:rsidR="0042375D" w:rsidRPr="00D546E1" w:rsidRDefault="003961C1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D</w:t>
      </w:r>
      <w:r w:rsidRPr="00D546E1">
        <w:rPr>
          <w:rFonts w:ascii="Times New Roman" w:hAnsi="Times New Roman" w:cs="Times New Roman" w:hint="eastAsia"/>
          <w:color w:val="000000" w:themeColor="text1"/>
          <w:sz w:val="22"/>
        </w:rPr>
        <w:t>)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8548F" w:rsidRPr="00D546E1">
        <w:rPr>
          <w:rFonts w:ascii="Times New Roman" w:hAnsi="Times New Roman" w:cs="Times New Roman"/>
          <w:color w:val="000000" w:themeColor="text1"/>
          <w:sz w:val="22"/>
        </w:rPr>
        <w:t>E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lectrostatic </w:t>
      </w:r>
      <w:r w:rsidR="0028548F" w:rsidRPr="00D546E1">
        <w:rPr>
          <w:rFonts w:ascii="Times New Roman" w:hAnsi="Times New Roman" w:cs="Times New Roman"/>
          <w:color w:val="000000" w:themeColor="text1"/>
          <w:sz w:val="22"/>
        </w:rPr>
        <w:t xml:space="preserve">surface 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potential of SpCas9 (PDB ID 4OO8) (left) and SaCas9 (right).</w:t>
      </w:r>
    </w:p>
    <w:p w14:paraId="6430DC51" w14:textId="77777777" w:rsidR="003961C1" w:rsidRPr="00D546E1" w:rsidRDefault="003961C1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74988BF6" w14:textId="4395B41A" w:rsidR="0042375D" w:rsidRPr="00D546E1" w:rsidRDefault="00960751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Figure S5</w:t>
      </w:r>
      <w:r w:rsidR="0042375D" w:rsidRPr="00D546E1">
        <w:rPr>
          <w:rFonts w:ascii="Times New Roman" w:hAnsi="Times New Roman" w:cs="Times New Roman"/>
          <w:b/>
          <w:color w:val="000000" w:themeColor="text1"/>
          <w:sz w:val="22"/>
        </w:rPr>
        <w:t>. Structural Comparison of the REC Lobes, Related to Figure 4.</w:t>
      </w:r>
    </w:p>
    <w:p w14:paraId="1B3E5454" w14:textId="77777777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(A) Structural comparison of the REC lobes (the C-terminal region) of SaCas9, SpCas9 (PDB ID 4UN3) and AnCas9 (PDB ID 4OGE). The conserved </w:t>
      </w:r>
      <w:r w:rsidRPr="00D546E1">
        <w:rPr>
          <w:rFonts w:ascii="Symbol" w:hAnsi="Symbol" w:cs="Times New Roman"/>
          <w:color w:val="000000" w:themeColor="text1"/>
          <w:sz w:val="22"/>
        </w:rPr>
        <w:t>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helices are numbered.</w:t>
      </w:r>
    </w:p>
    <w:p w14:paraId="4135ED03" w14:textId="77777777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>(B) Superimposition of the REC lobes (the C-terminal region) of SaCas9, SpCas9 (PDB ID 4UN3) and AnCas9 (PDB ID 4OGE) (stereoview).</w:t>
      </w:r>
    </w:p>
    <w:p w14:paraId="4CD26567" w14:textId="77777777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3E890E0A" w14:textId="4F5A14AA" w:rsidR="0042375D" w:rsidRPr="00D546E1" w:rsidRDefault="00960751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b/>
          <w:color w:val="000000" w:themeColor="text1"/>
          <w:sz w:val="22"/>
        </w:rPr>
        <w:t>Figure S6</w:t>
      </w:r>
      <w:r w:rsidR="0042375D" w:rsidRPr="00D546E1">
        <w:rPr>
          <w:rFonts w:ascii="Times New Roman" w:hAnsi="Times New Roman" w:cs="Times New Roman"/>
          <w:b/>
          <w:color w:val="000000" w:themeColor="text1"/>
          <w:sz w:val="22"/>
        </w:rPr>
        <w:t>. Structural Comparison of the REC, WED and PI Domains, Related to Figure 4.</w:t>
      </w:r>
    </w:p>
    <w:p w14:paraId="2AEC6582" w14:textId="2D63BD85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(A) Structural comparison of the WED and PI domains of SaCas9, SpCas9 (PDB ID 4UN3) and AnCas9 (PDB ID 4OGE). The core </w:t>
      </w:r>
      <w:r w:rsidRPr="00D546E1">
        <w:rPr>
          <w:rFonts w:ascii="Symbol" w:hAnsi="Symbol" w:cs="Times New Roman"/>
          <w:color w:val="000000" w:themeColor="text1"/>
          <w:sz w:val="22"/>
        </w:rPr>
        <w:t>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-strands in the WED and PI domains are numbered. The SpCas9-specific insertion is highlight in pale blue. The PAM-interacting residues in SaCas9 and SpCas9, and the equivalent residues in AnCas9</w:t>
      </w:r>
      <w:r w:rsidR="00396CDD" w:rsidRPr="00D546E1">
        <w:rPr>
          <w:rFonts w:ascii="Times New Roman" w:hAnsi="Times New Roman" w:cs="Times New Roman"/>
          <w:color w:val="000000" w:themeColor="text1"/>
          <w:sz w:val="22"/>
        </w:rPr>
        <w:t>,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 are shown as stick models.</w:t>
      </w:r>
    </w:p>
    <w:p w14:paraId="49FEF7D4" w14:textId="77777777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>(B and C) Recognition of the sgRNA scaffolds in SaCas9 (B) and SpCas9 (PDB ID 4UN3) (C).</w:t>
      </w:r>
    </w:p>
    <w:p w14:paraId="5576646B" w14:textId="77777777" w:rsidR="0042375D" w:rsidRPr="00D546E1" w:rsidRDefault="0042375D" w:rsidP="0042375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39F745FF" w14:textId="1D5BEE36" w:rsidR="0042375D" w:rsidRPr="00D546E1" w:rsidRDefault="00960751" w:rsidP="0042375D">
      <w:pPr>
        <w:widowControl/>
        <w:adjustRightInd w:val="0"/>
        <w:snapToGrid w:val="0"/>
        <w:spacing w:line="360" w:lineRule="auto"/>
        <w:jc w:val="left"/>
        <w:rPr>
          <w:rFonts w:ascii="Times" w:hAnsi="Times" w:cs="Times New Roman"/>
          <w:b/>
          <w:color w:val="000000" w:themeColor="text1"/>
          <w:sz w:val="22"/>
        </w:rPr>
      </w:pPr>
      <w:r w:rsidRPr="00D546E1">
        <w:rPr>
          <w:rFonts w:ascii="Times" w:hAnsi="Times" w:cs="Times New Roman"/>
          <w:b/>
          <w:color w:val="000000" w:themeColor="text1"/>
          <w:sz w:val="22"/>
        </w:rPr>
        <w:t>Figure S7</w:t>
      </w:r>
      <w:r w:rsidR="0042375D" w:rsidRPr="00D546E1">
        <w:rPr>
          <w:rFonts w:ascii="Times" w:hAnsi="Times" w:cs="Times New Roman"/>
          <w:b/>
          <w:color w:val="000000" w:themeColor="text1"/>
          <w:sz w:val="22"/>
        </w:rPr>
        <w:t>. RuvC and HNH Nuclease Domains</w:t>
      </w:r>
      <w:r w:rsidR="0042375D" w:rsidRPr="00D546E1">
        <w:rPr>
          <w:rFonts w:ascii="Times New Roman" w:hAnsi="Times New Roman" w:cs="Times New Roman"/>
          <w:b/>
          <w:color w:val="000000" w:themeColor="text1"/>
          <w:sz w:val="22"/>
        </w:rPr>
        <w:t xml:space="preserve">, Related to Figure </w:t>
      </w:r>
      <w:r w:rsidR="00A4559F" w:rsidRPr="00D546E1">
        <w:rPr>
          <w:rFonts w:ascii="Times New Roman" w:hAnsi="Times New Roman" w:cs="Times New Roman"/>
          <w:b/>
          <w:color w:val="000000" w:themeColor="text1"/>
          <w:sz w:val="22"/>
        </w:rPr>
        <w:t>6</w:t>
      </w:r>
      <w:r w:rsidR="0042375D" w:rsidRPr="00D546E1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5E451B68" w14:textId="5FB55B48" w:rsidR="0042375D" w:rsidRPr="00D546E1" w:rsidRDefault="0042375D" w:rsidP="0042375D">
      <w:pPr>
        <w:widowControl/>
        <w:adjustRightInd w:val="0"/>
        <w:snapToGrid w:val="0"/>
        <w:spacing w:line="360" w:lineRule="auto"/>
        <w:jc w:val="left"/>
        <w:rPr>
          <w:rFonts w:ascii="Times" w:hAnsi="Times" w:cs="Times New Roman"/>
          <w:color w:val="000000" w:themeColor="text1"/>
          <w:sz w:val="22"/>
        </w:rPr>
      </w:pPr>
      <w:r w:rsidRPr="00D546E1">
        <w:rPr>
          <w:rFonts w:ascii="Times" w:hAnsi="Times" w:cs="Times New Roman"/>
          <w:color w:val="000000" w:themeColor="text1"/>
          <w:sz w:val="22"/>
        </w:rPr>
        <w:t xml:space="preserve">(A) Target sequence in the human </w:t>
      </w:r>
      <w:r w:rsidRPr="00D546E1">
        <w:rPr>
          <w:rFonts w:ascii="Times" w:hAnsi="Times" w:cs="Times New Roman"/>
          <w:i/>
          <w:color w:val="000000" w:themeColor="text1"/>
          <w:sz w:val="22"/>
        </w:rPr>
        <w:t>DYRK1A</w:t>
      </w:r>
      <w:r w:rsidRPr="00D546E1">
        <w:rPr>
          <w:rFonts w:ascii="Times" w:hAnsi="Times" w:cs="Times New Roman"/>
          <w:color w:val="000000" w:themeColor="text1"/>
          <w:sz w:val="22"/>
        </w:rPr>
        <w:t xml:space="preserve"> locus</w:t>
      </w:r>
      <w:r w:rsidR="00396CDD" w:rsidRPr="00D546E1">
        <w:rPr>
          <w:rFonts w:ascii="Times" w:hAnsi="Times" w:cs="Times New Roman"/>
          <w:color w:val="000000" w:themeColor="text1"/>
          <w:sz w:val="22"/>
        </w:rPr>
        <w:t>,</w:t>
      </w:r>
      <w:r w:rsidRPr="00D546E1">
        <w:rPr>
          <w:rFonts w:ascii="Times" w:hAnsi="Times" w:cs="Times New Roman"/>
          <w:color w:val="000000" w:themeColor="text1"/>
          <w:sz w:val="22"/>
        </w:rPr>
        <w:t xml:space="preserve"> used to test endogenous genome cleavage by the wild-type (WT) and mutants of SaCas9. The sites </w:t>
      </w:r>
      <w:r w:rsidR="00396CDD" w:rsidRPr="00D546E1">
        <w:rPr>
          <w:rFonts w:ascii="Times" w:hAnsi="Times" w:cs="Times New Roman"/>
          <w:color w:val="000000" w:themeColor="text1"/>
          <w:sz w:val="22"/>
        </w:rPr>
        <w:t xml:space="preserve">cleaved </w:t>
      </w:r>
      <w:r w:rsidRPr="00D546E1">
        <w:rPr>
          <w:rFonts w:ascii="Times" w:hAnsi="Times" w:cs="Times New Roman"/>
          <w:color w:val="000000" w:themeColor="text1"/>
          <w:sz w:val="22"/>
        </w:rPr>
        <w:t>by the RuvC and HNH domains are indicated by</w:t>
      </w:r>
      <w:r w:rsidRPr="00D546E1">
        <w:rPr>
          <w:rFonts w:ascii="Times" w:hAnsi="Times" w:cs="Times New Roman" w:hint="eastAsia"/>
          <w:color w:val="000000" w:themeColor="text1"/>
          <w:sz w:val="22"/>
        </w:rPr>
        <w:t xml:space="preserve"> </w:t>
      </w:r>
      <w:r w:rsidRPr="00D546E1">
        <w:rPr>
          <w:rFonts w:ascii="Times" w:hAnsi="Times" w:cs="Times New Roman"/>
          <w:color w:val="000000" w:themeColor="text1"/>
          <w:sz w:val="22"/>
        </w:rPr>
        <w:t>cyan and pink triangles, respectively.</w:t>
      </w:r>
    </w:p>
    <w:p w14:paraId="160FF196" w14:textId="08532C2C" w:rsidR="00960751" w:rsidRPr="00D546E1" w:rsidRDefault="0042375D" w:rsidP="00960751">
      <w:pPr>
        <w:widowControl/>
        <w:adjustRightInd w:val="0"/>
        <w:snapToGrid w:val="0"/>
        <w:spacing w:line="360" w:lineRule="auto"/>
        <w:jc w:val="left"/>
        <w:rPr>
          <w:rFonts w:ascii="Times" w:hAnsi="Times" w:cs="Times New Roman"/>
          <w:color w:val="000000" w:themeColor="text1"/>
          <w:sz w:val="22"/>
        </w:rPr>
      </w:pPr>
      <w:r w:rsidRPr="00D546E1">
        <w:rPr>
          <w:rFonts w:ascii="Times" w:hAnsi="Times" w:cs="Times New Roman"/>
          <w:color w:val="000000" w:themeColor="text1"/>
          <w:sz w:val="22"/>
        </w:rPr>
        <w:t>(B) Comparison of the genome cleavage activities of the wild-type (WT) and mutants of SaCas9. The activities were evaluated by</w:t>
      </w:r>
      <w:r w:rsidR="00396CDD" w:rsidRPr="00D546E1">
        <w:rPr>
          <w:rFonts w:ascii="Times" w:hAnsi="Times" w:cs="Times New Roman"/>
          <w:color w:val="000000" w:themeColor="text1"/>
          <w:sz w:val="22"/>
        </w:rPr>
        <w:t xml:space="preserve"> the</w:t>
      </w:r>
      <w:r w:rsidRPr="00D546E1">
        <w:rPr>
          <w:rFonts w:ascii="Times" w:hAnsi="Times" w:cs="Times New Roman"/>
          <w:color w:val="000000" w:themeColor="text1"/>
          <w:sz w:val="22"/>
        </w:rPr>
        <w:t xml:space="preserve"> percentage of indel formation at the </w:t>
      </w:r>
      <w:r w:rsidRPr="00D546E1">
        <w:rPr>
          <w:rFonts w:ascii="Times" w:hAnsi="Times" w:cs="Times New Roman"/>
          <w:i/>
          <w:color w:val="000000" w:themeColor="text1"/>
          <w:sz w:val="22"/>
        </w:rPr>
        <w:t>DYRK1A</w:t>
      </w:r>
      <w:r w:rsidRPr="00D546E1">
        <w:rPr>
          <w:rFonts w:ascii="Times" w:hAnsi="Times" w:cs="Times New Roman"/>
          <w:color w:val="000000" w:themeColor="text1"/>
          <w:sz w:val="22"/>
        </w:rPr>
        <w:t xml:space="preserve"> locus</w:t>
      </w:r>
      <w:r w:rsidR="00396CDD" w:rsidRPr="00D546E1">
        <w:rPr>
          <w:rFonts w:ascii="Times" w:hAnsi="Times" w:cs="Times New Roman"/>
          <w:color w:val="000000" w:themeColor="text1"/>
          <w:sz w:val="22"/>
        </w:rPr>
        <w:t>,</w:t>
      </w:r>
      <w:r w:rsidRPr="00D546E1">
        <w:rPr>
          <w:rFonts w:ascii="Times" w:hAnsi="Times" w:cs="Times New Roman"/>
          <w:color w:val="000000" w:themeColor="text1"/>
          <w:sz w:val="22"/>
        </w:rPr>
        <w:t xml:space="preserve"> using next-generation sequencing of targeted amplicon (n = 3 for all experiments, error bars indicate MLE) (see </w:t>
      </w:r>
      <w:r w:rsidR="003B1C4A" w:rsidRPr="00D546E1">
        <w:rPr>
          <w:rFonts w:ascii="Times New Roman" w:hAnsi="Times New Roman" w:cs="Times New Roman"/>
          <w:color w:val="000000" w:themeColor="text1"/>
          <w:sz w:val="22"/>
        </w:rPr>
        <w:t>Experimental Procedure section</w:t>
      </w:r>
      <w:r w:rsidRPr="00D546E1">
        <w:rPr>
          <w:rFonts w:ascii="Times" w:hAnsi="Times" w:cs="Times New Roman"/>
          <w:color w:val="000000" w:themeColor="text1"/>
          <w:sz w:val="22"/>
        </w:rPr>
        <w:t xml:space="preserve"> for more detail</w:t>
      </w:r>
      <w:r w:rsidR="00396CDD" w:rsidRPr="00D546E1">
        <w:rPr>
          <w:rFonts w:ascii="Times" w:hAnsi="Times" w:cs="Times New Roman"/>
          <w:color w:val="000000" w:themeColor="text1"/>
          <w:sz w:val="22"/>
        </w:rPr>
        <w:t>s</w:t>
      </w:r>
      <w:r w:rsidRPr="00D546E1">
        <w:rPr>
          <w:rFonts w:ascii="Times" w:hAnsi="Times" w:cs="Times New Roman"/>
          <w:color w:val="000000" w:themeColor="text1"/>
          <w:sz w:val="22"/>
        </w:rPr>
        <w:t>).</w:t>
      </w:r>
    </w:p>
    <w:p w14:paraId="2A98946A" w14:textId="05F47305" w:rsidR="00883CDE" w:rsidRPr="00960751" w:rsidRDefault="00960751" w:rsidP="0028556D">
      <w:pPr>
        <w:widowControl/>
        <w:adjustRightInd w:val="0"/>
        <w:snapToGrid w:val="0"/>
        <w:spacing w:line="360" w:lineRule="auto"/>
        <w:jc w:val="left"/>
        <w:rPr>
          <w:rFonts w:ascii="Times" w:hAnsi="Times" w:cs="Times New Roman"/>
          <w:color w:val="000000" w:themeColor="text1"/>
          <w:sz w:val="22"/>
        </w:rPr>
      </w:pPr>
      <w:r w:rsidRPr="00D546E1">
        <w:rPr>
          <w:rFonts w:ascii="Times New Roman" w:hAnsi="Times New Roman" w:cs="Times New Roman"/>
          <w:color w:val="000000" w:themeColor="text1"/>
          <w:sz w:val="22"/>
        </w:rPr>
        <w:t xml:space="preserve">(C and D) Structural comparison between </w:t>
      </w:r>
      <w:r w:rsidR="00562260" w:rsidRPr="00D546E1">
        <w:rPr>
          <w:rFonts w:ascii="Times New Roman" w:hAnsi="Times New Roman" w:cs="Times New Roman" w:hint="eastAsia"/>
          <w:i/>
          <w:sz w:val="22"/>
        </w:rPr>
        <w:t>T</w:t>
      </w:r>
      <w:r w:rsidR="00562260" w:rsidRPr="00D546E1">
        <w:rPr>
          <w:rFonts w:ascii="Times New Roman" w:hAnsi="Times New Roman" w:cs="Times New Roman"/>
          <w:i/>
          <w:sz w:val="22"/>
        </w:rPr>
        <w:t>.</w:t>
      </w:r>
      <w:r w:rsidR="00562260" w:rsidRPr="00D546E1">
        <w:rPr>
          <w:rFonts w:ascii="Times New Roman" w:hAnsi="Times New Roman" w:cs="Times New Roman" w:hint="eastAsia"/>
          <w:i/>
          <w:sz w:val="22"/>
        </w:rPr>
        <w:t xml:space="preserve"> </w:t>
      </w:r>
      <w:r w:rsidR="00562260" w:rsidRPr="00D546E1">
        <w:rPr>
          <w:rFonts w:ascii="Times New Roman" w:hAnsi="Times New Roman" w:cs="Times New Roman"/>
          <w:i/>
          <w:sz w:val="22"/>
        </w:rPr>
        <w:t>thermophil</w:t>
      </w:r>
      <w:r w:rsidR="00562260" w:rsidRPr="00D546E1">
        <w:rPr>
          <w:rFonts w:ascii="Times New Roman" w:hAnsi="Times New Roman" w:cs="Times New Roman" w:hint="eastAsia"/>
          <w:i/>
          <w:sz w:val="22"/>
        </w:rPr>
        <w:t>u</w:t>
      </w:r>
      <w:r w:rsidR="00562260" w:rsidRPr="00D546E1">
        <w:rPr>
          <w:rFonts w:ascii="Times New Roman" w:hAnsi="Times New Roman" w:cs="Times New Roman"/>
          <w:i/>
          <w:sz w:val="22"/>
        </w:rPr>
        <w:t>s</w:t>
      </w:r>
      <w:r w:rsidR="00562260" w:rsidRPr="00D546E1">
        <w:rPr>
          <w:rFonts w:ascii="Times New Roman" w:hAnsi="Times New Roman" w:cs="Times New Roman"/>
          <w:sz w:val="22"/>
        </w:rPr>
        <w:t xml:space="preserve"> RuvC in complex with a Holliday junction substrate </w:t>
      </w:r>
      <w:r w:rsidR="00562260" w:rsidRPr="00D546E1">
        <w:rPr>
          <w:rFonts w:ascii="Times New Roman" w:hAnsi="Times New Roman" w:cs="Times New Roman"/>
          <w:color w:val="000000" w:themeColor="text1"/>
          <w:sz w:val="22"/>
        </w:rPr>
        <w:t xml:space="preserve">(PDB ID 4LD0) (C) and 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the SaCas9 RuvC d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omain </w:t>
      </w:r>
      <w:r w:rsidRPr="00D546E1">
        <w:rPr>
          <w:rFonts w:ascii="Times New Roman" w:hAnsi="Times New Roman" w:cs="Times New Roman"/>
          <w:color w:val="000000" w:themeColor="text1"/>
          <w:sz w:val="22"/>
        </w:rPr>
        <w:t>(</w:t>
      </w:r>
      <w:r w:rsidR="00562260" w:rsidRPr="00D546E1">
        <w:rPr>
          <w:rFonts w:ascii="Times New Roman" w:hAnsi="Times New Roman" w:cs="Times New Roman"/>
          <w:color w:val="000000" w:themeColor="text1"/>
          <w:sz w:val="22"/>
        </w:rPr>
        <w:t>D). T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he non-target DNA strand was modeled into the SaCas9 RuvC domain, based on the superimposition of </w:t>
      </w:r>
      <w:r w:rsidR="0042375D" w:rsidRPr="00D546E1">
        <w:rPr>
          <w:rFonts w:ascii="Times New Roman" w:hAnsi="Times New Roman" w:cs="Times New Roman"/>
          <w:i/>
          <w:color w:val="000000" w:themeColor="text1"/>
          <w:sz w:val="22"/>
        </w:rPr>
        <w:t>T. thermophilus</w:t>
      </w:r>
      <w:r w:rsidR="0042375D" w:rsidRPr="00D546E1">
        <w:rPr>
          <w:rFonts w:ascii="Times New Roman" w:hAnsi="Times New Roman" w:cs="Times New Roman"/>
          <w:color w:val="000000" w:themeColor="text1"/>
          <w:sz w:val="22"/>
        </w:rPr>
        <w:t xml:space="preserve"> RuvC on SaCas9. The catalytic residues are shown as stick models. The cleavage sites of the target and non-target DNA strands are indicated by magenta circles.</w:t>
      </w:r>
    </w:p>
    <w:sectPr w:rsidR="00883CDE" w:rsidRPr="00960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7DB47" w14:textId="77777777" w:rsidR="00607998" w:rsidRDefault="00607998" w:rsidP="00014C33">
      <w:r>
        <w:separator/>
      </w:r>
    </w:p>
  </w:endnote>
  <w:endnote w:type="continuationSeparator" w:id="0">
    <w:p w14:paraId="25A2C46B" w14:textId="77777777" w:rsidR="00607998" w:rsidRDefault="00607998" w:rsidP="0001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D829" w14:textId="77777777" w:rsidR="00607998" w:rsidRDefault="00607998" w:rsidP="00014C33">
      <w:r>
        <w:separator/>
      </w:r>
    </w:p>
  </w:footnote>
  <w:footnote w:type="continuationSeparator" w:id="0">
    <w:p w14:paraId="474D3915" w14:textId="77777777" w:rsidR="00607998" w:rsidRDefault="00607998" w:rsidP="0001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32"/>
    <w:rsid w:val="00014C33"/>
    <w:rsid w:val="00037688"/>
    <w:rsid w:val="00072E92"/>
    <w:rsid w:val="000B2140"/>
    <w:rsid w:val="00182676"/>
    <w:rsid w:val="00191124"/>
    <w:rsid w:val="0023737A"/>
    <w:rsid w:val="002425AE"/>
    <w:rsid w:val="002834BE"/>
    <w:rsid w:val="0028548F"/>
    <w:rsid w:val="0028556D"/>
    <w:rsid w:val="003961C1"/>
    <w:rsid w:val="00396CDD"/>
    <w:rsid w:val="003B1C4A"/>
    <w:rsid w:val="0042375D"/>
    <w:rsid w:val="004E63DD"/>
    <w:rsid w:val="00562260"/>
    <w:rsid w:val="0058134A"/>
    <w:rsid w:val="00607998"/>
    <w:rsid w:val="00633FF1"/>
    <w:rsid w:val="007223BD"/>
    <w:rsid w:val="0073385E"/>
    <w:rsid w:val="007702A2"/>
    <w:rsid w:val="00783BAE"/>
    <w:rsid w:val="00811DDE"/>
    <w:rsid w:val="00834936"/>
    <w:rsid w:val="00840F25"/>
    <w:rsid w:val="00883CDE"/>
    <w:rsid w:val="008A0648"/>
    <w:rsid w:val="008C5F32"/>
    <w:rsid w:val="009278C6"/>
    <w:rsid w:val="00960751"/>
    <w:rsid w:val="009672F6"/>
    <w:rsid w:val="00A10D3E"/>
    <w:rsid w:val="00A45393"/>
    <w:rsid w:val="00A4559F"/>
    <w:rsid w:val="00B77B9A"/>
    <w:rsid w:val="00B848FF"/>
    <w:rsid w:val="00BF793E"/>
    <w:rsid w:val="00C2026A"/>
    <w:rsid w:val="00C20F4A"/>
    <w:rsid w:val="00D546E1"/>
    <w:rsid w:val="00D9414E"/>
    <w:rsid w:val="00E153D0"/>
    <w:rsid w:val="00EB0A77"/>
    <w:rsid w:val="00EF5050"/>
    <w:rsid w:val="00F55F1A"/>
    <w:rsid w:val="00FE13B8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2EAAA"/>
  <w15:docId w15:val="{AD397786-B44C-4CDC-846E-411F318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5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F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C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4C33"/>
  </w:style>
  <w:style w:type="paragraph" w:styleId="Footer">
    <w:name w:val="footer"/>
    <w:basedOn w:val="Normal"/>
    <w:link w:val="FooterChar"/>
    <w:uiPriority w:val="99"/>
    <w:unhideWhenUsed/>
    <w:rsid w:val="00014C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4C33"/>
  </w:style>
  <w:style w:type="paragraph" w:styleId="BalloonText">
    <w:name w:val="Balloon Text"/>
    <w:basedOn w:val="Normal"/>
    <w:link w:val="BalloonTextChar"/>
    <w:uiPriority w:val="99"/>
    <w:semiHidden/>
    <w:unhideWhenUsed/>
    <w:rsid w:val="00A10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Nishimasu</dc:creator>
  <cp:keywords/>
  <dc:description/>
  <cp:lastModifiedBy>Hrobak, Christopher (NIH/NLM/NCBI) [C]</cp:lastModifiedBy>
  <cp:revision>2</cp:revision>
  <dcterms:created xsi:type="dcterms:W3CDTF">2015-12-04T18:55:00Z</dcterms:created>
  <dcterms:modified xsi:type="dcterms:W3CDTF">2015-12-04T18:55:00Z</dcterms:modified>
</cp:coreProperties>
</file>