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B590D" w14:textId="77777777" w:rsidR="003C19D1" w:rsidRDefault="003C19D1" w:rsidP="003C19D1">
      <w:pPr>
        <w:spacing w:line="480" w:lineRule="auto"/>
        <w:rPr>
          <w:rFonts w:ascii="Times New Roman" w:hAnsi="Times New Roman" w:cs="Times New Roman"/>
          <w:b/>
        </w:rPr>
      </w:pPr>
      <w:r>
        <w:rPr>
          <w:rFonts w:ascii="Times New Roman" w:hAnsi="Times New Roman" w:cs="Times New Roman"/>
          <w:b/>
        </w:rPr>
        <w:t>Supplementary Information</w:t>
      </w:r>
    </w:p>
    <w:p w14:paraId="7C042AD9" w14:textId="77777777" w:rsidR="003C19D1" w:rsidRDefault="003C19D1" w:rsidP="003C19D1">
      <w:pPr>
        <w:spacing w:line="480" w:lineRule="auto"/>
        <w:rPr>
          <w:rFonts w:ascii="Times New Roman" w:hAnsi="Times New Roman" w:cs="Times New Roman"/>
          <w:b/>
        </w:rPr>
      </w:pPr>
      <w:bookmarkStart w:id="0" w:name="_GoBack"/>
      <w:bookmarkEnd w:id="0"/>
    </w:p>
    <w:p w14:paraId="46ECD2F3" w14:textId="77777777" w:rsidR="003C19D1" w:rsidRDefault="003C19D1" w:rsidP="003C19D1">
      <w:pPr>
        <w:spacing w:line="480" w:lineRule="auto"/>
        <w:rPr>
          <w:rFonts w:ascii="Times New Roman" w:hAnsi="Times New Roman" w:cs="Times New Roman"/>
          <w:b/>
        </w:rPr>
      </w:pPr>
      <w:r w:rsidRPr="00B839DE">
        <w:rPr>
          <w:rFonts w:ascii="Times New Roman" w:hAnsi="Times New Roman" w:cs="Times New Roman"/>
          <w:b/>
        </w:rPr>
        <w:t xml:space="preserve">Evaluation of human </w:t>
      </w:r>
      <w:r w:rsidRPr="00B839DE">
        <w:rPr>
          <w:rFonts w:ascii="Times New Roman" w:hAnsi="Times New Roman" w:cs="Times New Roman"/>
          <w:b/>
          <w:i/>
        </w:rPr>
        <w:t>BCL11A</w:t>
      </w:r>
      <w:r>
        <w:rPr>
          <w:rFonts w:ascii="Times New Roman" w:hAnsi="Times New Roman" w:cs="Times New Roman"/>
          <w:b/>
        </w:rPr>
        <w:t xml:space="preserve"> </w:t>
      </w:r>
      <w:r w:rsidRPr="00B839DE">
        <w:rPr>
          <w:rFonts w:ascii="Times New Roman" w:hAnsi="Times New Roman" w:cs="Times New Roman"/>
          <w:b/>
        </w:rPr>
        <w:t xml:space="preserve">enhancer in </w:t>
      </w:r>
      <w:r>
        <w:rPr>
          <w:rFonts w:ascii="Times New Roman" w:hAnsi="Times New Roman" w:cs="Times New Roman"/>
          <w:b/>
        </w:rPr>
        <w:t>immortalized human erythroid precursors</w:t>
      </w:r>
    </w:p>
    <w:p w14:paraId="06658188" w14:textId="77777777" w:rsidR="003C19D1" w:rsidRPr="007A51B3" w:rsidRDefault="003C19D1" w:rsidP="003C19D1">
      <w:pPr>
        <w:spacing w:line="480" w:lineRule="auto"/>
        <w:rPr>
          <w:rFonts w:ascii="Times New Roman" w:hAnsi="Times New Roman" w:cs="Times New Roman"/>
        </w:rPr>
      </w:pPr>
      <w:r>
        <w:rPr>
          <w:rFonts w:ascii="Times New Roman" w:hAnsi="Times New Roman" w:cs="Times New Roman"/>
        </w:rPr>
        <w:t xml:space="preserve">We </w:t>
      </w:r>
      <w:r w:rsidRPr="00932530">
        <w:rPr>
          <w:rFonts w:ascii="Times New Roman" w:hAnsi="Times New Roman" w:cs="Times New Roman"/>
        </w:rPr>
        <w:t xml:space="preserve">utilized HUDEP-2 cells, an immortalized </w:t>
      </w:r>
      <w:r>
        <w:rPr>
          <w:rFonts w:ascii="Times New Roman" w:hAnsi="Times New Roman" w:cs="Times New Roman"/>
        </w:rPr>
        <w:t xml:space="preserve">human </w:t>
      </w:r>
      <w:r w:rsidRPr="00932530">
        <w:rPr>
          <w:rFonts w:ascii="Times New Roman" w:hAnsi="Times New Roman" w:cs="Times New Roman"/>
        </w:rPr>
        <w:t>CD34</w:t>
      </w:r>
      <w:r w:rsidRPr="00932530">
        <w:rPr>
          <w:rFonts w:ascii="Times New Roman" w:hAnsi="Times New Roman" w:cs="Times New Roman"/>
          <w:vertAlign w:val="superscript"/>
        </w:rPr>
        <w:t>+</w:t>
      </w:r>
      <w:r w:rsidRPr="00932530">
        <w:rPr>
          <w:rFonts w:ascii="Times New Roman" w:hAnsi="Times New Roman" w:cs="Times New Roman"/>
        </w:rPr>
        <w:t xml:space="preserve"> hematopoietic stem and progenitor cell (HSPC)-derived erythroid precursor cell line that expresses BCL11A and predominantly β- rather than γ-globin</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"author" : [ { "dropping-particle" : "", "family" : "Kurita", "given" : "Ryo", "non-dropping-particle" : "", "parse-names" : false, "suffix" : "" }, { "dropping-particle" : "", "family" : "Suda", "given" : "Noriko", "non-dropping-particle" : "", "parse-names" : false, "suffix" : "" }, { "dropping-particle" : "", "family" : "Sudo", "given" : "Kazuhiro", "non-dropping-particle" : "", "parse-names" : false, "suffix" : "" }, { "dropping-particle" : "", "family" : "Miharada", "given" : "Kenichi", "non-dropping-particle" : "", "parse-names" : false, "suffix" : "" }, { "dropping-particle" : "", "family" : "Hiroyama", "given" : "Takashi", "non-dropping-particle" : "", "parse-names" : false, "suffix" : "" }, { "dropping-particle" : "", "family" : "Miyoshi", "given" : "Hiroyuki", "non-dropping-particle" : "", "parse-names" : false, "suffix" : "" }, { "dropping-particle" : "", "family" : "Tani", "given" : "Kenzaburo", "non-dropping-particle" : "", "parse-names" : false, "suffix" : "" }, { "dropping-particle" : "", "family" : "Nakamura", "given" : "Yukio", "non-dropping-particle" : "", "parse-names" : false, "suffix" : "" } ], "container-title" : "PLoS ONE", "editor" : [ { "dropping-particle" : "", "family" : "Covas", "given" : "Dimas Tadeu", "non-dropping-particle" : "", "parse-names" : false, "suffix" : "" } ], "id" : "ITEM-1", "issue" : "3", "issued" : { "date-parts" : [ [ "2013" ] ] }, "page" : "e59890", "title" : "Establishment of Immortalized Human Erythroid Progenitor Cell Lines Able to Produce Enucleated Red Blood Cells", "type" : "article-journal", "volume" : "8" }, "uris" : [ "http://www.mendeley.com/documents/?uuid=06a30d3b-5e47-42cd-bd8f-60b2c96ceb6f" ] } ], "mendeley" : { "formattedCitation" : "&lt;sup&gt;34&lt;/sup&gt;", "plainTextFormattedCitation" : "34", "previouslyFormattedCitation" : "&lt;sup&gt;34&lt;/sup&gt;" }, "properties" : { "noteIndex" : 0 }, "schema" : "https://github.com/citation-style-language/schema/raw/master/csl-citation.json" }</w:instrText>
      </w:r>
      <w:r w:rsidRPr="00932530">
        <w:rPr>
          <w:rFonts w:ascii="Times New Roman" w:hAnsi="Times New Roman" w:cs="Times New Roman"/>
        </w:rPr>
        <w:fldChar w:fldCharType="separate"/>
      </w:r>
      <w:r w:rsidRPr="00001483">
        <w:rPr>
          <w:rFonts w:ascii="Times New Roman" w:hAnsi="Times New Roman" w:cs="Times New Roman"/>
          <w:noProof/>
          <w:vertAlign w:val="superscript"/>
        </w:rPr>
        <w:t>34</w:t>
      </w:r>
      <w:r w:rsidRPr="00932530">
        <w:rPr>
          <w:rFonts w:ascii="Times New Roman" w:hAnsi="Times New Roman" w:cs="Times New Roman"/>
        </w:rPr>
        <w:fldChar w:fldCharType="end"/>
      </w:r>
      <w:r w:rsidRPr="00932530">
        <w:rPr>
          <w:rFonts w:ascii="Times New Roman" w:hAnsi="Times New Roman" w:cs="Times New Roman"/>
        </w:rPr>
        <w:t xml:space="preserve">. We used the </w:t>
      </w:r>
      <w:r>
        <w:rPr>
          <w:rFonts w:ascii="Times New Roman" w:hAnsi="Times New Roman" w:cs="Times New Roman"/>
        </w:rPr>
        <w:t>CRISPR-</w:t>
      </w:r>
      <w:r w:rsidRPr="00932530">
        <w:rPr>
          <w:rFonts w:ascii="Times New Roman" w:hAnsi="Times New Roman" w:cs="Times New Roman"/>
        </w:rPr>
        <w:t xml:space="preserve">Cas9 nuclease system to generate a clone of HUDEP-2 </w:t>
      </w:r>
      <w:r>
        <w:rPr>
          <w:rFonts w:ascii="Times New Roman" w:hAnsi="Times New Roman" w:cs="Times New Roman"/>
        </w:rPr>
        <w:t xml:space="preserve">cells </w:t>
      </w:r>
      <w:r w:rsidRPr="00932530">
        <w:rPr>
          <w:rFonts w:ascii="Times New Roman" w:hAnsi="Times New Roman" w:cs="Times New Roman"/>
        </w:rPr>
        <w:t xml:space="preserve">null for </w:t>
      </w:r>
      <w:r w:rsidRPr="00932530">
        <w:rPr>
          <w:rFonts w:ascii="Times New Roman" w:hAnsi="Times New Roman" w:cs="Times New Roman"/>
          <w:i/>
        </w:rPr>
        <w:t>BCL11A</w:t>
      </w:r>
      <w:r w:rsidRPr="00932530">
        <w:rPr>
          <w:rFonts w:ascii="Times New Roman" w:hAnsi="Times New Roman" w:cs="Times New Roman"/>
        </w:rPr>
        <w:t xml:space="preserve"> by </w:t>
      </w:r>
      <w:r>
        <w:rPr>
          <w:rFonts w:ascii="Times New Roman" w:hAnsi="Times New Roman" w:cs="Times New Roman"/>
        </w:rPr>
        <w:t>deleting</w:t>
      </w:r>
      <w:r w:rsidRPr="00932530">
        <w:rPr>
          <w:rFonts w:ascii="Times New Roman" w:hAnsi="Times New Roman" w:cs="Times New Roman"/>
        </w:rPr>
        <w:t xml:space="preserve"> coding sequences (Fig. 1</w:t>
      </w:r>
      <w:r>
        <w:rPr>
          <w:rFonts w:ascii="Times New Roman" w:hAnsi="Times New Roman" w:cs="Times New Roman"/>
        </w:rPr>
        <w:t>a</w:t>
      </w:r>
      <w:r w:rsidRPr="00932530">
        <w:rPr>
          <w:rFonts w:ascii="Times New Roman" w:hAnsi="Times New Roman" w:cs="Times New Roman"/>
        </w:rPr>
        <w:t xml:space="preserve">). These cells demonstrated elevated levels of γ-globin mRNA and HbF protein, </w:t>
      </w:r>
      <w:r>
        <w:rPr>
          <w:rFonts w:ascii="Times New Roman" w:hAnsi="Times New Roman" w:cs="Times New Roman"/>
        </w:rPr>
        <w:t>consistent with</w:t>
      </w:r>
      <w:r w:rsidRPr="00932530">
        <w:rPr>
          <w:rFonts w:ascii="Times New Roman" w:hAnsi="Times New Roman" w:cs="Times New Roman"/>
        </w:rPr>
        <w:t xml:space="preserve"> the functional requirement of BCL11A for HbF repression (Fig. </w:t>
      </w:r>
      <w:r>
        <w:rPr>
          <w:rFonts w:ascii="Times New Roman" w:hAnsi="Times New Roman" w:cs="Times New Roman"/>
        </w:rPr>
        <w:t>1b, c</w:t>
      </w:r>
      <w:r w:rsidRPr="00932530">
        <w:rPr>
          <w:rFonts w:ascii="Times New Roman" w:hAnsi="Times New Roman" w:cs="Times New Roman"/>
        </w:rPr>
        <w:t xml:space="preserve">). </w:t>
      </w:r>
      <w:r>
        <w:rPr>
          <w:rFonts w:ascii="Times New Roman" w:hAnsi="Times New Roman" w:cs="Times New Roman"/>
        </w:rPr>
        <w:t>D</w:t>
      </w:r>
      <w:r w:rsidRPr="00932530">
        <w:rPr>
          <w:rFonts w:ascii="Times New Roman" w:hAnsi="Times New Roman" w:cs="Times New Roman"/>
        </w:rPr>
        <w:t>eletion of the</w:t>
      </w:r>
      <w:r>
        <w:rPr>
          <w:rFonts w:ascii="Times New Roman" w:hAnsi="Times New Roman" w:cs="Times New Roman"/>
        </w:rPr>
        <w:t xml:space="preserve"> 12-kb</w:t>
      </w:r>
      <w:r w:rsidRPr="00932530">
        <w:rPr>
          <w:rFonts w:ascii="Times New Roman" w:hAnsi="Times New Roman" w:cs="Times New Roman"/>
        </w:rPr>
        <w:t xml:space="preserve"> </w:t>
      </w:r>
      <w:r w:rsidRPr="00932530">
        <w:rPr>
          <w:rFonts w:ascii="Times New Roman" w:hAnsi="Times New Roman" w:cs="Times New Roman"/>
          <w:i/>
        </w:rPr>
        <w:t xml:space="preserve">BCL11A </w:t>
      </w:r>
      <w:r w:rsidRPr="00932530">
        <w:rPr>
          <w:rFonts w:ascii="Times New Roman" w:hAnsi="Times New Roman" w:cs="Times New Roman"/>
        </w:rPr>
        <w:t xml:space="preserve">composite enhancer </w:t>
      </w:r>
      <w:r>
        <w:rPr>
          <w:rFonts w:ascii="Times New Roman" w:hAnsi="Times New Roman" w:cs="Times New Roman"/>
        </w:rPr>
        <w:t xml:space="preserve">with a pair of sgRNAs </w:t>
      </w:r>
      <w:r w:rsidRPr="00932530">
        <w:rPr>
          <w:rFonts w:ascii="Times New Roman" w:hAnsi="Times New Roman" w:cs="Times New Roman"/>
        </w:rPr>
        <w:t>resulted in near complete loss of BCL11A expression and induction of γ-globin and HbF protein to similar level</w:t>
      </w:r>
      <w:r>
        <w:rPr>
          <w:rFonts w:ascii="Times New Roman" w:hAnsi="Times New Roman" w:cs="Times New Roman"/>
        </w:rPr>
        <w:t>s</w:t>
      </w:r>
      <w:r w:rsidRPr="00932530">
        <w:rPr>
          <w:rFonts w:ascii="Times New Roman" w:hAnsi="Times New Roman" w:cs="Times New Roman"/>
        </w:rPr>
        <w:t xml:space="preserve"> as cells with </w:t>
      </w:r>
      <w:r w:rsidRPr="00932530">
        <w:rPr>
          <w:rFonts w:ascii="Times New Roman" w:hAnsi="Times New Roman" w:cs="Times New Roman"/>
          <w:i/>
        </w:rPr>
        <w:t>BCL11A</w:t>
      </w:r>
      <w:r w:rsidRPr="00932530">
        <w:rPr>
          <w:rFonts w:ascii="Times New Roman" w:hAnsi="Times New Roman" w:cs="Times New Roman"/>
        </w:rPr>
        <w:t xml:space="preserve"> knockout (Fig. 1</w:t>
      </w:r>
      <w:r>
        <w:rPr>
          <w:rFonts w:ascii="Times New Roman" w:hAnsi="Times New Roman" w:cs="Times New Roman"/>
        </w:rPr>
        <w:t>a-c</w:t>
      </w:r>
      <w:r w:rsidRPr="00932530">
        <w:rPr>
          <w:rFonts w:ascii="Times New Roman" w:hAnsi="Times New Roman" w:cs="Times New Roman"/>
        </w:rPr>
        <w:t xml:space="preserve">), </w:t>
      </w:r>
      <w:r>
        <w:rPr>
          <w:rFonts w:ascii="Times New Roman" w:hAnsi="Times New Roman" w:cs="Times New Roman"/>
        </w:rPr>
        <w:t>analogous</w:t>
      </w:r>
      <w:r w:rsidRPr="00932530">
        <w:rPr>
          <w:rFonts w:ascii="Times New Roman" w:hAnsi="Times New Roman" w:cs="Times New Roman"/>
        </w:rPr>
        <w:t xml:space="preserve"> to the requirement of the orthologous mouse composite enhancer for erythroid BCL11A expression</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28</w:t>
      </w:r>
      <w:r w:rsidRPr="00932530">
        <w:rPr>
          <w:rFonts w:ascii="Times New Roman" w:hAnsi="Times New Roman" w:cs="Times New Roman"/>
        </w:rPr>
        <w:fldChar w:fldCharType="end"/>
      </w:r>
      <w:r w:rsidRPr="00932530">
        <w:rPr>
          <w:rFonts w:ascii="Times New Roman" w:hAnsi="Times New Roman" w:cs="Times New Roman"/>
        </w:rPr>
        <w:t>. Introduction of Cas9 and a</w:t>
      </w:r>
      <w:r>
        <w:rPr>
          <w:rFonts w:ascii="Times New Roman" w:hAnsi="Times New Roman" w:cs="Times New Roman"/>
        </w:rPr>
        <w:t>n</w:t>
      </w:r>
      <w:r w:rsidRPr="00932530">
        <w:rPr>
          <w:rFonts w:ascii="Times New Roman" w:hAnsi="Times New Roman" w:cs="Times New Roman"/>
        </w:rPr>
        <w:t xml:space="preserve"> </w:t>
      </w:r>
      <w:r>
        <w:rPr>
          <w:rFonts w:ascii="Times New Roman" w:hAnsi="Times New Roman" w:cs="Times New Roman"/>
        </w:rPr>
        <w:t>individual</w:t>
      </w:r>
      <w:r w:rsidRPr="00932530">
        <w:rPr>
          <w:rFonts w:ascii="Times New Roman" w:hAnsi="Times New Roman" w:cs="Times New Roman"/>
        </w:rPr>
        <w:t xml:space="preserve"> sgRNA targeting </w:t>
      </w:r>
      <w:r w:rsidRPr="00932530">
        <w:rPr>
          <w:rFonts w:ascii="Times New Roman" w:hAnsi="Times New Roman" w:cs="Times New Roman"/>
          <w:i/>
        </w:rPr>
        <w:t>BCL11A</w:t>
      </w:r>
      <w:r w:rsidRPr="00932530">
        <w:rPr>
          <w:rFonts w:ascii="Times New Roman" w:hAnsi="Times New Roman" w:cs="Times New Roman"/>
        </w:rPr>
        <w:t xml:space="preserve"> exon</w:t>
      </w:r>
      <w:r>
        <w:rPr>
          <w:rFonts w:ascii="Times New Roman" w:hAnsi="Times New Roman" w:cs="Times New Roman"/>
        </w:rPr>
        <w:t>-2 to</w:t>
      </w:r>
      <w:r w:rsidRPr="00932530">
        <w:rPr>
          <w:rFonts w:ascii="Times New Roman" w:hAnsi="Times New Roman" w:cs="Times New Roman"/>
        </w:rPr>
        <w:t xml:space="preserve"> </w:t>
      </w:r>
      <w:r>
        <w:rPr>
          <w:rFonts w:ascii="Times New Roman" w:hAnsi="Times New Roman" w:cs="Times New Roman"/>
        </w:rPr>
        <w:t>HUDEP-2 cells as well as to primary human erythroid precursors</w:t>
      </w:r>
      <w:r w:rsidRPr="00932530">
        <w:rPr>
          <w:rFonts w:ascii="Times New Roman" w:hAnsi="Times New Roman" w:cs="Times New Roman"/>
        </w:rPr>
        <w:t xml:space="preserve"> </w:t>
      </w:r>
      <w:r>
        <w:rPr>
          <w:rFonts w:ascii="Times New Roman" w:hAnsi="Times New Roman" w:cs="Times New Roman"/>
        </w:rPr>
        <w:t xml:space="preserve">produced cells </w:t>
      </w:r>
      <w:r w:rsidRPr="00932530">
        <w:rPr>
          <w:rFonts w:ascii="Times New Roman" w:hAnsi="Times New Roman" w:cs="Times New Roman"/>
        </w:rPr>
        <w:t>with elevated HbF expression, indicating loss of BCL11A function and resultant derepression of BCL11A’s</w:t>
      </w:r>
      <w:r>
        <w:rPr>
          <w:rFonts w:ascii="Times New Roman" w:hAnsi="Times New Roman" w:cs="Times New Roman"/>
        </w:rPr>
        <w:t xml:space="preserve"> target</w:t>
      </w:r>
      <w:r w:rsidRPr="00932530">
        <w:rPr>
          <w:rFonts w:ascii="Times New Roman" w:hAnsi="Times New Roman" w:cs="Times New Roman"/>
        </w:rPr>
        <w:t xml:space="preserve"> γ-globin (</w:t>
      </w:r>
      <w:r>
        <w:rPr>
          <w:rFonts w:ascii="Times New Roman" w:hAnsi="Times New Roman" w:cs="Times New Roman"/>
        </w:rPr>
        <w:t>Fig. 2g, h; Extended Data Fig. 2e)</w:t>
      </w:r>
      <w:r w:rsidRPr="00932530">
        <w:rPr>
          <w:rFonts w:ascii="Times New Roman" w:hAnsi="Times New Roman" w:cs="Times New Roman"/>
        </w:rPr>
        <w:t>.</w:t>
      </w:r>
      <w:r>
        <w:rPr>
          <w:rFonts w:ascii="Times New Roman" w:hAnsi="Times New Roman" w:cs="Times New Roman"/>
        </w:rPr>
        <w:t xml:space="preserve"> The level of BCL11A transcript was unaffected in these cells (Fig. 2f), suggesting that </w:t>
      </w:r>
      <w:r>
        <w:rPr>
          <w:rFonts w:ascii="Times New Roman" w:hAnsi="Times New Roman" w:cs="Times New Roman"/>
          <w:i/>
        </w:rPr>
        <w:t>BCL11A</w:t>
      </w:r>
      <w:r>
        <w:rPr>
          <w:rFonts w:ascii="Times New Roman" w:hAnsi="Times New Roman" w:cs="Times New Roman"/>
        </w:rPr>
        <w:t xml:space="preserve"> transcripts with protein truncating variants (due to </w:t>
      </w:r>
      <w:proofErr w:type="spellStart"/>
      <w:r>
        <w:rPr>
          <w:rFonts w:ascii="Times New Roman" w:hAnsi="Times New Roman" w:cs="Times New Roman"/>
        </w:rPr>
        <w:t>frameshift</w:t>
      </w:r>
      <w:proofErr w:type="spellEnd"/>
      <w:r>
        <w:rPr>
          <w:rFonts w:ascii="Times New Roman" w:hAnsi="Times New Roman" w:cs="Times New Roman"/>
        </w:rPr>
        <w:t xml:space="preserve"> or nonsense mutations) escape nonsense-mediated decay.</w:t>
      </w:r>
    </w:p>
    <w:p w14:paraId="7F26FC4B" w14:textId="77777777" w:rsidR="003C19D1" w:rsidRDefault="003C19D1" w:rsidP="003C19D1">
      <w:pPr>
        <w:spacing w:line="480" w:lineRule="auto"/>
        <w:rPr>
          <w:rFonts w:ascii="Times New Roman" w:hAnsi="Times New Roman" w:cs="Times New Roman"/>
          <w:b/>
        </w:rPr>
      </w:pPr>
    </w:p>
    <w:p w14:paraId="15A9CACD" w14:textId="77777777" w:rsidR="003C19D1" w:rsidRDefault="003C19D1" w:rsidP="003C19D1">
      <w:pPr>
        <w:spacing w:line="480" w:lineRule="auto"/>
        <w:rPr>
          <w:rFonts w:ascii="Times New Roman" w:hAnsi="Times New Roman" w:cs="Times New Roman"/>
        </w:rPr>
      </w:pPr>
      <w:r w:rsidRPr="00B546F8">
        <w:rPr>
          <w:rFonts w:ascii="Times New Roman" w:hAnsi="Times New Roman" w:cs="Times New Roman"/>
          <w:b/>
        </w:rPr>
        <w:t>Pooled CRISPR enhancer satura</w:t>
      </w:r>
      <w:r>
        <w:rPr>
          <w:rFonts w:ascii="Times New Roman" w:hAnsi="Times New Roman" w:cs="Times New Roman"/>
          <w:b/>
        </w:rPr>
        <w:t>ting mutagenesis screen in the</w:t>
      </w:r>
      <w:r w:rsidRPr="00B546F8">
        <w:rPr>
          <w:rFonts w:ascii="Times New Roman" w:hAnsi="Times New Roman" w:cs="Times New Roman"/>
          <w:b/>
        </w:rPr>
        <w:t xml:space="preserve"> </w:t>
      </w:r>
      <w:r>
        <w:rPr>
          <w:rFonts w:ascii="Times New Roman" w:hAnsi="Times New Roman" w:cs="Times New Roman"/>
          <w:b/>
        </w:rPr>
        <w:t>HUDEP-2 cells</w:t>
      </w:r>
    </w:p>
    <w:p w14:paraId="2DD5D033" w14:textId="77777777" w:rsidR="003C19D1" w:rsidRDefault="003C19D1" w:rsidP="003C19D1">
      <w:pPr>
        <w:spacing w:line="480" w:lineRule="auto"/>
        <w:rPr>
          <w:rFonts w:ascii="Times New Roman" w:hAnsi="Times New Roman" w:cs="Times New Roman"/>
        </w:rPr>
      </w:pPr>
      <w:r w:rsidRPr="00932530">
        <w:rPr>
          <w:rFonts w:ascii="Times New Roman" w:hAnsi="Times New Roman" w:cs="Times New Roman"/>
        </w:rPr>
        <w:t xml:space="preserve">We designed all possible sgRNAs within the human </w:t>
      </w:r>
      <w:r w:rsidRPr="00932530">
        <w:rPr>
          <w:rFonts w:ascii="Times New Roman" w:hAnsi="Times New Roman" w:cs="Times New Roman"/>
          <w:i/>
        </w:rPr>
        <w:t>BCL11A</w:t>
      </w:r>
      <w:r w:rsidRPr="00932530">
        <w:rPr>
          <w:rFonts w:ascii="Times New Roman" w:hAnsi="Times New Roman" w:cs="Times New Roman"/>
        </w:rPr>
        <w:t xml:space="preserve"> composite enhancer DHSs (Fig. </w:t>
      </w:r>
      <w:r>
        <w:rPr>
          <w:rFonts w:ascii="Times New Roman" w:hAnsi="Times New Roman" w:cs="Times New Roman"/>
        </w:rPr>
        <w:t>1d-f</w:t>
      </w:r>
      <w:r w:rsidRPr="00932530">
        <w:rPr>
          <w:rFonts w:ascii="Times New Roman" w:hAnsi="Times New Roman" w:cs="Times New Roman"/>
        </w:rPr>
        <w:t>) as restricted only by the presence of the SpCas9 NGG protospacer adjacent motif (PAM)</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"ISSN" : "1095-9203", "abstract" : "Functional elucidation of causal genetic variants and elements requires precise genome editing technologies. The type II prokaryotic CRISPR (clustered regularly interspaced short palindromic repeats)/Cas adaptive immune system has been shown to facilitate RNA-guided site-specific DNA cleavage. We engineered two different type II CRISPR/Cas systems and demonstrate that Cas9 nucleases can be directed by short RNAs to induce precise cleavage at endogenous genomic loci in human and mouse cells. Cas9 can also be converted into a nicking enzyme to facilitate homology-directed repair with minimal mutagenic activity. Lastly, multiple guide sequences can be encoded into a single CRISPR array to enable simultaneous editing of several sites within the mammalian genome, demonstrating easy programmability and wide applicability of the RNA-guided nuclease technology.", "author" : [ { "dropping-particle" : "", "family" : "Cong", "given" : "L", "non-dropping-particle" : "", "parse-names" : false, "suffix" : "" }, { "dropping-particle" : "", "family" : "Ran", "given" : "F A", "non-dropping-particle" : "", "parse-names" : false, "suffix" : "" }, { "dropping-particle" : "", "family" : "Cox", "given" : "D", "non-dropping-particle" : "", "parse-names" : false, "suffix" : "" }, { "dropping-particle" : "", "family" : "Lin", "given" : "S", "non-dropping-particle" : "", "parse-names" : false, "suffix" : "" }, { "dropping-particle" : "", "family" : "Barretto", "given" : "R", "non-dropping-particle" : "", "parse-names" : false, "suffix" : "" }, { "dropping-particle" : "", "family" : "Habib", "given" : "N", "non-dropping-particle" : "", "parse-names" : false, "suffix" : "" }, { "dropping-particle" : "", "family" : "Hsu", "given" : "P D", "non-dropping-particle" : "", "parse-names" : false, "suffix" : "" }, { "dropping-particle" : "", "family" : "Wu", "given" : "X", "non-dropping-particle" : "", "parse-names" : false, "suffix" : "" }, { "dropping-particle" : "", "family" : "Jiang", "given" : "W", "non-dropping-particle" : "", "parse-names" : false, "suffix" : "" }, { "dropping-particle" : "", "family" : "Marraffini", "given" : "L A", "non-dropping-particle" : "", "parse-names" : false, "suffix" : "" }, { "dropping-particle" : "", "family" : "Zhang", "given" : "F", "non-dropping-particle" : "", "parse-names" : false, "suffix" : "" } ], "container-title" : "Science", "id" : "ITEM-1", "issue" : "6121", "issued" : { "date-parts" : [ [ "2013", "2", "3" ] ] }, "page" : "819-23", "title" : "Multiplex Genome Engineering Using CRISPR/Cas Systems", "type" : "article-journal", "volume" : "339" }, "uris" : [ "http://www.mendeley.com/documents/?uuid=8f0b145f-e051-49e2-88c8-d8ef8abb22d5" ] }, { "id" : "ITEM-2", "itemData" : { "ISSN" : "1546-1696", "abstract" : "The Streptococcus pyogenes Cas9 (SpCas9) nuclease can be efficiently targeted to genomic loci by means of single-guide RNAs (sgRNAs) to enable genome editing. Here, we characterize SpCas9 targeting specificity in human cells to inform the selection of target sites and avoid off-target effects. Our study evaluates &gt;700 guide RNA variants and SpCas9-induced indel mutation levels at &gt;100 predicted genomic off-target loci in 293T and 293FT cells. We find that SpCas9 tolerates mismatches between guide RNA and target DNA at different positions in a sequence-dependent manner, sensitive to the number, position and distribution of mismatches. We also show that SpCas9-mediated cleavage is unaffected by DNA methylation and that the dosage of SpCas9 and sgRNA can be titrated to minimize off-target modification. To facilitate mammalian genome engineering applications, we provide a web-based software tool to guide the selection and validation of target sequences as well as off-target analyses.", "author" : [ { "dropping-particle" : "", "family" : "Hsu", "given" : "Patrick D", "non-dropping-particle" : "", "parse-names" : false, "suffix" : "" }, { "dropping-particle" : "", "family" : "Scott", "given" : "David A", "non-dropping-particle" : "", "parse-names" : false, "suffix" : "" }, { "dropping-particle" : "", "family" : "Weinstein", "given" : "Joshua A", "non-dropping-particle" : "", "parse-names" : false, "suffix" : "" }, { "dropping-particle" : "", "family" : "Ran", "given" : "F Ann", "non-dropping-particle" : "", "parse-names" : false, "suffix" : "" }, { "dropping-particle" : "", "family" : "Konermann", "given" : "Silvana", "non-dropping-particle" : "", "parse-names" : false, "suffix" : "" }, { "dropping-particle" : "", "family" : "Agarwala", "given" : "Vineeta", "non-dropping-particle" : "", "parse-names" : false, "suffix" : "" }, { "dropping-particle" : "", "family" : "Li", "given" : "Yinqing", "non-dropping-particle" : "", "parse-names" : false, "suffix" : "" }, { "dropping-particle" : "", "family" : "Fine", "given" : "Eli J", "non-dropping-particle" : "", "parse-names" : false, "suffix" : "" }, { "dropping-particle" : "", "family" : "Wu", "given" : "Xuebing", "non-dropping-particle" : "", "parse-names" : false, "suffix" : "" }, { "dropping-particle" : "", "family" : "Shalem", "given" : "Ophir", "non-dropping-particle" : "", "parse-names" : false, "suffix" : "" }, { "dropping-particle" : "", "family" : "Cradick", "given" : "Thomas J", "non-dropping-particle" : "", "parse-names" : false, "suffix" : "" }, { "dropping-particle" : "", "family" : "Marraffini", "given" : "Luciano A", "non-dropping-particle" : "", "parse-names" : false, "suffix" : "" }, { "dropping-particle" : "", "family" : "Bao", "given" : "Gang", "non-dropping-particle" : "", "parse-names" : false, "suffix" : "" }, { "dropping-particle" : "", "family" : "Zhang", "given" : "Feng", "non-dropping-particle" : "", "parse-names" : false, "suffix" : "" } ], "container-title" : "Nature biotechnology", "id" : "ITEM-2", "issue" : "9", "issued" : { "date-parts" : [ [ "2013", "9" ] ] }, "page" : "827-32", "title" : "DNA targeting specificity of RNA-guided Cas9 nucleases.", "type" : "article-journal", "volume" : "31" }, "uris" : [ "http://www.mendeley.com/documents/?uuid=e31556fa-7647-4f12-b095-7ba1800497b5" ] } ], "mendeley" : { "formattedCitation" : "&lt;sup&gt;22,39&lt;/sup&gt;", "plainTextFormattedCitation" : "22,39", "previouslyFormattedCitation" : "&lt;sup&gt;22,39&lt;/sup&gt;"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22,39</w:t>
      </w:r>
      <w:r w:rsidRPr="00932530">
        <w:rPr>
          <w:rFonts w:ascii="Times New Roman" w:hAnsi="Times New Roman" w:cs="Times New Roman"/>
        </w:rPr>
        <w:fldChar w:fldCharType="end"/>
      </w:r>
      <w:r w:rsidRPr="00932530">
        <w:rPr>
          <w:rFonts w:ascii="Times New Roman" w:hAnsi="Times New Roman" w:cs="Times New Roman"/>
        </w:rPr>
        <w:t>. The NGG PAM</w:t>
      </w:r>
      <w:r>
        <w:rPr>
          <w:rFonts w:ascii="Times New Roman" w:hAnsi="Times New Roman" w:cs="Times New Roman"/>
        </w:rPr>
        <w:t xml:space="preserve"> restricted</w:t>
      </w:r>
      <w:r w:rsidRPr="00932530">
        <w:rPr>
          <w:rFonts w:ascii="Times New Roman" w:hAnsi="Times New Roman" w:cs="Times New Roman"/>
        </w:rPr>
        <w:t xml:space="preserve"> sgRNAs had a median adjacent genomic cleavage distance </w:t>
      </w:r>
      <w:r w:rsidRPr="00932530">
        <w:rPr>
          <w:rFonts w:ascii="Times New Roman" w:hAnsi="Times New Roman" w:cs="Times New Roman"/>
        </w:rPr>
        <w:lastRenderedPageBreak/>
        <w:t xml:space="preserve">of 4 </w:t>
      </w:r>
      <w:r>
        <w:rPr>
          <w:rFonts w:ascii="Times New Roman" w:hAnsi="Times New Roman" w:cs="Times New Roman"/>
        </w:rPr>
        <w:t>bp</w:t>
      </w:r>
      <w:r w:rsidRPr="00932530">
        <w:rPr>
          <w:rFonts w:ascii="Times New Roman" w:hAnsi="Times New Roman" w:cs="Times New Roman"/>
        </w:rPr>
        <w:t xml:space="preserve"> and 90</w:t>
      </w:r>
      <w:r w:rsidRPr="00932530">
        <w:rPr>
          <w:rFonts w:ascii="Times New Roman" w:hAnsi="Times New Roman" w:cs="Times New Roman"/>
          <w:vertAlign w:val="superscript"/>
        </w:rPr>
        <w:t>th</w:t>
      </w:r>
      <w:r w:rsidRPr="00932530">
        <w:rPr>
          <w:rFonts w:ascii="Times New Roman" w:hAnsi="Times New Roman" w:cs="Times New Roman"/>
        </w:rPr>
        <w:t xml:space="preserve"> percentile of 18 </w:t>
      </w:r>
      <w:r>
        <w:rPr>
          <w:rFonts w:ascii="Times New Roman" w:hAnsi="Times New Roman" w:cs="Times New Roman"/>
        </w:rPr>
        <w:t>bp (Fig. 1f</w:t>
      </w:r>
      <w:r w:rsidRPr="00932530">
        <w:rPr>
          <w:rFonts w:ascii="Times New Roman" w:hAnsi="Times New Roman" w:cs="Times New Roman"/>
        </w:rPr>
        <w:t xml:space="preserve">), which suggested that this strategy could approach saturation mutagenesis </w:t>
      </w:r>
      <w:r w:rsidRPr="00932530">
        <w:rPr>
          <w:rFonts w:ascii="Times New Roman" w:hAnsi="Times New Roman" w:cs="Times New Roman"/>
          <w:i/>
        </w:rPr>
        <w:t>in situ</w:t>
      </w:r>
      <w:r>
        <w:rPr>
          <w:rFonts w:ascii="Times New Roman" w:hAnsi="Times New Roman" w:cs="Times New Roman"/>
        </w:rPr>
        <w:t xml:space="preserve"> given the expected indel spectrum produced by each sgRNA to include frequent deletions up to 10 bp from the cleavage position</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"ISSN" : "1095-9203", "abstract" : "Bacteria and archaea have evolved adaptive immune defenses, termed clustered regularly interspaced short palindromic repeats (CRISPR)/CRISPR-associated (Cas) systems, that use short RNA to direct degradation of foreign nucleic acids. Here, we engineer the type II bacterial CRISPR system to function with custom guide RNA (gRNA) in human cells. For the endogenous AAVS1 locus, we obtained targeting rates of 10 to 25% in 293T cells, 13 to 8% in K562 cells, and 2 to 4% in induced pluripotent stem cells. We show that this process relies on CRISPR components; is sequence-specific; and, upon simultaneous introduction of multiple gRNAs, can effect multiplex editing of target loci. We also compute a genome-wide resource of ~190 K unique gRNAs targeting ~40.5% of human exons. Our results establish an RNA-guided editing tool for facile, robust, and multiplexable human genome engineering.", "author" : [ { "dropping-particle" : "", "family" : "Mali", "given" : "Prashant", "non-dropping-particle" : "", "parse-names" : false, "suffix" : "" }, { "dropping-particle" : "", "family" : "Yang", "given" : "Luhan", "non-dropping-particle" : "", "parse-names" : false, "suffix" : "" }, { "dropping-particle" : "", "family" : "Esvelt", "given" : "Kevin M", "non-dropping-particle" : "", "parse-names" : false, "suffix" : "" }, { "dropping-particle" : "", "family" : "Aach", "given" : "John", "non-dropping-particle" : "", "parse-names" : false, "suffix" : "" }, { "dropping-particle" : "", "family" : "Guell", "given" : "Marc", "non-dropping-particle" : "", "parse-names" : false, "suffix" : "" }, { "dropping-particle" : "", "family" : "DiCarlo", "given" : "James E", "non-dropping-particle" : "", "parse-names" : false, "suffix" : "" }, { "dropping-particle" : "", "family" : "Norville", "given" : "Julie E", "non-dropping-particle" : "", "parse-names" : false, "suffix" : "" }, { "dropping-particle" : "", "family" : "Church", "given" : "George M", "non-dropping-particle" : "", "parse-names" : false, "suffix" : "" } ], "container-title" : "Science", "id" : "ITEM-1", "issue" : "6121", "issued" : { "date-parts" : [ [ "2013", "2", "3" ] ] }, "page" : "823-6", "title" : "RNA-Guided Human Genome Engineering via Cas9", "type" : "article-journal", "volume" : "339" }, "uris" : [ "http://www.mendeley.com/documents/?uuid=533b848e-d6f5-4287-8273-6efb62295d4a" ] }, { "id" : "ITEM-2", "itemData" : { "ISSN" : "1095-9203", "abstract" : "Functional elucidation of causal genetic variants and elements requires precise genome editing technologies. The type II prokaryotic CRISPR (clustered regularly interspaced short palindromic repeats)/Cas adaptive immune system has been shown to facilitate RNA-guided site-specific DNA cleavage. We engineered two different type II CRISPR/Cas systems and demonstrate that Cas9 nucleases can be directed by short RNAs to induce precise cleavage at endogenous genomic loci in human and mouse cells. Cas9 can also be converted into a nicking enzyme to facilitate homology-directed repair with minimal mutagenic activity. Lastly, multiple guide sequences can be encoded into a single CRISPR array to enable simultaneous editing of several sites within the mammalian genome, demonstrating easy programmability and wide applicability of the RNA-guided nuclease technology.", "author" : [ { "dropping-particle" : "", "family" : "Cong", "given" : "L", "non-dropping-particle" : "", "parse-names" : false, "suffix" : "" }, { "dropping-particle" : "", "family" : "Ran", "given" : "F A", "non-dropping-particle" : "", "parse-names" : false, "suffix" : "" }, { "dropping-particle" : "", "family" : "Cox", "given" : "D", "non-dropping-particle" : "", "parse-names" : false, "suffix" : "" }, { "dropping-particle" : "", "family" : "Lin", "given" : "S", "non-dropping-particle" : "", "parse-names" : false, "suffix" : "" }, { "dropping-particle" : "", "family" : "Barretto", "given" : "R", "non-dropping-particle" : "", "parse-names" : false, "suffix" : "" }, { "dropping-particle" : "", "family" : "Habib", "given" : "N", "non-dropping-particle" : "", "parse-names" : false, "suffix" : "" }, { "dropping-particle" : "", "family" : "Hsu", "given" : "P D", "non-dropping-particle" : "", "parse-names" : false, "suffix" : "" }, { "dropping-particle" : "", "family" : "Wu", "given" : "X", "non-dropping-particle" : "", "parse-names" : false, "suffix" : "" }, { "dropping-particle" : "", "family" : "Jiang", "given" : "W", "non-dropping-particle" : "", "parse-names" : false, "suffix" : "" }, { "dropping-particle" : "", "family" : "Marraffini", "given" : "L A", "non-dropping-particle" : "", "parse-names" : false, "suffix" : "" }, { "dropping-particle" : "", "family" : "Zhang", "given" : "F", "non-dropping-particle" : "", "parse-names" : false, "suffix" : "" } ], "container-title" : "Science", "id" : "ITEM-2", "issue" : "6121", "issued" : { "date-parts" : [ [ "2013", "2", "3" ] ] }, "page" : "819-23", "title" : "Multiplex Genome Engineering Using CRISPR/Cas Systems", "type" : "article-journal", "volume" : "339" }, "uris" : [ "http://www.mendeley.com/documents/?uuid=8f0b145f-e051-49e2-88c8-d8ef8abb22d5" ] }, { "id" : "ITEM-3", "itemData" : { "ISSN" : "1083-351X", "PMID" : "24907273", "abstract" : "The clustered regularly interspaced palindromic repeats (CRISPR)/CRISPR associated (Cas) 9 nuclease system has provided a powerful tool for genome engineering. Double-strand breaks (DSBs) may trigger non-homologous end joining (NHEJ) repair, leading to frameshift mutations, or homology-directed repair (HDR) using an extrachromosomal template. Alternatively, genomic deletions may be produced by a pair of DSBs. The efficiency of CRISPR/Cas9-mediated genomic deletions has not been systematically explored. Here we present a methodology for the production of deletions in mammalian cells, ranging from 1.3 kilobases to greater than one megabase. We observed a high frequency of intended genomic deletions. Non-deleted alleles are nonetheless often edited with inversions or small indels produced at CRISPR recognition sites. Deleted alleles also typically include small indels at predicted deletion junctions. We retrieved cells with biallelic deletion at a frequency exceeding that of probabilistic expectation. We demonstrate an inverse relationship between deletion frequency and deletion size. This work suggests that CRISPR/Cas9 is a robust system to produce a spectrum of genomic deletions to allow investigation of genes and genetic elements.", "author" : [ { "dropping-particle" : "", "family" : "Canver", "given" : "Matthew C", "non-dropping-particle" : "", "parse-names" : false, "suffix" : "" }, { "dropping-particle" : "", "family" : "Bauer", "given" : "Daniel E", "non-dropping-particle" : "", "parse-names" : false, "suffix" : "" }, { "dropping-particle" : "", "family" : "Dass", "given" : "Abhishek", "non-dropping-particle" : "", "parse-names" : false, "suffix" : "" }, { "dropping-particle" : "", "family" : "Yien", "given" : "Yvette Y", "non-dropping-particle" : "", "parse-names" : false, "suffix" : "" }, { "dropping-particle" : "", "family" : "Chung", "given" : "Jacky", "non-dropping-particle" : "", "parse-names" : false, "suffix" : "" }, { "dropping-particle" : "", "family" : "Masuda", "given" : "Takeshi", "non-dropping-particle" : "", "parse-names" : false, "suffix" : "" }, { "dropping-particle" : "", "family" : "Maeda", "given" : "Takahiro", "non-dropping-particle" : "", "parse-names" : false, "suffix" : "" }, { "dropping-particle" : "", "family" : "Paw", "given" : "Barry H", "non-dropping-particle" : "", "parse-names" : false, "suffix" : "" }, { "dropping-particle" : "", "family" : "Orkin", "given" : "Stuart H", "non-dropping-particle" : "", "parse-names" : false, "suffix" : "" } ], "container-title" : "Journal of Biological Chemistry", "id" : "ITEM-3", "issue" : "31", "issued" : { "date-parts" : [ [ "2014", "6" ] ] }, "page" : "21312-21324", "title" : "Characterization of Genomic Deletion Efficiency Mediated by Clusted Regularly Interspaced Palindromic Repeats (CRISPR)/Cas9 Nuclease System in Mammalian Cells.", "type" : "article-journal", "volume" : "289" }, "uris" : [ "http://www.mendeley.com/documents/?uuid=630e4107-7338-4892-bebe-cb44576c3db4" ] } ], "mendeley" : { "formattedCitation" : "&lt;sup&gt;22,23,36&lt;/sup&gt;", "plainTextFormattedCitation" : "22,23,36", "previouslyFormattedCitation" : "&lt;sup&gt;22,23,36&lt;/sup&gt;" }, "properties" : { "noteIndex" : 0 }, "schema" : "https://github.com/citation-style-language/schema/raw/master/csl-citation.json" }</w:instrText>
      </w:r>
      <w:r>
        <w:rPr>
          <w:rFonts w:ascii="Times New Roman" w:hAnsi="Times New Roman" w:cs="Times New Roman"/>
        </w:rPr>
        <w:fldChar w:fldCharType="separate"/>
      </w:r>
      <w:r w:rsidRPr="008B42B3">
        <w:rPr>
          <w:rFonts w:ascii="Times New Roman" w:hAnsi="Times New Roman" w:cs="Times New Roman"/>
          <w:noProof/>
          <w:vertAlign w:val="superscript"/>
        </w:rPr>
        <w:t>22,23,36</w:t>
      </w:r>
      <w:r>
        <w:rPr>
          <w:rFonts w:ascii="Times New Roman" w:hAnsi="Times New Roman" w:cs="Times New Roman"/>
        </w:rPr>
        <w:fldChar w:fldCharType="end"/>
      </w:r>
      <w:r w:rsidRPr="00932530">
        <w:rPr>
          <w:rFonts w:ascii="Times New Roman" w:hAnsi="Times New Roman" w:cs="Times New Roman"/>
        </w:rPr>
        <w:t xml:space="preserve">. </w:t>
      </w:r>
      <w:r>
        <w:rPr>
          <w:rFonts w:ascii="Times New Roman" w:hAnsi="Times New Roman" w:cs="Times New Roman"/>
        </w:rPr>
        <w:t xml:space="preserve">The production of </w:t>
      </w:r>
      <w:proofErr w:type="spellStart"/>
      <w:r>
        <w:rPr>
          <w:rFonts w:ascii="Times New Roman" w:hAnsi="Times New Roman" w:cs="Times New Roman"/>
        </w:rPr>
        <w:t>indels</w:t>
      </w:r>
      <w:proofErr w:type="spellEnd"/>
      <w:r>
        <w:rPr>
          <w:rFonts w:ascii="Times New Roman" w:hAnsi="Times New Roman" w:cs="Times New Roman"/>
        </w:rPr>
        <w:t xml:space="preserve"> within an enhancer sequence could alter gene regulation by a variety of </w:t>
      </w:r>
      <w:r w:rsidRPr="002A174B">
        <w:rPr>
          <w:rFonts w:ascii="Times New Roman" w:hAnsi="Times New Roman" w:cs="Times New Roman"/>
        </w:rPr>
        <w:t xml:space="preserve">non-mutually exclusive mechanisms including: (1) disruption of </w:t>
      </w:r>
      <w:r>
        <w:rPr>
          <w:rFonts w:ascii="Times New Roman" w:hAnsi="Times New Roman" w:cs="Times New Roman"/>
        </w:rPr>
        <w:t>transcription factor (</w:t>
      </w:r>
      <w:r w:rsidRPr="002A174B">
        <w:rPr>
          <w:rFonts w:ascii="Times New Roman" w:hAnsi="Times New Roman" w:cs="Times New Roman"/>
        </w:rPr>
        <w:t>TF</w:t>
      </w:r>
      <w:r>
        <w:rPr>
          <w:rFonts w:ascii="Times New Roman" w:hAnsi="Times New Roman" w:cs="Times New Roman"/>
        </w:rPr>
        <w:t>)</w:t>
      </w:r>
      <w:r w:rsidRPr="002A174B">
        <w:rPr>
          <w:rFonts w:ascii="Times New Roman" w:hAnsi="Times New Roman" w:cs="Times New Roman"/>
        </w:rPr>
        <w:t xml:space="preserve"> binding motifs, (2) creation of TF binding motifs, (3) changes in spacing of TF binding motifs without direct disruption of the binding sequences themselves, </w:t>
      </w:r>
      <w:r>
        <w:rPr>
          <w:rFonts w:ascii="Times New Roman" w:hAnsi="Times New Roman" w:cs="Times New Roman"/>
        </w:rPr>
        <w:t xml:space="preserve">and </w:t>
      </w:r>
      <w:r w:rsidRPr="002A174B">
        <w:rPr>
          <w:rFonts w:ascii="Times New Roman" w:hAnsi="Times New Roman" w:cs="Times New Roman"/>
        </w:rPr>
        <w:t>(4) effects independent of TF binding motifs.</w:t>
      </w:r>
    </w:p>
    <w:p w14:paraId="7EA0F111"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NAG may act as an alternate PAM for SpCas9, albeit with lower efficiency</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"ISSN" : "1546-1696", "abstract" : "The Streptococcus pyogenes Cas9 (SpCas9) nuclease can be efficiently targeted to genomic loci by means of single-guide RNAs (sgRNAs) to enable genome editing. Here, we characterize SpCas9 targeting specificity in human cells to inform the selection of target sites and avoid off-target effects. Our study evaluates &gt;700 guide RNA variants and SpCas9-induced indel mutation levels at &gt;100 predicted genomic off-target loci in 293T and 293FT cells. We find that SpCas9 tolerates mismatches between guide RNA and target DNA at different positions in a sequence-dependent manner, sensitive to the number, position and distribution of mismatches. We also show that SpCas9-mediated cleavage is unaffected by DNA methylation and that the dosage of SpCas9 and sgRNA can be titrated to minimize off-target modification. To facilitate mammalian genome engineering applications, we provide a web-based software tool to guide the selection and validation of target sequences as well as off-target analyses.", "author" : [ { "dropping-particle" : "", "family" : "Hsu", "given" : "Patrick D", "non-dropping-particle" : "", "parse-names" : false, "suffix" : "" }, { "dropping-particle" : "", "family" : "Scott", "given" : "David A", "non-dropping-particle" : "", "parse-names" : false, "suffix" : "" }, { "dropping-particle" : "", "family" : "Weinstein", "given" : "Joshua A", "non-dropping-particle" : "", "parse-names" : false, "suffix" : "" }, { "dropping-particle" : "", "family" : "Ran", "given" : "F Ann", "non-dropping-particle" : "", "parse-names" : false, "suffix" : "" }, { "dropping-particle" : "", "family" : "Konermann", "given" : "Silvana", "non-dropping-particle" : "", "parse-names" : false, "suffix" : "" }, { "dropping-particle" : "", "family" : "Agarwala", "given" : "Vineeta", "non-dropping-particle" : "", "parse-names" : false, "suffix" : "" }, { "dropping-particle" : "", "family" : "Li", "given" : "Yinqing", "non-dropping-particle" : "", "parse-names" : false, "suffix" : "" }, { "dropping-particle" : "", "family" : "Fine", "given" : "Eli J", "non-dropping-particle" : "", "parse-names" : false, "suffix" : "" }, { "dropping-particle" : "", "family" : "Wu", "given" : "Xuebing", "non-dropping-particle" : "", "parse-names" : false, "suffix" : "" }, { "dropping-particle" : "", "family" : "Shalem", "given" : "Ophir", "non-dropping-particle" : "", "parse-names" : false, "suffix" : "" }, { "dropping-particle" : "", "family" : "Cradick", "given" : "Thomas J", "non-dropping-particle" : "", "parse-names" : false, "suffix" : "" }, { "dropping-particle" : "", "family" : "Marraffini", "given" : "Luciano A", "non-dropping-particle" : "", "parse-names" : false, "suffix" : "" }, { "dropping-particle" : "", "family" : "Bao", "given" : "Gang", "non-dropping-particle" : "", "parse-names" : false, "suffix" : "" }, { "dropping-particle" : "", "family" : "Zhang", "given" : "Feng", "non-dropping-particle" : "", "parse-names" : false, "suffix" : "" } ], "container-title" : "Nature biotechnology", "id" : "ITEM-1", "issue" : "9", "issued" : { "date-parts" : [ [ "2013", "9" ] ] }, "page" : "827-32", "title" : "DNA targeting specificity of RNA-guided Cas9 nucleases.", "type" : "article-journal", "volume" : "31" }, "uris" : [ "http://www.mendeley.com/documents/?uuid=e31556fa-7647-4f12-b095-7ba1800497b5" ] } ], "mendeley" : { "formattedCitation" : "&lt;sup&gt;39&lt;/sup&gt;", "plainTextFormattedCitation" : "39", "previouslyFormattedCitation" : "&lt;sup&gt;39&lt;/sup&gt;"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39</w:t>
      </w:r>
      <w:r w:rsidRPr="00932530">
        <w:rPr>
          <w:rFonts w:ascii="Times New Roman" w:hAnsi="Times New Roman" w:cs="Times New Roman"/>
        </w:rPr>
        <w:fldChar w:fldCharType="end"/>
      </w:r>
      <w:r w:rsidRPr="00932530">
        <w:rPr>
          <w:rFonts w:ascii="Times New Roman" w:hAnsi="Times New Roman" w:cs="Times New Roman"/>
        </w:rPr>
        <w:t xml:space="preserve">. </w:t>
      </w:r>
      <w:r>
        <w:rPr>
          <w:rFonts w:ascii="Times New Roman" w:hAnsi="Times New Roman" w:cs="Times New Roman"/>
        </w:rPr>
        <w:t>W</w:t>
      </w:r>
      <w:r w:rsidRPr="00932530">
        <w:rPr>
          <w:rFonts w:ascii="Times New Roman" w:hAnsi="Times New Roman" w:cs="Times New Roman"/>
        </w:rPr>
        <w:t>e also designed sgRNAs restricted by the NAG PAM (</w:t>
      </w:r>
      <w:r>
        <w:rPr>
          <w:rFonts w:ascii="Times New Roman" w:hAnsi="Times New Roman" w:cs="Times New Roman"/>
        </w:rPr>
        <w:t>Extended Data Fig. 2a, b</w:t>
      </w:r>
      <w:r w:rsidRPr="00932530">
        <w:rPr>
          <w:rFonts w:ascii="Times New Roman" w:hAnsi="Times New Roman" w:cs="Times New Roman"/>
        </w:rPr>
        <w:t>).</w:t>
      </w:r>
      <w:r>
        <w:rPr>
          <w:rFonts w:ascii="Times New Roman" w:hAnsi="Times New Roman" w:cs="Times New Roman"/>
        </w:rPr>
        <w:t xml:space="preserve"> The NAG PAM restricted sgRNAs </w:t>
      </w:r>
      <w:r w:rsidRPr="00932530">
        <w:rPr>
          <w:rFonts w:ascii="Times New Roman" w:hAnsi="Times New Roman" w:cs="Times New Roman"/>
        </w:rPr>
        <w:t xml:space="preserve">had a median adjacent genomic cleavage distance of </w:t>
      </w:r>
      <w:r>
        <w:rPr>
          <w:rFonts w:ascii="Times New Roman" w:hAnsi="Times New Roman" w:cs="Times New Roman"/>
        </w:rPr>
        <w:t>5</w:t>
      </w:r>
      <w:r w:rsidRPr="00932530">
        <w:rPr>
          <w:rFonts w:ascii="Times New Roman" w:hAnsi="Times New Roman" w:cs="Times New Roman"/>
        </w:rPr>
        <w:t xml:space="preserve"> </w:t>
      </w:r>
      <w:r>
        <w:rPr>
          <w:rFonts w:ascii="Times New Roman" w:hAnsi="Times New Roman" w:cs="Times New Roman"/>
        </w:rPr>
        <w:t>bp</w:t>
      </w:r>
      <w:r w:rsidRPr="00932530">
        <w:rPr>
          <w:rFonts w:ascii="Times New Roman" w:hAnsi="Times New Roman" w:cs="Times New Roman"/>
        </w:rPr>
        <w:t xml:space="preserve"> and 90</w:t>
      </w:r>
      <w:r w:rsidRPr="00932530">
        <w:rPr>
          <w:rFonts w:ascii="Times New Roman" w:hAnsi="Times New Roman" w:cs="Times New Roman"/>
          <w:vertAlign w:val="superscript"/>
        </w:rPr>
        <w:t>th</w:t>
      </w:r>
      <w:r w:rsidRPr="00932530">
        <w:rPr>
          <w:rFonts w:ascii="Times New Roman" w:hAnsi="Times New Roman" w:cs="Times New Roman"/>
        </w:rPr>
        <w:t xml:space="preserve"> percentile of 1</w:t>
      </w:r>
      <w:r>
        <w:rPr>
          <w:rFonts w:ascii="Times New Roman" w:hAnsi="Times New Roman" w:cs="Times New Roman"/>
        </w:rPr>
        <w:t>5</w:t>
      </w:r>
      <w:r w:rsidRPr="00932530">
        <w:rPr>
          <w:rFonts w:ascii="Times New Roman" w:hAnsi="Times New Roman" w:cs="Times New Roman"/>
        </w:rPr>
        <w:t xml:space="preserve"> </w:t>
      </w:r>
      <w:r>
        <w:rPr>
          <w:rFonts w:ascii="Times New Roman" w:hAnsi="Times New Roman" w:cs="Times New Roman"/>
        </w:rPr>
        <w:t>bp</w:t>
      </w:r>
      <w:r w:rsidRPr="00932530">
        <w:rPr>
          <w:rFonts w:ascii="Times New Roman" w:hAnsi="Times New Roman" w:cs="Times New Roman"/>
        </w:rPr>
        <w:t xml:space="preserve"> (</w:t>
      </w:r>
      <w:r>
        <w:rPr>
          <w:rFonts w:ascii="Times New Roman" w:hAnsi="Times New Roman" w:cs="Times New Roman"/>
        </w:rPr>
        <w:t xml:space="preserve">Extended Data Fig. 2b). </w:t>
      </w:r>
    </w:p>
    <w:p w14:paraId="7F4D1062"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 xml:space="preserve">We included 120 nontargeting sgRNAs as negative controls as well as 88 sgRNAs tiling exon-2 of </w:t>
      </w:r>
      <w:r w:rsidRPr="00932530">
        <w:rPr>
          <w:rFonts w:ascii="Times New Roman" w:hAnsi="Times New Roman" w:cs="Times New Roman"/>
          <w:i/>
        </w:rPr>
        <w:t xml:space="preserve">BCL11A </w:t>
      </w:r>
      <w:r w:rsidRPr="00932530">
        <w:rPr>
          <w:rFonts w:ascii="Times New Roman" w:hAnsi="Times New Roman" w:cs="Times New Roman"/>
        </w:rPr>
        <w:t>as positive controls. The total library included 1,338 sgRNAs</w:t>
      </w:r>
      <w:r>
        <w:rPr>
          <w:rFonts w:ascii="Times New Roman" w:hAnsi="Times New Roman" w:cs="Times New Roman"/>
        </w:rPr>
        <w:t xml:space="preserve"> (Extended Data Fig. 2c)</w:t>
      </w:r>
      <w:r w:rsidRPr="00932530">
        <w:rPr>
          <w:rFonts w:ascii="Times New Roman" w:hAnsi="Times New Roman" w:cs="Times New Roman"/>
        </w:rPr>
        <w:t>. We synthesized oligonucleotides for the</w:t>
      </w:r>
      <w:r>
        <w:rPr>
          <w:rFonts w:ascii="Times New Roman" w:hAnsi="Times New Roman" w:cs="Times New Roman"/>
        </w:rPr>
        <w:t xml:space="preserve"> NGG and NAG</w:t>
      </w:r>
      <w:r w:rsidRPr="00932530">
        <w:rPr>
          <w:rFonts w:ascii="Times New Roman" w:hAnsi="Times New Roman" w:cs="Times New Roman"/>
        </w:rPr>
        <w:t xml:space="preserve"> </w:t>
      </w:r>
      <w:r>
        <w:rPr>
          <w:rFonts w:ascii="Times New Roman" w:hAnsi="Times New Roman" w:cs="Times New Roman"/>
        </w:rPr>
        <w:t xml:space="preserve">restricted and nontargeting </w:t>
      </w:r>
      <w:r w:rsidRPr="00932530">
        <w:rPr>
          <w:rFonts w:ascii="Times New Roman" w:hAnsi="Times New Roman" w:cs="Times New Roman"/>
        </w:rPr>
        <w:t>sgRNAs on a microarray and cloned the sgRNAs as a pool to a lentiviral vector</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"ISSN" : "1095-9203", "abstract" : "The simplicity of programming the CRISPR (clustered regularly interspaced short palindromic repeats)-associated nuclease Cas9 to modify specific genomic loci suggests a new way to interrogate gene function on a genome-wide scale. We show that lentiviral delivery of a genome-scale CRISPR-Cas9 knockout (GeCKO) library targeting 18,080 genes with 64,751 unique guide sequences enables both negative and positive selection screening in human cells. First, we used the GeCKO library to identify genes essential for cell viability in cancer and pluripotent stem cells. Next, in a melanoma model, we screened for genes whose loss is involved in resistance to vemurafenib, a therapeutic RAF inhibitor. Our highest-ranking candidates include previously validated genes NF1 and MED12, as well as novel hits NF2, CUL3, TADA2B, and TADA1. We observe a high level of consistency between independent guide RNAs targeting the same gene and a high rate of hit confirmation, demonstrating the promise of genome-scale screening with Cas9.", "author" : [ { "dropping-particle" : "", "family" : "Shalem", "given" : "Ophir", "non-dropping-particle" : "", "parse-names" : false, "suffix" : "" }, { "dropping-particle" : "", "family" : "Sanjana", "given" : "Neville E", "non-dropping-particle" : "", "parse-names" : false, "suffix" : "" }, { "dropping-particle" : "", "family" : "Hartenian", "given" : "Ella", "non-dropping-particle" : "", "parse-names" : false, "suffix" : "" }, { "dropping-particle" : "", "family" : "Shi", "given" : "Xi", "non-dropping-particle" : "", "parse-names" : false, "suffix" : "" }, { "dropping-particle" : "", "family" : "Scott", "given" : "David A", "non-dropping-particle" : "", "parse-names" : false, "suffix" : "" }, { "dropping-particle" : "", "family" : "Mikkelsen", "given" : "Tarjei S", "non-dropping-particle" : "", "parse-names" : false, "suffix" : "" }, { "dropping-particle" : "", "family" : "Heckl", "given" : "Dirk", "non-dropping-particle" : "", "parse-names" : false, "suffix" : "" }, { "dropping-particle" : "", "family" : "Ebert", "given" : "Benjamin L", "non-dropping-particle" : "", "parse-names" : false, "suffix" : "" }, { "dropping-particle" : "", "family" : "Root", "given" : "David E", "non-dropping-particle" : "", "parse-names" : false, "suffix" : "" }, { "dropping-particle" : "", "family" : "Doench", "given" : "John G", "non-dropping-particle" : "", "parse-names" : false, "suffix" : "" }, { "dropping-particle" : "", "family" : "Zhang", "given" : "Feng", "non-dropping-particle" : "", "parse-names" : false, "suffix" : "" } ], "container-title" : "Science", "id" : "ITEM-1", "issue" : "6166", "issued" : { "date-parts" : [ [ "2014", "1" ] ] }, "page" : "84-7", "title" : "Genome-scale CRISPR-Cas9 knockout screening in human cells.", "type" : "article-journal", "volume" : "343" }, "uris" : [ "http://www.mendeley.com/documents/?uuid=d0a21ab7-1811-44cf-9660-1751564eddd6" ] } ], "mendeley" : { "formattedCitation" : "&lt;sup&gt;25&lt;/sup&gt;", "plainTextFormattedCitation" : "25", "previouslyFormattedCitation" : "&lt;sup&gt;25&lt;/sup&gt;"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25</w:t>
      </w:r>
      <w:r w:rsidRPr="00932530">
        <w:rPr>
          <w:rFonts w:ascii="Times New Roman" w:hAnsi="Times New Roman" w:cs="Times New Roman"/>
        </w:rPr>
        <w:fldChar w:fldCharType="end"/>
      </w:r>
      <w:r w:rsidRPr="00932530">
        <w:rPr>
          <w:rFonts w:ascii="Times New Roman" w:hAnsi="Times New Roman" w:cs="Times New Roman"/>
        </w:rPr>
        <w:t xml:space="preserve">. Deep sequencing of the lentiviral plasmid library </w:t>
      </w:r>
      <w:r>
        <w:rPr>
          <w:rFonts w:ascii="Times New Roman" w:hAnsi="Times New Roman" w:cs="Times New Roman"/>
        </w:rPr>
        <w:t xml:space="preserve">(including both NGG and NAG sgRNAs) </w:t>
      </w:r>
      <w:r w:rsidRPr="00932530">
        <w:rPr>
          <w:rFonts w:ascii="Times New Roman" w:hAnsi="Times New Roman" w:cs="Times New Roman"/>
        </w:rPr>
        <w:t>demonstrated that 1,</w:t>
      </w:r>
      <w:r>
        <w:rPr>
          <w:rFonts w:ascii="Times New Roman" w:hAnsi="Times New Roman" w:cs="Times New Roman"/>
        </w:rPr>
        <w:t xml:space="preserve">337 of </w:t>
      </w:r>
      <w:r w:rsidRPr="00932530">
        <w:rPr>
          <w:rFonts w:ascii="Times New Roman" w:hAnsi="Times New Roman" w:cs="Times New Roman"/>
        </w:rPr>
        <w:t>1,338</w:t>
      </w:r>
      <w:r>
        <w:rPr>
          <w:rFonts w:ascii="Times New Roman" w:hAnsi="Times New Roman" w:cs="Times New Roman"/>
        </w:rPr>
        <w:t xml:space="preserve"> </w:t>
      </w:r>
      <w:r w:rsidRPr="00932530">
        <w:rPr>
          <w:rFonts w:ascii="Times New Roman" w:hAnsi="Times New Roman" w:cs="Times New Roman"/>
        </w:rPr>
        <w:t xml:space="preserve">sgRNAs </w:t>
      </w:r>
      <w:r>
        <w:rPr>
          <w:rFonts w:ascii="Times New Roman" w:hAnsi="Times New Roman" w:cs="Times New Roman"/>
        </w:rPr>
        <w:t>(99.9%) were successfully cloned</w:t>
      </w:r>
      <w:r w:rsidRPr="00932530">
        <w:rPr>
          <w:rFonts w:ascii="Times New Roman" w:hAnsi="Times New Roman" w:cs="Times New Roman"/>
        </w:rPr>
        <w:t>. The representation of sgRNAs within the library showed a relatively narrow distribution, with a median of 718 and the 10% and 90% percentile ranging from 337 to 1,205</w:t>
      </w:r>
      <w:r w:rsidRPr="00CA0F63">
        <w:rPr>
          <w:rFonts w:ascii="Times New Roman" w:hAnsi="Times New Roman" w:cs="Times New Roman"/>
        </w:rPr>
        <w:t xml:space="preserve"> </w:t>
      </w:r>
      <w:r w:rsidRPr="00932530">
        <w:rPr>
          <w:rFonts w:ascii="Times New Roman" w:hAnsi="Times New Roman" w:cs="Times New Roman"/>
        </w:rPr>
        <w:t>normalized reads (</w:t>
      </w:r>
      <w:r>
        <w:rPr>
          <w:rFonts w:ascii="Times New Roman" w:hAnsi="Times New Roman" w:cs="Times New Roman"/>
        </w:rPr>
        <w:t>Extended Data Fig. 2d). Since the number of viral integrants per cell follows a Poisson distribution, maximizing single integrants can be achieved by decreasing multiplicity of infection</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"author" : [ { "dropping-particle" : "", "family" : "Ellis", "given" : "Emory L", "non-dropping-particle" : "", "parse-names" : false, "suffix" : "" }, { "dropping-particle" : "", "family" : "Delbr\u00fcck", "given" : "Max", "non-dropping-particle" : "", "parse-names" : false, "suffix" : "" } ], "container-title" : "The Journal of General Physiology", "id" : "ITEM-1", "issue" : "3", "issued" : { "date-parts" : [ [ "1939" ] ] }, "page" : "365-384", "title" : "The Growth of Bacteriophage", "type" : "article-journal", "volume" : "22" }, "uris" : [ "http://www.mendeley.com/documents/?uuid=ab7e0587-1ca2-4b1e-b919-de3b93f15e60", "http://www.mendeley.com/documents/?uuid=0b172bd0-9f5e-4216-8fc5-537ee95ed5bb" ] }, { "id" : "ITEM-2", "itemData" : { "author" : [ { "dropping-particle" : "", "family" : "Stent", "given" : "GS", "non-dropping-particle" : "", "parse-names" : false, "suffix" : "" } ], "id" : "ITEM-2", "issued" : { "date-parts" : [ [ "1963" ] ] }, "number-of-pages" : "74-77", "publisher" : "W. H. Freeman and Company", "publisher-place" : "San Francisco and London", "title" : "Molecular Biology of Bacterial Viruses", "type" : "book" }, "uris" : [ "http://www.mendeley.com/documents/?uuid=559ea6c1-b994-499d-bc4f-6cda13f0cbb2", "http://www.mendeley.com/documents/?uuid=74174bbd-d9a8-4ad1-90da-d6515ed30687" ] }, { "id" : "ITEM-3", "itemData" : { "author" : [ { "dropping-particle" : "", "family" : "Choi", "given" : "Charles", "non-dropping-particle" : "", "parse-names" : false, "suffix" : "" }, { "dropping-particle" : "", "family" : "Kuatsjah", "given" : "Eugene", "non-dropping-particle" : "", "parse-names" : false, "suffix" : "" }, { "dropping-particle" : "", "family" : "Wu", "given" : "Elizabeth", "non-dropping-particle" : "", "parse-names" : false, "suffix" : "" }, { "dropping-particle" : "", "family" : "Yuan", "given" : "Serena", "non-dropping-particle" : "", "parse-names" : false, "suffix" : "" } ], "container-title" : "Journal of Experimental Microbiology and Immunology", "id" : "ITEM-3", "issue" : "April", "issued" : { "date-parts" : [ [ "2010" ] ] }, "page" : "85-91", "title" : "The Effect of Cell Size on the Burst Size of T4 Bacteriophage Infections of Escherichia coli B23", "type" : "article-journal", "volume" : "14" }, "uris" : [ "http://www.mendeley.com/documents/?uuid=1c2a81df-3d01-4eba-8f9f-744a7e232a1b", "http://www.mendeley.com/documents/?uuid=5fd04d71-244b-4f8f-850a-6c52b0944012" ] } ], "mendeley" : { "formattedCitation" : "&lt;sup&gt;61\u201363&lt;/sup&gt;", "plainTextFormattedCitation" : "61\u201363", "previouslyFormattedCitation" : "&lt;sup&gt;61\u201363&lt;/sup&gt;" }, "properties" : { "noteIndex" : 0 }, "schema" : "https://github.com/citation-style-language/schema/raw/master/csl-citation.json" }</w:instrText>
      </w:r>
      <w:r>
        <w:rPr>
          <w:rFonts w:ascii="Times New Roman" w:hAnsi="Times New Roman" w:cs="Times New Roman"/>
        </w:rPr>
        <w:fldChar w:fldCharType="separate"/>
      </w:r>
      <w:r w:rsidRPr="00001483">
        <w:rPr>
          <w:rFonts w:ascii="Times New Roman" w:hAnsi="Times New Roman" w:cs="Times New Roman"/>
          <w:noProof/>
          <w:vertAlign w:val="superscript"/>
        </w:rPr>
        <w:t>61–63</w:t>
      </w:r>
      <w:r>
        <w:rPr>
          <w:rFonts w:ascii="Times New Roman" w:hAnsi="Times New Roman" w:cs="Times New Roman"/>
        </w:rPr>
        <w:fldChar w:fldCharType="end"/>
      </w:r>
      <w:r>
        <w:rPr>
          <w:rFonts w:ascii="Times New Roman" w:hAnsi="Times New Roman" w:cs="Times New Roman"/>
        </w:rPr>
        <w:t>. Therefore, t</w:t>
      </w:r>
      <w:r w:rsidRPr="00932530">
        <w:rPr>
          <w:rFonts w:ascii="Times New Roman" w:hAnsi="Times New Roman" w:cs="Times New Roman"/>
        </w:rPr>
        <w:t xml:space="preserve">he basic experimental schema was to transduce cells with the lentiviral library at low multiplicity such that </w:t>
      </w:r>
      <w:r>
        <w:rPr>
          <w:rFonts w:ascii="Times New Roman" w:hAnsi="Times New Roman" w:cs="Times New Roman"/>
        </w:rPr>
        <w:t>nearly</w:t>
      </w:r>
      <w:r w:rsidRPr="00932530">
        <w:rPr>
          <w:rFonts w:ascii="Times New Roman" w:hAnsi="Times New Roman" w:cs="Times New Roman"/>
        </w:rPr>
        <w:t xml:space="preserve"> all </w:t>
      </w:r>
      <w:r>
        <w:rPr>
          <w:rFonts w:ascii="Times New Roman" w:hAnsi="Times New Roman" w:cs="Times New Roman"/>
        </w:rPr>
        <w:t xml:space="preserve">selected </w:t>
      </w:r>
      <w:r w:rsidRPr="00932530">
        <w:rPr>
          <w:rFonts w:ascii="Times New Roman" w:hAnsi="Times New Roman" w:cs="Times New Roman"/>
        </w:rPr>
        <w:t>cells contained a single integrant</w:t>
      </w:r>
      <w:r>
        <w:rPr>
          <w:rFonts w:ascii="Times New Roman" w:hAnsi="Times New Roman" w:cs="Times New Roman"/>
        </w:rPr>
        <w:t xml:space="preserve"> (Fig. 1d)</w:t>
      </w:r>
      <w:r w:rsidRPr="00932530">
        <w:rPr>
          <w:rFonts w:ascii="Times New Roman" w:hAnsi="Times New Roman" w:cs="Times New Roman"/>
        </w:rPr>
        <w:t>.</w:t>
      </w:r>
      <w:r>
        <w:rPr>
          <w:rFonts w:ascii="Times New Roman" w:hAnsi="Times New Roman" w:cs="Times New Roman"/>
        </w:rPr>
        <w:t xml:space="preserve"> W</w:t>
      </w:r>
      <w:r w:rsidRPr="00932530">
        <w:rPr>
          <w:rFonts w:ascii="Times New Roman" w:hAnsi="Times New Roman" w:cs="Times New Roman"/>
        </w:rPr>
        <w:t xml:space="preserve">e transduced HUDEP-2 </w:t>
      </w:r>
      <w:r w:rsidRPr="00932530">
        <w:rPr>
          <w:rFonts w:ascii="Times New Roman" w:hAnsi="Times New Roman" w:cs="Times New Roman"/>
        </w:rPr>
        <w:lastRenderedPageBreak/>
        <w:t xml:space="preserve">cells stably expressing SpCas9 with the pooled library of </w:t>
      </w:r>
      <w:r w:rsidRPr="00932530">
        <w:rPr>
          <w:rFonts w:ascii="Times New Roman" w:hAnsi="Times New Roman" w:cs="Times New Roman"/>
          <w:i/>
        </w:rPr>
        <w:t>BCL11A</w:t>
      </w:r>
      <w:r w:rsidRPr="00932530">
        <w:rPr>
          <w:rFonts w:ascii="Times New Roman" w:hAnsi="Times New Roman" w:cs="Times New Roman"/>
        </w:rPr>
        <w:t xml:space="preserve"> enhancer targeting sgRNAs. We </w:t>
      </w:r>
      <w:r>
        <w:rPr>
          <w:rFonts w:ascii="Times New Roman" w:hAnsi="Times New Roman" w:cs="Times New Roman"/>
        </w:rPr>
        <w:t xml:space="preserve">initially </w:t>
      </w:r>
      <w:r w:rsidRPr="00932530">
        <w:rPr>
          <w:rFonts w:ascii="Times New Roman" w:hAnsi="Times New Roman" w:cs="Times New Roman"/>
        </w:rPr>
        <w:t>expanded the cells</w:t>
      </w:r>
      <w:r>
        <w:rPr>
          <w:rFonts w:ascii="Times New Roman" w:hAnsi="Times New Roman" w:cs="Times New Roman"/>
        </w:rPr>
        <w:t xml:space="preserve"> for one week</w:t>
      </w:r>
      <w:r w:rsidRPr="00932530">
        <w:rPr>
          <w:rFonts w:ascii="Times New Roman" w:hAnsi="Times New Roman" w:cs="Times New Roman"/>
        </w:rPr>
        <w:t xml:space="preserve">, and subsequently </w:t>
      </w:r>
      <w:r>
        <w:rPr>
          <w:rFonts w:ascii="Times New Roman" w:hAnsi="Times New Roman" w:cs="Times New Roman"/>
        </w:rPr>
        <w:t>transferred them to erythroid differentiation conditions, for</w:t>
      </w:r>
      <w:r w:rsidRPr="00932530">
        <w:rPr>
          <w:rFonts w:ascii="Times New Roman" w:hAnsi="Times New Roman" w:cs="Times New Roman"/>
        </w:rPr>
        <w:t xml:space="preserve"> a total of two weeks of culture. Then we performed intracellular staining for HbF. </w:t>
      </w:r>
      <w:r>
        <w:rPr>
          <w:rFonts w:ascii="Times New Roman" w:hAnsi="Times New Roman" w:cs="Times New Roman"/>
        </w:rPr>
        <w:t xml:space="preserve">Fluorescence activated cell sorting (FACS) was employed to isolate </w:t>
      </w:r>
      <w:r w:rsidRPr="00932530">
        <w:rPr>
          <w:rFonts w:ascii="Times New Roman" w:hAnsi="Times New Roman" w:cs="Times New Roman"/>
        </w:rPr>
        <w:t>HbF</w:t>
      </w:r>
      <w:r>
        <w:rPr>
          <w:rFonts w:ascii="Times New Roman" w:hAnsi="Times New Roman" w:cs="Times New Roman"/>
        </w:rPr>
        <w:t>-high</w:t>
      </w:r>
      <w:r w:rsidRPr="00932530">
        <w:rPr>
          <w:rFonts w:ascii="Times New Roman" w:hAnsi="Times New Roman" w:cs="Times New Roman"/>
        </w:rPr>
        <w:t xml:space="preserve"> </w:t>
      </w:r>
      <w:r>
        <w:rPr>
          <w:rFonts w:ascii="Times New Roman" w:hAnsi="Times New Roman" w:cs="Times New Roman"/>
        </w:rPr>
        <w:t xml:space="preserve">and </w:t>
      </w:r>
      <w:r w:rsidRPr="00932530">
        <w:rPr>
          <w:rFonts w:ascii="Times New Roman" w:hAnsi="Times New Roman" w:cs="Times New Roman"/>
        </w:rPr>
        <w:t>HbF</w:t>
      </w:r>
      <w:r>
        <w:rPr>
          <w:rFonts w:ascii="Times New Roman" w:hAnsi="Times New Roman" w:cs="Times New Roman"/>
        </w:rPr>
        <w:t>-low</w:t>
      </w:r>
      <w:r w:rsidRPr="00932530">
        <w:rPr>
          <w:rFonts w:ascii="Times New Roman" w:hAnsi="Times New Roman" w:cs="Times New Roman"/>
        </w:rPr>
        <w:t xml:space="preserve"> pools</w:t>
      </w:r>
      <w:r>
        <w:rPr>
          <w:rFonts w:ascii="Times New Roman" w:hAnsi="Times New Roman" w:cs="Times New Roman"/>
        </w:rPr>
        <w:t xml:space="preserve"> (consistent with</w:t>
      </w:r>
      <w:r w:rsidRPr="00932530">
        <w:rPr>
          <w:rFonts w:ascii="Times New Roman" w:hAnsi="Times New Roman" w:cs="Times New Roman"/>
        </w:rPr>
        <w:t xml:space="preserve"> </w:t>
      </w:r>
      <w:r>
        <w:rPr>
          <w:rFonts w:ascii="Times New Roman" w:hAnsi="Times New Roman" w:cs="Times New Roman"/>
        </w:rPr>
        <w:t>low and high</w:t>
      </w:r>
      <w:r w:rsidRPr="00932530">
        <w:rPr>
          <w:rFonts w:ascii="Times New Roman" w:hAnsi="Times New Roman" w:cs="Times New Roman"/>
        </w:rPr>
        <w:t xml:space="preserve"> BCL11A activity</w:t>
      </w:r>
      <w:r>
        <w:rPr>
          <w:rFonts w:ascii="Times New Roman" w:hAnsi="Times New Roman" w:cs="Times New Roman"/>
        </w:rPr>
        <w:t xml:space="preserve"> respectively; Fig. 1d</w:t>
      </w:r>
      <w:r w:rsidRPr="00932530">
        <w:rPr>
          <w:rFonts w:ascii="Times New Roman" w:hAnsi="Times New Roman" w:cs="Times New Roman"/>
        </w:rPr>
        <w:t xml:space="preserve">; </w:t>
      </w:r>
      <w:r>
        <w:rPr>
          <w:rFonts w:ascii="Times New Roman" w:hAnsi="Times New Roman" w:cs="Times New Roman"/>
        </w:rPr>
        <w:t>Extended Data Fig. 2e, g</w:t>
      </w:r>
      <w:r w:rsidRPr="00932530">
        <w:rPr>
          <w:rFonts w:ascii="Times New Roman" w:hAnsi="Times New Roman" w:cs="Times New Roman"/>
        </w:rPr>
        <w:t>). We enumerated the representation of the library in each pool by deep sequencing. The</w:t>
      </w:r>
      <w:r>
        <w:rPr>
          <w:rFonts w:ascii="Times New Roman" w:hAnsi="Times New Roman" w:cs="Times New Roman"/>
        </w:rPr>
        <w:t xml:space="preserve"> HbF</w:t>
      </w:r>
      <w:r w:rsidRPr="00932530">
        <w:rPr>
          <w:rFonts w:ascii="Times New Roman" w:hAnsi="Times New Roman" w:cs="Times New Roman"/>
        </w:rPr>
        <w:t xml:space="preserve"> enrichment </w:t>
      </w:r>
      <w:r>
        <w:rPr>
          <w:rFonts w:ascii="Times New Roman" w:hAnsi="Times New Roman" w:cs="Times New Roman"/>
        </w:rPr>
        <w:t xml:space="preserve">score </w:t>
      </w:r>
      <w:r w:rsidRPr="00932530">
        <w:rPr>
          <w:rFonts w:ascii="Times New Roman" w:hAnsi="Times New Roman" w:cs="Times New Roman"/>
        </w:rPr>
        <w:t xml:space="preserve">of each sgRNA was calculated as the </w:t>
      </w:r>
      <w:r>
        <w:rPr>
          <w:rFonts w:ascii="Times New Roman" w:hAnsi="Times New Roman" w:cs="Times New Roman"/>
        </w:rPr>
        <w:t>log</w:t>
      </w:r>
      <w:r w:rsidRPr="009541DE">
        <w:rPr>
          <w:rFonts w:ascii="Times New Roman" w:hAnsi="Times New Roman" w:cs="Times New Roman"/>
          <w:vertAlign w:val="subscript"/>
        </w:rPr>
        <w:t>2</w:t>
      </w:r>
      <w:r>
        <w:rPr>
          <w:rFonts w:ascii="Times New Roman" w:hAnsi="Times New Roman" w:cs="Times New Roman"/>
        </w:rPr>
        <w:t>-</w:t>
      </w:r>
      <w:r w:rsidRPr="00932530">
        <w:rPr>
          <w:rFonts w:ascii="Times New Roman" w:hAnsi="Times New Roman" w:cs="Times New Roman"/>
        </w:rPr>
        <w:t>ratio of normalized reads</w:t>
      </w:r>
      <w:r>
        <w:rPr>
          <w:rFonts w:ascii="Times New Roman" w:hAnsi="Times New Roman" w:cs="Times New Roman"/>
        </w:rPr>
        <w:t xml:space="preserve"> </w:t>
      </w:r>
      <w:r w:rsidRPr="00932530">
        <w:rPr>
          <w:rFonts w:ascii="Times New Roman" w:hAnsi="Times New Roman" w:cs="Times New Roman"/>
        </w:rPr>
        <w:t>in the HbF-high compared to HbF-low pools. We compared the HbF enrichment of the 120 nontargeting</w:t>
      </w:r>
      <w:r w:rsidRPr="00B772F0">
        <w:rPr>
          <w:rFonts w:ascii="Times New Roman" w:hAnsi="Times New Roman" w:cs="Times New Roman"/>
        </w:rPr>
        <w:t xml:space="preserve"> </w:t>
      </w:r>
      <w:r w:rsidRPr="00932530">
        <w:rPr>
          <w:rFonts w:ascii="Times New Roman" w:hAnsi="Times New Roman" w:cs="Times New Roman"/>
        </w:rPr>
        <w:t>negative control sgRNAs and 88 coding sequence targeted positive controls for both NGG and NAG PAM restricted sgRNAs. We observed equivalent representation of the nontargeting sgRNAs in the HbF</w:t>
      </w:r>
      <w:r>
        <w:rPr>
          <w:rFonts w:ascii="Times New Roman" w:hAnsi="Times New Roman" w:cs="Times New Roman"/>
        </w:rPr>
        <w:t xml:space="preserve">-high and </w:t>
      </w:r>
      <w:r w:rsidRPr="00932530">
        <w:rPr>
          <w:rFonts w:ascii="Times New Roman" w:hAnsi="Times New Roman" w:cs="Times New Roman"/>
        </w:rPr>
        <w:t>HbF</w:t>
      </w:r>
      <w:r>
        <w:rPr>
          <w:rFonts w:ascii="Times New Roman" w:hAnsi="Times New Roman" w:cs="Times New Roman"/>
        </w:rPr>
        <w:t>-low</w:t>
      </w:r>
      <w:r w:rsidRPr="00932530">
        <w:rPr>
          <w:rFonts w:ascii="Times New Roman" w:hAnsi="Times New Roman" w:cs="Times New Roman"/>
        </w:rPr>
        <w:t xml:space="preserve"> pools but highly significant enrichment of the NGG sgRNA</w:t>
      </w:r>
      <w:r>
        <w:rPr>
          <w:rFonts w:ascii="Times New Roman" w:hAnsi="Times New Roman" w:cs="Times New Roman"/>
        </w:rPr>
        <w:t>s</w:t>
      </w:r>
      <w:r w:rsidRPr="00932530">
        <w:rPr>
          <w:rFonts w:ascii="Times New Roman" w:hAnsi="Times New Roman" w:cs="Times New Roman"/>
        </w:rPr>
        <w:t xml:space="preserve"> targeting exon-2 of </w:t>
      </w:r>
      <w:r w:rsidRPr="00932530">
        <w:rPr>
          <w:rFonts w:ascii="Times New Roman" w:hAnsi="Times New Roman" w:cs="Times New Roman"/>
          <w:i/>
        </w:rPr>
        <w:t>BCL11A</w:t>
      </w:r>
      <w:r w:rsidRPr="00932530">
        <w:rPr>
          <w:rFonts w:ascii="Times New Roman" w:hAnsi="Times New Roman" w:cs="Times New Roman"/>
        </w:rPr>
        <w:t xml:space="preserve"> in the HbF-high pool, consistent with a reduction of BCL11A activity (</w:t>
      </w:r>
      <w:r>
        <w:rPr>
          <w:rFonts w:ascii="Times New Roman" w:hAnsi="Times New Roman" w:cs="Times New Roman"/>
        </w:rPr>
        <w:t xml:space="preserve">Extended Data </w:t>
      </w:r>
      <w:r w:rsidRPr="00932530">
        <w:rPr>
          <w:rFonts w:ascii="Times New Roman" w:hAnsi="Times New Roman" w:cs="Times New Roman"/>
        </w:rPr>
        <w:t>Fig</w:t>
      </w:r>
      <w:r>
        <w:rPr>
          <w:rFonts w:ascii="Times New Roman" w:hAnsi="Times New Roman" w:cs="Times New Roman"/>
        </w:rPr>
        <w:t>. 2h</w:t>
      </w:r>
      <w:r w:rsidRPr="00932530">
        <w:rPr>
          <w:rFonts w:ascii="Times New Roman" w:hAnsi="Times New Roman" w:cs="Times New Roman"/>
        </w:rPr>
        <w:t xml:space="preserve">). </w:t>
      </w:r>
      <w:r w:rsidRPr="00D46331">
        <w:rPr>
          <w:rFonts w:ascii="Times New Roman" w:hAnsi="Times New Roman" w:cs="Times New Roman"/>
        </w:rPr>
        <w:t>One nontargeting sgRNA (#0548) had an</w:t>
      </w:r>
      <w:r>
        <w:rPr>
          <w:rFonts w:ascii="Times New Roman" w:hAnsi="Times New Roman" w:cs="Times New Roman"/>
        </w:rPr>
        <w:t xml:space="preserve"> HbF</w:t>
      </w:r>
      <w:r w:rsidRPr="00D46331">
        <w:rPr>
          <w:rFonts w:ascii="Times New Roman" w:hAnsi="Times New Roman" w:cs="Times New Roman"/>
        </w:rPr>
        <w:t xml:space="preserve"> enrichment score of 0.803, while the remaining 119/120 nontargeting sgRNAs (99.2%) showed enrichment scores below 0.259. In contrast 40/48 sgRNAs targeting BCL11A exon 2 (83.3%) showed enrichment scores above 0.259. These results suggest that the large majority of sgRNAs in the library were competent to produce </w:t>
      </w:r>
      <w:proofErr w:type="spellStart"/>
      <w:r w:rsidRPr="00D46331">
        <w:rPr>
          <w:rFonts w:ascii="Times New Roman" w:hAnsi="Times New Roman" w:cs="Times New Roman"/>
        </w:rPr>
        <w:t>indels</w:t>
      </w:r>
      <w:proofErr w:type="spellEnd"/>
      <w:r w:rsidRPr="00D46331">
        <w:rPr>
          <w:rFonts w:ascii="Times New Roman" w:hAnsi="Times New Roman" w:cs="Times New Roman"/>
        </w:rPr>
        <w:t>.</w:t>
      </w:r>
      <w:r>
        <w:rPr>
          <w:rFonts w:ascii="Times New Roman" w:hAnsi="Times New Roman" w:cs="Times New Roman"/>
        </w:rPr>
        <w:t xml:space="preserve"> </w:t>
      </w:r>
      <w:r w:rsidRPr="00932530">
        <w:rPr>
          <w:rFonts w:ascii="Times New Roman" w:hAnsi="Times New Roman" w:cs="Times New Roman"/>
        </w:rPr>
        <w:t xml:space="preserve">However, </w:t>
      </w:r>
      <w:r>
        <w:rPr>
          <w:rFonts w:ascii="Times New Roman" w:hAnsi="Times New Roman" w:cs="Times New Roman"/>
        </w:rPr>
        <w:t xml:space="preserve">exon-2 targeting </w:t>
      </w:r>
      <w:r w:rsidRPr="00932530">
        <w:rPr>
          <w:rFonts w:ascii="Times New Roman" w:hAnsi="Times New Roman" w:cs="Times New Roman"/>
        </w:rPr>
        <w:t xml:space="preserve">sgRNAs with NAG PAM restriction did not show significant </w:t>
      </w:r>
      <w:r>
        <w:rPr>
          <w:rFonts w:ascii="Times New Roman" w:hAnsi="Times New Roman" w:cs="Times New Roman"/>
        </w:rPr>
        <w:t xml:space="preserve">HbF </w:t>
      </w:r>
      <w:r w:rsidRPr="00932530">
        <w:rPr>
          <w:rFonts w:ascii="Times New Roman" w:hAnsi="Times New Roman" w:cs="Times New Roman"/>
        </w:rPr>
        <w:t xml:space="preserve">enrichment </w:t>
      </w:r>
      <w:r>
        <w:rPr>
          <w:rFonts w:ascii="Times New Roman" w:hAnsi="Times New Roman" w:cs="Times New Roman"/>
        </w:rPr>
        <w:t xml:space="preserve">suggesting inefficient indel production (Extended Data Fig. 2h). Therefore the </w:t>
      </w:r>
      <w:r w:rsidRPr="00932530">
        <w:rPr>
          <w:rFonts w:ascii="Times New Roman" w:hAnsi="Times New Roman" w:cs="Times New Roman"/>
        </w:rPr>
        <w:t xml:space="preserve">NAG restricted sgRNAs were </w:t>
      </w:r>
      <w:r>
        <w:rPr>
          <w:rFonts w:ascii="Times New Roman" w:hAnsi="Times New Roman" w:cs="Times New Roman"/>
        </w:rPr>
        <w:t>excluded from further analyses.</w:t>
      </w:r>
      <w:r w:rsidRPr="00932530">
        <w:rPr>
          <w:rFonts w:ascii="Times New Roman" w:hAnsi="Times New Roman" w:cs="Times New Roman"/>
        </w:rPr>
        <w:t xml:space="preserve"> </w:t>
      </w:r>
    </w:p>
    <w:p w14:paraId="4A7A7F81"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 xml:space="preserve">We compared the representation of sgRNAs in the initial plasmid pool to the representation of sgRNAs in the cells at the end of </w:t>
      </w:r>
      <w:r w:rsidRPr="00932530">
        <w:rPr>
          <w:rFonts w:ascii="Times New Roman" w:hAnsi="Times New Roman" w:cs="Times New Roman"/>
          <w:i/>
        </w:rPr>
        <w:t>in vitro</w:t>
      </w:r>
      <w:r>
        <w:rPr>
          <w:rFonts w:ascii="Times New Roman" w:hAnsi="Times New Roman" w:cs="Times New Roman"/>
        </w:rPr>
        <w:t xml:space="preserve"> culture</w:t>
      </w:r>
      <w:r w:rsidRPr="00932530">
        <w:rPr>
          <w:rFonts w:ascii="Times New Roman" w:hAnsi="Times New Roman" w:cs="Times New Roman"/>
        </w:rPr>
        <w:t xml:space="preserve">. While the majority of the library maintained neutral representation throughout the experiment, we observed a fraction of </w:t>
      </w:r>
      <w:r w:rsidRPr="00932530">
        <w:rPr>
          <w:rFonts w:ascii="Times New Roman" w:hAnsi="Times New Roman" w:cs="Times New Roman"/>
        </w:rPr>
        <w:lastRenderedPageBreak/>
        <w:t xml:space="preserve">sgRNAs that </w:t>
      </w:r>
      <w:r>
        <w:rPr>
          <w:rFonts w:ascii="Times New Roman" w:hAnsi="Times New Roman" w:cs="Times New Roman"/>
        </w:rPr>
        <w:t>were depleted, mainly among the</w:t>
      </w:r>
      <w:r w:rsidRPr="00932530">
        <w:rPr>
          <w:rFonts w:ascii="Times New Roman" w:hAnsi="Times New Roman" w:cs="Times New Roman"/>
        </w:rPr>
        <w:t xml:space="preserve"> </w:t>
      </w:r>
      <w:r>
        <w:rPr>
          <w:rFonts w:ascii="Times New Roman" w:hAnsi="Times New Roman" w:cs="Times New Roman"/>
        </w:rPr>
        <w:t>h+62 sgRNAs (Extended Data Fig 2i</w:t>
      </w:r>
      <w:r w:rsidRPr="00932530">
        <w:rPr>
          <w:rFonts w:ascii="Times New Roman" w:hAnsi="Times New Roman" w:cs="Times New Roman"/>
        </w:rPr>
        <w:t xml:space="preserve">). We observed that these dropout sgRNAs </w:t>
      </w:r>
      <w:r>
        <w:rPr>
          <w:rFonts w:ascii="Times New Roman" w:hAnsi="Times New Roman" w:cs="Times New Roman"/>
        </w:rPr>
        <w:t>overlapped with</w:t>
      </w:r>
      <w:r w:rsidRPr="00932530">
        <w:rPr>
          <w:rFonts w:ascii="Times New Roman" w:hAnsi="Times New Roman" w:cs="Times New Roman"/>
        </w:rPr>
        <w:t xml:space="preserve"> repetitive elements within the genome</w:t>
      </w:r>
      <w:r>
        <w:rPr>
          <w:rFonts w:ascii="Times New Roman" w:hAnsi="Times New Roman" w:cs="Times New Roman"/>
        </w:rPr>
        <w:t>, in particular to a</w:t>
      </w:r>
      <w:r w:rsidRPr="00932530">
        <w:rPr>
          <w:rFonts w:ascii="Times New Roman" w:hAnsi="Times New Roman" w:cs="Times New Roman"/>
        </w:rPr>
        <w:t xml:space="preserve"> SINE AluSq element that appears in the genome nearly 100,000 times</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"10.1186/1745-6150-6-2", "ISBN" : "1745-6150", "ISSN" : "1745-6150", "PMID" : "21208455", "abstract" : "The p53 tumor suppressor protein is involved in a complicated regulatory network, mediating expression of ~1000 human genes. Recent studies have shown that many p53 in vivo binding sites (BSs) reside in transposable repeats. The relationship between these BSs and functional p53 response elements (REs) remains unknown, however. We sought to understand whether the p53 REs also reside in transposable elements and particularly in the most-abundant Alu repeats.", "author" : [ { "dropping-particle" : "", "family" : "Cui", "given" : "Feng", "non-dropping-particle" : "", "parse-names" : false, "suffix" : "" }, { "dropping-particle" : "V", "family" : "Sirotin", "given" : "Michael", "non-dropping-particle" : "", "parse-names" : false, "suffix" : "" }, { "dropping-particle" : "", "family" : "Zhurkin", "given" : "Victor B", "non-dropping-particle" : "", "parse-names" : false, "suffix" : "" } ], "container-title" : "Biology direct", "id" : "ITEM-1", "issue" : "1", "issued" : { "date-parts" : [ [ "2011" ] ] }, "page" : "2", "publisher" : "BioMed Central Ltd", "title" : "Impact of Alu repeats on the evolution of human p53 binding sites.", "type" : "article-journal", "volume" : "6" }, "uris" : [ "http://www.mendeley.com/documents/?uuid=0a439470-52f3-4fc9-a1f0-f57f01aa31cb" ] } ], "mendeley" : { "formattedCitation" : "&lt;sup&gt;64&lt;/sup&gt;", "plainTextFormattedCitation" : "64", "previouslyFormattedCitation" : "&lt;sup&gt;64&lt;/sup&gt;" }, "properties" : { "noteIndex" : 0 }, "schema" : "https://github.com/citation-style-language/schema/raw/master/csl-citation.json" }</w:instrText>
      </w:r>
      <w:r w:rsidRPr="00932530">
        <w:rPr>
          <w:rFonts w:ascii="Times New Roman" w:hAnsi="Times New Roman" w:cs="Times New Roman"/>
        </w:rPr>
        <w:fldChar w:fldCharType="separate"/>
      </w:r>
      <w:r w:rsidRPr="00001483">
        <w:rPr>
          <w:rFonts w:ascii="Times New Roman" w:hAnsi="Times New Roman" w:cs="Times New Roman"/>
          <w:noProof/>
          <w:vertAlign w:val="superscript"/>
        </w:rPr>
        <w:t>64</w:t>
      </w:r>
      <w:r w:rsidRPr="00932530">
        <w:rPr>
          <w:rFonts w:ascii="Times New Roman" w:hAnsi="Times New Roman" w:cs="Times New Roman"/>
        </w:rPr>
        <w:fldChar w:fldCharType="end"/>
      </w:r>
      <w:r w:rsidRPr="00932530">
        <w:rPr>
          <w:rFonts w:ascii="Times New Roman" w:hAnsi="Times New Roman" w:cs="Times New Roman"/>
        </w:rPr>
        <w:t xml:space="preserve"> (</w:t>
      </w:r>
      <w:r>
        <w:rPr>
          <w:rFonts w:ascii="Times New Roman" w:hAnsi="Times New Roman" w:cs="Times New Roman"/>
        </w:rPr>
        <w:t>Extended Data Fig. 2k</w:t>
      </w:r>
      <w:r w:rsidRPr="00932530">
        <w:rPr>
          <w:rFonts w:ascii="Times New Roman" w:hAnsi="Times New Roman" w:cs="Times New Roman"/>
        </w:rPr>
        <w:t xml:space="preserve">). Initial design of sgRNAs did not include prediction of off-target cleavage to maximize the resolution of target mutagenesis. We removed from subsequent analysis </w:t>
      </w:r>
      <w:r>
        <w:rPr>
          <w:rFonts w:ascii="Times New Roman" w:hAnsi="Times New Roman" w:cs="Times New Roman"/>
        </w:rPr>
        <w:t xml:space="preserve">the </w:t>
      </w:r>
      <w:r w:rsidRPr="00932530">
        <w:rPr>
          <w:rFonts w:ascii="Times New Roman" w:hAnsi="Times New Roman" w:cs="Times New Roman"/>
        </w:rPr>
        <w:t xml:space="preserve">35 of 582 (6.0%) </w:t>
      </w:r>
      <w:r w:rsidRPr="006A1AD1">
        <w:rPr>
          <w:rFonts w:ascii="Times New Roman" w:hAnsi="Times New Roman" w:cs="Times New Roman"/>
        </w:rPr>
        <w:t>NGG PAM</w:t>
      </w:r>
      <w:r w:rsidRPr="00932530">
        <w:rPr>
          <w:rFonts w:ascii="Times New Roman" w:hAnsi="Times New Roman" w:cs="Times New Roman"/>
        </w:rPr>
        <w:t xml:space="preserve"> sgRNAs with </w:t>
      </w:r>
      <w:r>
        <w:rPr>
          <w:rFonts w:ascii="Times New Roman" w:hAnsi="Times New Roman" w:cs="Times New Roman"/>
        </w:rPr>
        <w:t xml:space="preserve">cellular dropout from the plasmid pool greater than 8-fold, </w:t>
      </w:r>
      <w:r w:rsidRPr="00932530">
        <w:rPr>
          <w:rFonts w:ascii="Times New Roman" w:hAnsi="Times New Roman" w:cs="Times New Roman"/>
        </w:rPr>
        <w:t xml:space="preserve">since these </w:t>
      </w:r>
      <w:r>
        <w:rPr>
          <w:rFonts w:ascii="Times New Roman" w:hAnsi="Times New Roman" w:cs="Times New Roman"/>
        </w:rPr>
        <w:t xml:space="preserve">dropouts </w:t>
      </w:r>
      <w:r w:rsidRPr="00932530">
        <w:rPr>
          <w:rFonts w:ascii="Times New Roman" w:hAnsi="Times New Roman" w:cs="Times New Roman"/>
        </w:rPr>
        <w:t xml:space="preserve">indicated </w:t>
      </w:r>
      <w:r>
        <w:rPr>
          <w:rFonts w:ascii="Times New Roman" w:hAnsi="Times New Roman" w:cs="Times New Roman"/>
        </w:rPr>
        <w:t>apparent</w:t>
      </w:r>
      <w:r w:rsidRPr="00932530">
        <w:rPr>
          <w:rFonts w:ascii="Times New Roman" w:hAnsi="Times New Roman" w:cs="Times New Roman"/>
        </w:rPr>
        <w:t xml:space="preserve"> </w:t>
      </w:r>
      <w:r w:rsidRPr="00932530">
        <w:rPr>
          <w:rFonts w:ascii="Times New Roman" w:hAnsi="Times New Roman" w:cs="Times New Roman"/>
          <w:i/>
        </w:rPr>
        <w:t>BCL11A</w:t>
      </w:r>
      <w:r w:rsidRPr="00932530">
        <w:rPr>
          <w:rFonts w:ascii="Times New Roman" w:hAnsi="Times New Roman" w:cs="Times New Roman"/>
        </w:rPr>
        <w:t xml:space="preserve">-independent effects </w:t>
      </w:r>
      <w:r>
        <w:rPr>
          <w:rFonts w:ascii="Times New Roman" w:hAnsi="Times New Roman" w:cs="Times New Roman"/>
        </w:rPr>
        <w:t>of genomic disruption (Extended Data Fig. 2i, k</w:t>
      </w:r>
      <w:r w:rsidRPr="00932530">
        <w:rPr>
          <w:rFonts w:ascii="Times New Roman" w:hAnsi="Times New Roman" w:cs="Times New Roman"/>
        </w:rPr>
        <w:t xml:space="preserve">). </w:t>
      </w:r>
    </w:p>
    <w:p w14:paraId="587A5419"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The majority of enhancer targeting sgRNAs showed no significant enrichment</w:t>
      </w:r>
      <w:r>
        <w:rPr>
          <w:rFonts w:ascii="Times New Roman" w:hAnsi="Times New Roman" w:cs="Times New Roman"/>
        </w:rPr>
        <w:t xml:space="preserve"> or depletion from</w:t>
      </w:r>
      <w:r w:rsidRPr="00932530">
        <w:rPr>
          <w:rFonts w:ascii="Times New Roman" w:hAnsi="Times New Roman" w:cs="Times New Roman"/>
        </w:rPr>
        <w:t xml:space="preserve"> the HbF-high pool (</w:t>
      </w:r>
      <w:r>
        <w:rPr>
          <w:rFonts w:ascii="Times New Roman" w:hAnsi="Times New Roman" w:cs="Times New Roman"/>
        </w:rPr>
        <w:t>Extended Data Fig. 2j</w:t>
      </w:r>
      <w:r w:rsidRPr="00932530">
        <w:rPr>
          <w:rFonts w:ascii="Times New Roman" w:hAnsi="Times New Roman" w:cs="Times New Roman"/>
        </w:rPr>
        <w:t>). We observed a number of sgRNAs with HbF enrichment at each of the DHSs as well as some with HbF</w:t>
      </w:r>
      <w:r>
        <w:rPr>
          <w:rFonts w:ascii="Times New Roman" w:hAnsi="Times New Roman" w:cs="Times New Roman"/>
        </w:rPr>
        <w:t xml:space="preserve"> depletion at h</w:t>
      </w:r>
      <w:r w:rsidRPr="00932530">
        <w:rPr>
          <w:rFonts w:ascii="Times New Roman" w:hAnsi="Times New Roman" w:cs="Times New Roman"/>
        </w:rPr>
        <w:t>+55 (</w:t>
      </w:r>
      <w:r>
        <w:rPr>
          <w:rFonts w:ascii="Times New Roman" w:hAnsi="Times New Roman" w:cs="Times New Roman"/>
        </w:rPr>
        <w:t xml:space="preserve">Extended Data </w:t>
      </w:r>
      <w:r w:rsidRPr="00932530">
        <w:rPr>
          <w:rFonts w:ascii="Times New Roman" w:hAnsi="Times New Roman" w:cs="Times New Roman"/>
        </w:rPr>
        <w:t>Fig. 2</w:t>
      </w:r>
      <w:r>
        <w:rPr>
          <w:rFonts w:ascii="Times New Roman" w:hAnsi="Times New Roman" w:cs="Times New Roman"/>
        </w:rPr>
        <w:t>j</w:t>
      </w:r>
      <w:r w:rsidRPr="00932530">
        <w:rPr>
          <w:rFonts w:ascii="Times New Roman" w:hAnsi="Times New Roman" w:cs="Times New Roman"/>
        </w:rPr>
        <w:t>).</w:t>
      </w:r>
      <w:r>
        <w:rPr>
          <w:rFonts w:ascii="Times New Roman" w:hAnsi="Times New Roman" w:cs="Times New Roman"/>
        </w:rPr>
        <w:t xml:space="preserve"> We observed discrete sets of </w:t>
      </w:r>
      <w:proofErr w:type="spellStart"/>
      <w:r>
        <w:rPr>
          <w:rFonts w:ascii="Times New Roman" w:hAnsi="Times New Roman" w:cs="Times New Roman"/>
        </w:rPr>
        <w:t>colocalizing</w:t>
      </w:r>
      <w:proofErr w:type="spellEnd"/>
      <w:r>
        <w:rPr>
          <w:rFonts w:ascii="Times New Roman" w:hAnsi="Times New Roman" w:cs="Times New Roman"/>
        </w:rPr>
        <w:t xml:space="preserve"> </w:t>
      </w:r>
      <w:proofErr w:type="spellStart"/>
      <w:r>
        <w:rPr>
          <w:rFonts w:ascii="Times New Roman" w:hAnsi="Times New Roman" w:cs="Times New Roman"/>
        </w:rPr>
        <w:t>sgRNAs</w:t>
      </w:r>
      <w:proofErr w:type="spellEnd"/>
      <w:r>
        <w:rPr>
          <w:rFonts w:ascii="Times New Roman" w:hAnsi="Times New Roman" w:cs="Times New Roman"/>
        </w:rPr>
        <w:t xml:space="preserve"> with elevated HbF enrichment, with a particularly robust cluster at h+58 (Fig. 2a). </w:t>
      </w:r>
      <w:r w:rsidRPr="00760165">
        <w:rPr>
          <w:rFonts w:ascii="Times New Roman" w:hAnsi="Times New Roman" w:cs="Times New Roman"/>
        </w:rPr>
        <w:t xml:space="preserve">Our screen data appear consistent with the effects of </w:t>
      </w:r>
      <w:proofErr w:type="spellStart"/>
      <w:r>
        <w:rPr>
          <w:rFonts w:ascii="Times New Roman" w:hAnsi="Times New Roman" w:cs="Times New Roman"/>
        </w:rPr>
        <w:t>indels</w:t>
      </w:r>
      <w:proofErr w:type="spellEnd"/>
      <w:r>
        <w:rPr>
          <w:rFonts w:ascii="Times New Roman" w:hAnsi="Times New Roman" w:cs="Times New Roman"/>
        </w:rPr>
        <w:t xml:space="preserve"> as produced by </w:t>
      </w:r>
      <w:r w:rsidRPr="00760165">
        <w:rPr>
          <w:rFonts w:ascii="Times New Roman" w:hAnsi="Times New Roman" w:cs="Times New Roman"/>
        </w:rPr>
        <w:t xml:space="preserve">individual </w:t>
      </w:r>
      <w:r>
        <w:rPr>
          <w:rFonts w:ascii="Times New Roman" w:hAnsi="Times New Roman" w:cs="Times New Roman"/>
        </w:rPr>
        <w:t>sgRNAs</w:t>
      </w:r>
      <w:r w:rsidRPr="00760165">
        <w:rPr>
          <w:rFonts w:ascii="Times New Roman" w:hAnsi="Times New Roman" w:cs="Times New Roman"/>
        </w:rPr>
        <w:t xml:space="preserve"> rather than combinations of </w:t>
      </w:r>
      <w:r>
        <w:rPr>
          <w:rFonts w:ascii="Times New Roman" w:hAnsi="Times New Roman" w:cs="Times New Roman"/>
        </w:rPr>
        <w:t>sgRNAs</w:t>
      </w:r>
      <w:r w:rsidRPr="00760165">
        <w:rPr>
          <w:rFonts w:ascii="Times New Roman" w:hAnsi="Times New Roman" w:cs="Times New Roman"/>
        </w:rPr>
        <w:t xml:space="preserve"> for several reasons: (1) negative control </w:t>
      </w:r>
      <w:r>
        <w:rPr>
          <w:rFonts w:ascii="Times New Roman" w:hAnsi="Times New Roman" w:cs="Times New Roman"/>
        </w:rPr>
        <w:t>sgRNAs</w:t>
      </w:r>
      <w:r w:rsidRPr="00760165">
        <w:rPr>
          <w:rFonts w:ascii="Times New Roman" w:hAnsi="Times New Roman" w:cs="Times New Roman"/>
        </w:rPr>
        <w:t xml:space="preserve"> did not show evidence of impact on BCL11A expression, arguing against the occurrence of preva</w:t>
      </w:r>
      <w:r>
        <w:rPr>
          <w:rFonts w:ascii="Times New Roman" w:hAnsi="Times New Roman" w:cs="Times New Roman"/>
        </w:rPr>
        <w:t>lent passenger effects (Fig. 2a</w:t>
      </w:r>
      <w:r w:rsidRPr="00760165">
        <w:rPr>
          <w:rFonts w:ascii="Times New Roman" w:hAnsi="Times New Roman" w:cs="Times New Roman"/>
        </w:rPr>
        <w:t xml:space="preserve">); (2) positive control </w:t>
      </w:r>
      <w:r>
        <w:rPr>
          <w:rFonts w:ascii="Times New Roman" w:hAnsi="Times New Roman" w:cs="Times New Roman"/>
        </w:rPr>
        <w:t>sgRNAs</w:t>
      </w:r>
      <w:r w:rsidRPr="00760165">
        <w:rPr>
          <w:rFonts w:ascii="Times New Roman" w:hAnsi="Times New Roman" w:cs="Times New Roman"/>
        </w:rPr>
        <w:t xml:space="preserve"> targeting BCL11A coding sequences (in which the expected outcome of individual </w:t>
      </w:r>
      <w:proofErr w:type="spellStart"/>
      <w:r>
        <w:rPr>
          <w:rFonts w:ascii="Times New Roman" w:hAnsi="Times New Roman" w:cs="Times New Roman"/>
        </w:rPr>
        <w:t>sgRNAs</w:t>
      </w:r>
      <w:proofErr w:type="spellEnd"/>
      <w:r w:rsidRPr="00760165">
        <w:rPr>
          <w:rFonts w:ascii="Times New Roman" w:hAnsi="Times New Roman" w:cs="Times New Roman"/>
        </w:rPr>
        <w:t xml:space="preserve"> would be </w:t>
      </w:r>
      <w:proofErr w:type="spellStart"/>
      <w:r w:rsidRPr="00760165">
        <w:rPr>
          <w:rFonts w:ascii="Times New Roman" w:hAnsi="Times New Roman" w:cs="Times New Roman"/>
        </w:rPr>
        <w:t>frameshifted</w:t>
      </w:r>
      <w:proofErr w:type="spellEnd"/>
      <w:r w:rsidRPr="00760165">
        <w:rPr>
          <w:rFonts w:ascii="Times New Roman" w:hAnsi="Times New Roman" w:cs="Times New Roman"/>
        </w:rPr>
        <w:t xml:space="preserve"> null alleles) show that the great majority produce the expected effe</w:t>
      </w:r>
      <w:r>
        <w:rPr>
          <w:rFonts w:ascii="Times New Roman" w:hAnsi="Times New Roman" w:cs="Times New Roman"/>
        </w:rPr>
        <w:t>ct of HbF derepression (Fig. 2a</w:t>
      </w:r>
      <w:r w:rsidRPr="00760165">
        <w:rPr>
          <w:rFonts w:ascii="Times New Roman" w:hAnsi="Times New Roman" w:cs="Times New Roman"/>
        </w:rPr>
        <w:t xml:space="preserve">); (3) the enhancer targeting </w:t>
      </w:r>
      <w:r>
        <w:rPr>
          <w:rFonts w:ascii="Times New Roman" w:hAnsi="Times New Roman" w:cs="Times New Roman"/>
        </w:rPr>
        <w:t>sgRNAs</w:t>
      </w:r>
      <w:r w:rsidRPr="00760165">
        <w:rPr>
          <w:rFonts w:ascii="Times New Roman" w:hAnsi="Times New Roman" w:cs="Times New Roman"/>
        </w:rPr>
        <w:t xml:space="preserve"> largely follow a null distribution of effect sizes with the exception of a few outliers suggesting most of the enhancer targeting </w:t>
      </w:r>
      <w:r>
        <w:rPr>
          <w:rFonts w:ascii="Times New Roman" w:hAnsi="Times New Roman" w:cs="Times New Roman"/>
        </w:rPr>
        <w:t>sgRNAs</w:t>
      </w:r>
      <w:r w:rsidRPr="00760165">
        <w:rPr>
          <w:rFonts w:ascii="Times New Roman" w:hAnsi="Times New Roman" w:cs="Times New Roman"/>
        </w:rPr>
        <w:t xml:space="preserve"> had no impact on BCL11A expression again arguing against prevalent passenger effects (Extended Data 2</w:t>
      </w:r>
      <w:r>
        <w:rPr>
          <w:rFonts w:ascii="Times New Roman" w:hAnsi="Times New Roman" w:cs="Times New Roman"/>
        </w:rPr>
        <w:t>j</w:t>
      </w:r>
      <w:r w:rsidRPr="00760165">
        <w:rPr>
          <w:rFonts w:ascii="Times New Roman" w:hAnsi="Times New Roman" w:cs="Times New Roman"/>
        </w:rPr>
        <w:t xml:space="preserve">, 7b); and (4) the enhancer targeting outliers with positive enrichment map to </w:t>
      </w:r>
      <w:proofErr w:type="spellStart"/>
      <w:r w:rsidRPr="00760165">
        <w:rPr>
          <w:rFonts w:ascii="Times New Roman" w:hAnsi="Times New Roman" w:cs="Times New Roman"/>
        </w:rPr>
        <w:t>colocalizing</w:t>
      </w:r>
      <w:proofErr w:type="spellEnd"/>
      <w:r w:rsidRPr="00760165">
        <w:rPr>
          <w:rFonts w:ascii="Times New Roman" w:hAnsi="Times New Roman" w:cs="Times New Roman"/>
        </w:rPr>
        <w:t xml:space="preserve"> discrete genomic sequences (Fig. 2a, 3, 5a) which would </w:t>
      </w:r>
      <w:r w:rsidRPr="00760165">
        <w:rPr>
          <w:rFonts w:ascii="Times New Roman" w:hAnsi="Times New Roman" w:cs="Times New Roman"/>
        </w:rPr>
        <w:lastRenderedPageBreak/>
        <w:t xml:space="preserve">appear unlikely if the impact on BCL11A expression were due to multifocal </w:t>
      </w:r>
      <w:proofErr w:type="spellStart"/>
      <w:r w:rsidRPr="00760165">
        <w:rPr>
          <w:rFonts w:ascii="Times New Roman" w:hAnsi="Times New Roman" w:cs="Times New Roman"/>
        </w:rPr>
        <w:t>indels</w:t>
      </w:r>
      <w:proofErr w:type="spellEnd"/>
      <w:r w:rsidRPr="00760165">
        <w:rPr>
          <w:rFonts w:ascii="Times New Roman" w:hAnsi="Times New Roman" w:cs="Times New Roman"/>
        </w:rPr>
        <w:t xml:space="preserve">, large deletions, inversions, rearrangements, or translocations (the expected outcomes of more than one genomic cleavage) but likely if the impact were due to individual </w:t>
      </w:r>
      <w:proofErr w:type="spellStart"/>
      <w:r w:rsidRPr="00760165">
        <w:rPr>
          <w:rFonts w:ascii="Times New Roman" w:hAnsi="Times New Roman" w:cs="Times New Roman"/>
        </w:rPr>
        <w:t>indels</w:t>
      </w:r>
      <w:proofErr w:type="spellEnd"/>
      <w:r w:rsidRPr="00760165">
        <w:rPr>
          <w:rFonts w:ascii="Times New Roman" w:hAnsi="Times New Roman" w:cs="Times New Roman"/>
        </w:rPr>
        <w:t xml:space="preserve"> (the expected outcomes of single genomic cleavages).</w:t>
      </w:r>
      <w:r>
        <w:rPr>
          <w:rFonts w:ascii="Times New Roman" w:hAnsi="Times New Roman" w:cs="Times New Roman"/>
        </w:rPr>
        <w:t xml:space="preserve"> </w:t>
      </w:r>
    </w:p>
    <w:p w14:paraId="67F933EC"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t>A limitation of our</w:t>
      </w:r>
      <w:r w:rsidRPr="00680B90">
        <w:rPr>
          <w:rFonts w:ascii="Times New Roman" w:hAnsi="Times New Roman" w:cs="Times New Roman"/>
        </w:rPr>
        <w:t xml:space="preserve"> </w:t>
      </w:r>
      <w:r>
        <w:rPr>
          <w:rFonts w:ascii="Times New Roman" w:hAnsi="Times New Roman" w:cs="Times New Roman"/>
        </w:rPr>
        <w:t xml:space="preserve">primary </w:t>
      </w:r>
      <w:r w:rsidRPr="00680B90">
        <w:rPr>
          <w:rFonts w:ascii="Times New Roman" w:hAnsi="Times New Roman" w:cs="Times New Roman"/>
        </w:rPr>
        <w:t xml:space="preserve">pooled screen approach is that </w:t>
      </w:r>
      <w:r>
        <w:rPr>
          <w:rFonts w:ascii="Times New Roman" w:hAnsi="Times New Roman" w:cs="Times New Roman"/>
        </w:rPr>
        <w:t>the</w:t>
      </w:r>
      <w:r w:rsidRPr="00680B90">
        <w:rPr>
          <w:rFonts w:ascii="Times New Roman" w:hAnsi="Times New Roman" w:cs="Times New Roman"/>
        </w:rPr>
        <w:t xml:space="preserve"> measurements of the </w:t>
      </w:r>
      <w:r>
        <w:rPr>
          <w:rFonts w:ascii="Times New Roman" w:hAnsi="Times New Roman" w:cs="Times New Roman"/>
        </w:rPr>
        <w:t>enrichment</w:t>
      </w:r>
      <w:r w:rsidRPr="00680B90">
        <w:rPr>
          <w:rFonts w:ascii="Times New Roman" w:hAnsi="Times New Roman" w:cs="Times New Roman"/>
        </w:rPr>
        <w:t xml:space="preserve"> of </w:t>
      </w:r>
      <w:r>
        <w:rPr>
          <w:rFonts w:ascii="Times New Roman" w:hAnsi="Times New Roman" w:cs="Times New Roman"/>
        </w:rPr>
        <w:t>sgRNAs</w:t>
      </w:r>
      <w:r w:rsidRPr="00680B90">
        <w:rPr>
          <w:rFonts w:ascii="Times New Roman" w:hAnsi="Times New Roman" w:cs="Times New Roman"/>
        </w:rPr>
        <w:t xml:space="preserve"> come from a pooled population of cells</w:t>
      </w:r>
      <w:r>
        <w:rPr>
          <w:rFonts w:ascii="Times New Roman" w:hAnsi="Times New Roman" w:cs="Times New Roman"/>
        </w:rPr>
        <w:t xml:space="preserve"> that were transduced by the entire library. Therefore we endeavored to prospectively validate the results of individual sgRNAs as identified by the screen. </w:t>
      </w:r>
      <w:r w:rsidRPr="00932530">
        <w:rPr>
          <w:rFonts w:ascii="Times New Roman" w:hAnsi="Times New Roman" w:cs="Times New Roman"/>
        </w:rPr>
        <w:t>We observed a strong correlation between the HbF enrichment score from the screen and the fraction of HbF</w:t>
      </w:r>
      <w:r w:rsidRPr="00932530">
        <w:rPr>
          <w:rFonts w:ascii="Times New Roman" w:hAnsi="Times New Roman" w:cs="Times New Roman"/>
          <w:vertAlign w:val="superscript"/>
        </w:rPr>
        <w:t>+</w:t>
      </w:r>
      <w:r>
        <w:rPr>
          <w:rFonts w:ascii="Times New Roman" w:hAnsi="Times New Roman" w:cs="Times New Roman"/>
        </w:rPr>
        <w:t xml:space="preserve"> cells in arrayed format, testing</w:t>
      </w:r>
      <w:r w:rsidRPr="00932530">
        <w:rPr>
          <w:rFonts w:ascii="Times New Roman" w:hAnsi="Times New Roman" w:cs="Times New Roman"/>
        </w:rPr>
        <w:t xml:space="preserve"> 24 sgRNAs with enrichment scores ranging from the highest to the lowest in</w:t>
      </w:r>
      <w:r>
        <w:rPr>
          <w:rFonts w:ascii="Times New Roman" w:hAnsi="Times New Roman" w:cs="Times New Roman"/>
        </w:rPr>
        <w:t xml:space="preserve"> the</w:t>
      </w:r>
      <w:r w:rsidRPr="00932530">
        <w:rPr>
          <w:rFonts w:ascii="Times New Roman" w:hAnsi="Times New Roman" w:cs="Times New Roman"/>
        </w:rPr>
        <w:t xml:space="preserve"> screen, and representing sgRNAs from all 5 mapping categories</w:t>
      </w:r>
      <w:r>
        <w:rPr>
          <w:rFonts w:ascii="Times New Roman" w:hAnsi="Times New Roman" w:cs="Times New Roman"/>
        </w:rPr>
        <w:t xml:space="preserve"> </w:t>
      </w:r>
      <w:r w:rsidRPr="00932530">
        <w:rPr>
          <w:rFonts w:ascii="Times New Roman" w:hAnsi="Times New Roman" w:cs="Times New Roman"/>
        </w:rPr>
        <w:t>(</w:t>
      </w:r>
      <w:r w:rsidRPr="00932530">
        <w:rPr>
          <w:rFonts w:ascii="Times New Roman" w:hAnsi="Times New Roman" w:cs="Times New Roman"/>
          <w:i/>
        </w:rPr>
        <w:t>r</w:t>
      </w:r>
      <w:r w:rsidRPr="00932530">
        <w:rPr>
          <w:rFonts w:ascii="Times New Roman" w:hAnsi="Times New Roman" w:cs="Times New Roman"/>
        </w:rPr>
        <w:t xml:space="preserve"> = 0.816, </w:t>
      </w:r>
      <w:r w:rsidRPr="00932530">
        <w:rPr>
          <w:rFonts w:ascii="Times New Roman" w:hAnsi="Times New Roman" w:cs="Times New Roman"/>
          <w:i/>
        </w:rPr>
        <w:t>p</w:t>
      </w:r>
      <w:r w:rsidRPr="00932530">
        <w:rPr>
          <w:rFonts w:ascii="Times New Roman" w:hAnsi="Times New Roman" w:cs="Times New Roman"/>
        </w:rPr>
        <w:t xml:space="preserve"> &lt; 0.0001</w:t>
      </w:r>
      <w:r>
        <w:rPr>
          <w:rFonts w:ascii="Times New Roman" w:hAnsi="Times New Roman" w:cs="Times New Roman"/>
        </w:rPr>
        <w:t xml:space="preserve">; Extended Data Fig. 3a, b). These results demonstrate </w:t>
      </w:r>
      <w:r w:rsidRPr="00932530">
        <w:rPr>
          <w:rFonts w:ascii="Times New Roman" w:hAnsi="Times New Roman" w:cs="Times New Roman"/>
        </w:rPr>
        <w:t xml:space="preserve">that </w:t>
      </w:r>
      <w:r>
        <w:rPr>
          <w:rFonts w:ascii="Times New Roman" w:hAnsi="Times New Roman" w:cs="Times New Roman"/>
        </w:rPr>
        <w:t xml:space="preserve">a </w:t>
      </w:r>
      <w:r w:rsidRPr="00932530">
        <w:rPr>
          <w:rFonts w:ascii="Times New Roman" w:hAnsi="Times New Roman" w:cs="Times New Roman"/>
        </w:rPr>
        <w:t xml:space="preserve">single enhancer-targeting sgRNA </w:t>
      </w:r>
      <w:r>
        <w:rPr>
          <w:rFonts w:ascii="Times New Roman" w:hAnsi="Times New Roman" w:cs="Times New Roman"/>
        </w:rPr>
        <w:t>may</w:t>
      </w:r>
      <w:r w:rsidRPr="00932530">
        <w:rPr>
          <w:rFonts w:ascii="Times New Roman" w:hAnsi="Times New Roman" w:cs="Times New Roman"/>
        </w:rPr>
        <w:t xml:space="preserve"> mediate </w:t>
      </w:r>
      <w:r>
        <w:rPr>
          <w:rFonts w:ascii="Times New Roman" w:hAnsi="Times New Roman" w:cs="Times New Roman"/>
        </w:rPr>
        <w:t>robust</w:t>
      </w:r>
      <w:r w:rsidRPr="00932530">
        <w:rPr>
          <w:rFonts w:ascii="Times New Roman" w:hAnsi="Times New Roman" w:cs="Times New Roman"/>
        </w:rPr>
        <w:t xml:space="preserve"> HbF induction.</w:t>
      </w:r>
    </w:p>
    <w:p w14:paraId="5E49D3B4" w14:textId="77777777" w:rsidR="003C19D1" w:rsidRDefault="003C19D1" w:rsidP="003C19D1">
      <w:pPr>
        <w:spacing w:line="480" w:lineRule="auto"/>
        <w:rPr>
          <w:rFonts w:ascii="Times New Roman" w:hAnsi="Times New Roman" w:cs="Times New Roman"/>
          <w:b/>
        </w:rPr>
      </w:pPr>
    </w:p>
    <w:p w14:paraId="514B7A9B" w14:textId="77777777" w:rsidR="003C19D1" w:rsidRDefault="003C19D1" w:rsidP="003C19D1">
      <w:pPr>
        <w:spacing w:line="480" w:lineRule="auto"/>
        <w:rPr>
          <w:rFonts w:ascii="Times New Roman" w:hAnsi="Times New Roman" w:cs="Times New Roman"/>
        </w:rPr>
      </w:pPr>
      <w:r w:rsidRPr="00B546F8">
        <w:rPr>
          <w:rFonts w:ascii="Times New Roman" w:hAnsi="Times New Roman" w:cs="Times New Roman"/>
          <w:b/>
        </w:rPr>
        <w:t xml:space="preserve">Common </w:t>
      </w:r>
      <w:r>
        <w:rPr>
          <w:rFonts w:ascii="Times New Roman" w:hAnsi="Times New Roman" w:cs="Times New Roman"/>
          <w:b/>
        </w:rPr>
        <w:t>genetic variation</w:t>
      </w:r>
      <w:r w:rsidRPr="00B546F8">
        <w:rPr>
          <w:rFonts w:ascii="Times New Roman" w:hAnsi="Times New Roman" w:cs="Times New Roman"/>
          <w:b/>
        </w:rPr>
        <w:t xml:space="preserve"> in </w:t>
      </w:r>
      <w:r>
        <w:rPr>
          <w:rFonts w:ascii="Times New Roman" w:hAnsi="Times New Roman" w:cs="Times New Roman"/>
          <w:b/>
        </w:rPr>
        <w:t>functional enhancer cores</w:t>
      </w:r>
    </w:p>
    <w:p w14:paraId="57AB5A75" w14:textId="77777777" w:rsidR="003C19D1" w:rsidRPr="00932530" w:rsidRDefault="003C19D1" w:rsidP="003C19D1">
      <w:pPr>
        <w:spacing w:line="480" w:lineRule="auto"/>
        <w:rPr>
          <w:rFonts w:ascii="Times New Roman" w:hAnsi="Times New Roman" w:cs="Times New Roman"/>
        </w:rPr>
      </w:pPr>
      <w:r w:rsidRPr="00932530">
        <w:rPr>
          <w:rFonts w:ascii="Times New Roman" w:hAnsi="Times New Roman" w:cs="Times New Roman"/>
        </w:rPr>
        <w:t>The</w:t>
      </w:r>
      <w:r>
        <w:rPr>
          <w:rFonts w:ascii="Times New Roman" w:hAnsi="Times New Roman" w:cs="Times New Roman"/>
        </w:rPr>
        <w:t xml:space="preserve"> h</w:t>
      </w:r>
      <w:r w:rsidRPr="00932530">
        <w:rPr>
          <w:rFonts w:ascii="Times New Roman" w:hAnsi="Times New Roman" w:cs="Times New Roman"/>
        </w:rPr>
        <w:t>+62 Active region contains only one common SNP</w:t>
      </w:r>
      <w:r>
        <w:rPr>
          <w:rFonts w:ascii="Times New Roman" w:hAnsi="Times New Roman" w:cs="Times New Roman"/>
        </w:rPr>
        <w:t xml:space="preserve"> (MAF&gt;1%)</w:t>
      </w:r>
      <w:r w:rsidRPr="00932530">
        <w:rPr>
          <w:rFonts w:ascii="Times New Roman" w:hAnsi="Times New Roman" w:cs="Times New Roman"/>
        </w:rPr>
        <w:t xml:space="preserve">, the variant rs1427407, which was previously identified </w:t>
      </w:r>
      <w:r>
        <w:rPr>
          <w:rFonts w:ascii="Times New Roman" w:hAnsi="Times New Roman" w:cs="Times New Roman"/>
        </w:rPr>
        <w:t xml:space="preserve">by fine-mapping </w:t>
      </w:r>
      <w:r w:rsidRPr="00932530">
        <w:rPr>
          <w:rFonts w:ascii="Times New Roman" w:hAnsi="Times New Roman" w:cs="Times New Roman"/>
        </w:rPr>
        <w:t>as the most highly trait-associated SNP</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Pr>
          <w:rFonts w:ascii="Times New Roman" w:hAnsi="Times New Roman" w:cs="Times New Roman"/>
        </w:rPr>
        <w:fldChar w:fldCharType="separate"/>
      </w:r>
      <w:r w:rsidRPr="008B42B3">
        <w:rPr>
          <w:rFonts w:ascii="Times New Roman" w:hAnsi="Times New Roman" w:cs="Times New Roman"/>
          <w:noProof/>
          <w:vertAlign w:val="superscript"/>
        </w:rPr>
        <w:t>28</w:t>
      </w:r>
      <w:r>
        <w:rPr>
          <w:rFonts w:ascii="Times New Roman" w:hAnsi="Times New Roman" w:cs="Times New Roman"/>
        </w:rPr>
        <w:fldChar w:fldCharType="end"/>
      </w:r>
      <w:r>
        <w:rPr>
          <w:rFonts w:ascii="Times New Roman" w:hAnsi="Times New Roman" w:cs="Times New Roman"/>
        </w:rPr>
        <w:t xml:space="preserve"> (Fig. 3c; Extended Data Fig. 5c)</w:t>
      </w:r>
      <w:r w:rsidRPr="00932530">
        <w:rPr>
          <w:rFonts w:ascii="Times New Roman" w:hAnsi="Times New Roman" w:cs="Times New Roman"/>
        </w:rPr>
        <w:t>. The high-HbF T</w:t>
      </w:r>
      <w:r>
        <w:rPr>
          <w:rFonts w:ascii="Times New Roman" w:hAnsi="Times New Roman" w:cs="Times New Roman"/>
        </w:rPr>
        <w:t>-</w:t>
      </w:r>
      <w:r w:rsidRPr="00932530">
        <w:rPr>
          <w:rFonts w:ascii="Times New Roman" w:hAnsi="Times New Roman" w:cs="Times New Roman"/>
        </w:rPr>
        <w:t>allele is disruptive of a</w:t>
      </w:r>
      <w:r>
        <w:rPr>
          <w:rFonts w:ascii="Times New Roman" w:hAnsi="Times New Roman" w:cs="Times New Roman"/>
        </w:rPr>
        <w:t>n apparent half E-box/</w:t>
      </w:r>
      <w:r w:rsidRPr="00932530">
        <w:rPr>
          <w:rFonts w:ascii="Times New Roman" w:hAnsi="Times New Roman" w:cs="Times New Roman"/>
        </w:rPr>
        <w:t>GATA composite motif</w:t>
      </w:r>
      <w:r>
        <w:rPr>
          <w:rFonts w:ascii="Times New Roman" w:hAnsi="Times New Roman" w:cs="Times New Roman"/>
        </w:rPr>
        <w:t xml:space="preserve"> (</w:t>
      </w:r>
      <w:r>
        <w:rPr>
          <w:rFonts w:ascii="Times New Roman" w:hAnsi="Times New Roman" w:cs="Times New Roman"/>
          <w:i/>
        </w:rPr>
        <w:t>P</w:t>
      </w:r>
      <w:r>
        <w:rPr>
          <w:rFonts w:ascii="Times New Roman" w:hAnsi="Times New Roman" w:cs="Times New Roman"/>
        </w:rPr>
        <w:t xml:space="preserve"> = </w:t>
      </w:r>
      <w:r w:rsidRPr="0008173F">
        <w:rPr>
          <w:rFonts w:ascii="Times New Roman" w:hAnsi="Times New Roman" w:cs="Times New Roman"/>
        </w:rPr>
        <w:t>9</w:t>
      </w:r>
      <w:r>
        <w:rPr>
          <w:rFonts w:ascii="Times New Roman" w:hAnsi="Times New Roman" w:cs="Times New Roman"/>
        </w:rPr>
        <w:t>.</w:t>
      </w:r>
      <w:r w:rsidRPr="0008173F">
        <w:rPr>
          <w:rFonts w:ascii="Times New Roman" w:hAnsi="Times New Roman" w:cs="Times New Roman"/>
        </w:rPr>
        <w:t>74</w:t>
      </w:r>
      <w:r>
        <w:rPr>
          <w:rFonts w:ascii="Times New Roman" w:hAnsi="Times New Roman" w:cs="Times New Roman"/>
        </w:rPr>
        <w:t xml:space="preserve"> x 10</w:t>
      </w:r>
      <w:r w:rsidRPr="00655BF0">
        <w:rPr>
          <w:rFonts w:ascii="Times New Roman" w:hAnsi="Times New Roman" w:cs="Times New Roman"/>
          <w:vertAlign w:val="superscript"/>
        </w:rPr>
        <w:t>-</w:t>
      </w:r>
      <w:r>
        <w:rPr>
          <w:rFonts w:ascii="Times New Roman" w:hAnsi="Times New Roman" w:cs="Times New Roman"/>
          <w:vertAlign w:val="superscript"/>
        </w:rPr>
        <w:t>4</w:t>
      </w:r>
      <w:r>
        <w:rPr>
          <w:rFonts w:ascii="Times New Roman" w:hAnsi="Times New Roman" w:cs="Times New Roman"/>
        </w:rPr>
        <w:t xml:space="preserve"> for T-allele, </w:t>
      </w:r>
      <w:r>
        <w:rPr>
          <w:rFonts w:ascii="Times New Roman" w:hAnsi="Times New Roman" w:cs="Times New Roman"/>
          <w:i/>
        </w:rPr>
        <w:t>P</w:t>
      </w:r>
      <w:r>
        <w:rPr>
          <w:rFonts w:ascii="Times New Roman" w:hAnsi="Times New Roman" w:cs="Times New Roman"/>
        </w:rPr>
        <w:t xml:space="preserve"> = </w:t>
      </w:r>
      <w:r w:rsidRPr="00BA5478">
        <w:rPr>
          <w:rFonts w:ascii="Times New Roman" w:hAnsi="Times New Roman" w:cs="Times New Roman"/>
        </w:rPr>
        <w:t>1</w:t>
      </w:r>
      <w:r>
        <w:rPr>
          <w:rFonts w:ascii="Times New Roman" w:hAnsi="Times New Roman" w:cs="Times New Roman"/>
        </w:rPr>
        <w:t>.</w:t>
      </w:r>
      <w:r w:rsidRPr="00BA5478">
        <w:rPr>
          <w:rFonts w:ascii="Times New Roman" w:hAnsi="Times New Roman" w:cs="Times New Roman"/>
        </w:rPr>
        <w:t>69</w:t>
      </w:r>
      <w:r>
        <w:rPr>
          <w:rFonts w:ascii="Times New Roman" w:hAnsi="Times New Roman" w:cs="Times New Roman"/>
        </w:rPr>
        <w:t xml:space="preserve"> x 10</w:t>
      </w:r>
      <w:r w:rsidRPr="00655BF0">
        <w:rPr>
          <w:rFonts w:ascii="Times New Roman" w:hAnsi="Times New Roman" w:cs="Times New Roman"/>
          <w:vertAlign w:val="superscript"/>
        </w:rPr>
        <w:t>-</w:t>
      </w:r>
      <w:r>
        <w:rPr>
          <w:rFonts w:ascii="Times New Roman" w:hAnsi="Times New Roman" w:cs="Times New Roman"/>
          <w:vertAlign w:val="superscript"/>
        </w:rPr>
        <w:t>4</w:t>
      </w:r>
      <w:r>
        <w:rPr>
          <w:rFonts w:ascii="Times New Roman" w:hAnsi="Times New Roman" w:cs="Times New Roman"/>
        </w:rPr>
        <w:t xml:space="preserve"> for G-allele, though neither met our predefined threshold for significance of </w:t>
      </w:r>
      <w:r>
        <w:rPr>
          <w:rFonts w:ascii="Times New Roman" w:hAnsi="Times New Roman" w:cs="Times New Roman"/>
          <w:i/>
        </w:rPr>
        <w:t>P</w:t>
      </w:r>
      <w:r>
        <w:rPr>
          <w:rFonts w:ascii="Times New Roman" w:hAnsi="Times New Roman" w:cs="Times New Roman"/>
        </w:rPr>
        <w:t xml:space="preserve"> &lt; 10</w:t>
      </w:r>
      <w:r w:rsidRPr="00587E59">
        <w:rPr>
          <w:rFonts w:ascii="Times New Roman" w:hAnsi="Times New Roman" w:cs="Times New Roman"/>
          <w:vertAlign w:val="superscript"/>
        </w:rPr>
        <w:t>-</w:t>
      </w:r>
      <w:r w:rsidRPr="00A22890">
        <w:rPr>
          <w:rFonts w:ascii="Times New Roman" w:hAnsi="Times New Roman" w:cs="Times New Roman"/>
          <w:vertAlign w:val="superscript"/>
        </w:rPr>
        <w:t>4</w:t>
      </w:r>
      <w:r>
        <w:rPr>
          <w:rFonts w:ascii="Times New Roman" w:hAnsi="Times New Roman" w:cs="Times New Roman"/>
        </w:rPr>
        <w:t xml:space="preserve">) and </w:t>
      </w:r>
      <w:r w:rsidRPr="00932530">
        <w:rPr>
          <w:rFonts w:ascii="Times New Roman" w:hAnsi="Times New Roman" w:cs="Times New Roman"/>
        </w:rPr>
        <w:t>associated with reduced GATA1 and TAL1 occupancy in primary human erythroid chromatin</w:t>
      </w:r>
      <w:r>
        <w:rPr>
          <w:rFonts w:ascii="Times New Roman" w:hAnsi="Times New Roman" w:cs="Times New Roman"/>
        </w:rPr>
        <w:t xml:space="preserve"> as previously described</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28</w:t>
      </w:r>
      <w:r w:rsidRPr="00932530">
        <w:rPr>
          <w:rFonts w:ascii="Times New Roman" w:hAnsi="Times New Roman" w:cs="Times New Roman"/>
        </w:rPr>
        <w:fldChar w:fldCharType="end"/>
      </w:r>
      <w:r w:rsidRPr="00932530">
        <w:rPr>
          <w:rFonts w:ascii="Times New Roman" w:hAnsi="Times New Roman" w:cs="Times New Roman"/>
        </w:rPr>
        <w:t xml:space="preserve">. </w:t>
      </w:r>
      <w:r>
        <w:rPr>
          <w:rFonts w:ascii="Times New Roman" w:hAnsi="Times New Roman" w:cs="Times New Roman"/>
        </w:rPr>
        <w:t xml:space="preserve">Multiple </w:t>
      </w:r>
      <w:r w:rsidRPr="00932530">
        <w:rPr>
          <w:rFonts w:ascii="Times New Roman" w:hAnsi="Times New Roman" w:cs="Times New Roman"/>
        </w:rPr>
        <w:t>sgRNAs with cleavages mapping directly to the motif demonstrated positive enrichment scores (</w:t>
      </w:r>
      <w:r>
        <w:rPr>
          <w:rFonts w:ascii="Times New Roman" w:hAnsi="Times New Roman" w:cs="Times New Roman"/>
        </w:rPr>
        <w:t>Extended Data Fig. 5</w:t>
      </w:r>
      <w:r w:rsidRPr="00932530">
        <w:rPr>
          <w:rFonts w:ascii="Times New Roman" w:hAnsi="Times New Roman" w:cs="Times New Roman"/>
        </w:rPr>
        <w:t xml:space="preserve">c). Of note, there was a gap of 88 nucleotides between sgRNA cleavages at the core of the Active region due to </w:t>
      </w:r>
      <w:r>
        <w:rPr>
          <w:rFonts w:ascii="Times New Roman" w:hAnsi="Times New Roman" w:cs="Times New Roman"/>
        </w:rPr>
        <w:t>lack</w:t>
      </w:r>
      <w:r w:rsidRPr="00932530">
        <w:rPr>
          <w:rFonts w:ascii="Times New Roman" w:hAnsi="Times New Roman" w:cs="Times New Roman"/>
        </w:rPr>
        <w:t xml:space="preserve"> of NGG PAM motifs</w:t>
      </w:r>
      <w:r>
        <w:rPr>
          <w:rFonts w:ascii="Times New Roman" w:hAnsi="Times New Roman" w:cs="Times New Roman"/>
        </w:rPr>
        <w:t xml:space="preserve">. Despite this uncommon limitation </w:t>
      </w:r>
      <w:r>
        <w:rPr>
          <w:rFonts w:ascii="Times New Roman" w:hAnsi="Times New Roman" w:cs="Times New Roman"/>
        </w:rPr>
        <w:lastRenderedPageBreak/>
        <w:t>of</w:t>
      </w:r>
      <w:r w:rsidRPr="00932530">
        <w:rPr>
          <w:rFonts w:ascii="Times New Roman" w:hAnsi="Times New Roman" w:cs="Times New Roman"/>
        </w:rPr>
        <w:t xml:space="preserve"> functional resolution</w:t>
      </w:r>
      <w:r>
        <w:rPr>
          <w:rFonts w:ascii="Times New Roman" w:hAnsi="Times New Roman" w:cs="Times New Roman"/>
        </w:rPr>
        <w:t xml:space="preserve"> by SpCas9 and NGG PAM restricted sgRNAs (Fig. 1f), the HMM model was still able to identify the region</w:t>
      </w:r>
      <w:r w:rsidRPr="00932530">
        <w:rPr>
          <w:rFonts w:ascii="Times New Roman" w:hAnsi="Times New Roman" w:cs="Times New Roman"/>
        </w:rPr>
        <w:t xml:space="preserve">. Substantial interspecies conservation as evaluated by both PhyloP and PhastCons </w:t>
      </w:r>
      <w:r>
        <w:rPr>
          <w:rFonts w:ascii="Times New Roman" w:hAnsi="Times New Roman" w:cs="Times New Roman"/>
        </w:rPr>
        <w:t xml:space="preserve">(which model individual nucleotide and </w:t>
      </w:r>
      <w:proofErr w:type="spellStart"/>
      <w:r>
        <w:rPr>
          <w:rFonts w:ascii="Times New Roman" w:hAnsi="Times New Roman" w:cs="Times New Roman"/>
        </w:rPr>
        <w:t>multibase</w:t>
      </w:r>
      <w:proofErr w:type="spellEnd"/>
      <w:r>
        <w:rPr>
          <w:rFonts w:ascii="Times New Roman" w:hAnsi="Times New Roman" w:cs="Times New Roman"/>
        </w:rPr>
        <w:t xml:space="preserve"> element conservation, respectively) </w:t>
      </w:r>
      <w:r w:rsidRPr="00932530">
        <w:rPr>
          <w:rFonts w:ascii="Times New Roman" w:hAnsi="Times New Roman" w:cs="Times New Roman"/>
        </w:rPr>
        <w:t>was observed at th</w:t>
      </w:r>
      <w:r>
        <w:rPr>
          <w:rFonts w:ascii="Times New Roman" w:hAnsi="Times New Roman" w:cs="Times New Roman"/>
        </w:rPr>
        <w:t>is h+</w:t>
      </w:r>
      <w:r w:rsidRPr="00932530">
        <w:rPr>
          <w:rFonts w:ascii="Times New Roman" w:hAnsi="Times New Roman" w:cs="Times New Roman"/>
        </w:rPr>
        <w:t xml:space="preserve">62 Active state </w:t>
      </w:r>
      <w:r>
        <w:rPr>
          <w:rFonts w:ascii="Times New Roman" w:hAnsi="Times New Roman" w:cs="Times New Roman"/>
        </w:rPr>
        <w:t xml:space="preserve">region </w:t>
      </w:r>
      <w:r w:rsidRPr="00932530">
        <w:rPr>
          <w:rFonts w:ascii="Times New Roman" w:hAnsi="Times New Roman" w:cs="Times New Roman"/>
        </w:rPr>
        <w:t>as comp</w:t>
      </w:r>
      <w:r>
        <w:rPr>
          <w:rFonts w:ascii="Times New Roman" w:hAnsi="Times New Roman" w:cs="Times New Roman"/>
        </w:rPr>
        <w:t>ared to flanking regions (Fig. 3</w:t>
      </w:r>
      <w:r w:rsidRPr="00932530">
        <w:rPr>
          <w:rFonts w:ascii="Times New Roman" w:hAnsi="Times New Roman" w:cs="Times New Roman"/>
        </w:rPr>
        <w:t>c</w:t>
      </w:r>
      <w:r>
        <w:rPr>
          <w:rFonts w:ascii="Times New Roman" w:hAnsi="Times New Roman" w:cs="Times New Roman"/>
        </w:rPr>
        <w:t>, Extended Data 5c</w:t>
      </w:r>
      <w:r w:rsidRPr="00932530">
        <w:rPr>
          <w:rFonts w:ascii="Times New Roman" w:hAnsi="Times New Roman" w:cs="Times New Roman"/>
        </w:rPr>
        <w:t>).</w:t>
      </w:r>
    </w:p>
    <w:p w14:paraId="63BA25A6"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 xml:space="preserve">DHS </w:t>
      </w:r>
      <w:r>
        <w:rPr>
          <w:rFonts w:ascii="Times New Roman" w:hAnsi="Times New Roman" w:cs="Times New Roman"/>
        </w:rPr>
        <w:t>h</w:t>
      </w:r>
      <w:r w:rsidRPr="00932530">
        <w:rPr>
          <w:rFonts w:ascii="Times New Roman" w:hAnsi="Times New Roman" w:cs="Times New Roman"/>
        </w:rPr>
        <w:t xml:space="preserve">+55 </w:t>
      </w:r>
      <w:r>
        <w:rPr>
          <w:rFonts w:ascii="Times New Roman" w:hAnsi="Times New Roman" w:cs="Times New Roman"/>
        </w:rPr>
        <w:t>encompasses</w:t>
      </w:r>
      <w:r w:rsidRPr="00932530">
        <w:rPr>
          <w:rFonts w:ascii="Times New Roman" w:hAnsi="Times New Roman" w:cs="Times New Roman"/>
        </w:rPr>
        <w:t xml:space="preserve"> the SNP rs7606173, which along with rs1427407 defines the most highly trait-associated haplotype (</w:t>
      </w:r>
      <w:r>
        <w:rPr>
          <w:rFonts w:ascii="Times New Roman" w:hAnsi="Times New Roman" w:cs="Times New Roman"/>
        </w:rPr>
        <w:t xml:space="preserve">Fig. 3a; Extended Data </w:t>
      </w:r>
      <w:r w:rsidRPr="00932530">
        <w:rPr>
          <w:rFonts w:ascii="Times New Roman" w:hAnsi="Times New Roman" w:cs="Times New Roman"/>
        </w:rPr>
        <w:t>Fig</w:t>
      </w:r>
      <w:r>
        <w:rPr>
          <w:rFonts w:ascii="Times New Roman" w:hAnsi="Times New Roman" w:cs="Times New Roman"/>
        </w:rPr>
        <w:t>. 5</w:t>
      </w:r>
      <w:r w:rsidRPr="00932530">
        <w:rPr>
          <w:rFonts w:ascii="Times New Roman" w:hAnsi="Times New Roman" w:cs="Times New Roman"/>
        </w:rPr>
        <w:t xml:space="preserve">a). Previous fine-mapping </w:t>
      </w:r>
      <w:r>
        <w:rPr>
          <w:rFonts w:ascii="Times New Roman" w:hAnsi="Times New Roman" w:cs="Times New Roman"/>
        </w:rPr>
        <w:t xml:space="preserve">was unable to </w:t>
      </w:r>
      <w:r w:rsidRPr="00932530">
        <w:rPr>
          <w:rFonts w:ascii="Times New Roman" w:hAnsi="Times New Roman" w:cs="Times New Roman"/>
        </w:rPr>
        <w:t xml:space="preserve">find additional SNPs at </w:t>
      </w:r>
      <w:r w:rsidRPr="00932530">
        <w:rPr>
          <w:rFonts w:ascii="Times New Roman" w:hAnsi="Times New Roman" w:cs="Times New Roman"/>
          <w:i/>
        </w:rPr>
        <w:t>BCL11A</w:t>
      </w:r>
      <w:r w:rsidRPr="00932530">
        <w:rPr>
          <w:rFonts w:ascii="Times New Roman" w:hAnsi="Times New Roman" w:cs="Times New Roman"/>
        </w:rPr>
        <w:t xml:space="preserve"> with predictive power for the trait association </w:t>
      </w:r>
      <w:r>
        <w:rPr>
          <w:rFonts w:ascii="Times New Roman" w:hAnsi="Times New Roman" w:cs="Times New Roman"/>
        </w:rPr>
        <w:t>beyond the rs1427407–</w:t>
      </w:r>
      <w:r w:rsidRPr="00932530">
        <w:rPr>
          <w:rFonts w:ascii="Times New Roman" w:hAnsi="Times New Roman" w:cs="Times New Roman"/>
        </w:rPr>
        <w:t>rs7606173 haplotype</w:t>
      </w:r>
      <w:r>
        <w:rPr>
          <w:rFonts w:ascii="Times New Roman" w:hAnsi="Times New Roman" w:cs="Times New Roman"/>
        </w:rPr>
        <w:t xml:space="preserve"> based on conditional or rare-variant analyses</w:t>
      </w:r>
      <w:r w:rsidRPr="00932530">
        <w:rPr>
          <w:rFonts w:ascii="Times New Roman" w:hAnsi="Times New Roman" w:cs="Times New Roman"/>
        </w:rPr>
        <w:t xml:space="preserve">. </w:t>
      </w:r>
      <w:r>
        <w:rPr>
          <w:rFonts w:ascii="Times New Roman" w:hAnsi="Times New Roman" w:cs="Times New Roman"/>
        </w:rPr>
        <w:t xml:space="preserve">No common SNPs were found directly within the Active or Repressive state regions of h+55, however </w:t>
      </w:r>
      <w:r w:rsidRPr="00932530">
        <w:rPr>
          <w:rFonts w:ascii="Times New Roman" w:hAnsi="Times New Roman" w:cs="Times New Roman"/>
        </w:rPr>
        <w:t xml:space="preserve">rs7606173 </w:t>
      </w:r>
      <w:r>
        <w:rPr>
          <w:rFonts w:ascii="Times New Roman" w:hAnsi="Times New Roman" w:cs="Times New Roman"/>
        </w:rPr>
        <w:t>resides</w:t>
      </w:r>
      <w:r w:rsidRPr="00932530">
        <w:rPr>
          <w:rFonts w:ascii="Times New Roman" w:hAnsi="Times New Roman" w:cs="Times New Roman"/>
        </w:rPr>
        <w:t xml:space="preserve"> </w:t>
      </w:r>
      <w:r>
        <w:rPr>
          <w:rFonts w:ascii="Times New Roman" w:hAnsi="Times New Roman" w:cs="Times New Roman"/>
        </w:rPr>
        <w:t>merely 3 bp from the Repressive region and 34 bp from the Active region (Extended Data Fig. 5a)</w:t>
      </w:r>
      <w:r w:rsidRPr="00932530">
        <w:rPr>
          <w:rFonts w:ascii="Times New Roman" w:hAnsi="Times New Roman" w:cs="Times New Roman"/>
        </w:rPr>
        <w:t xml:space="preserve">. </w:t>
      </w:r>
      <w:r>
        <w:rPr>
          <w:rFonts w:ascii="Times New Roman" w:hAnsi="Times New Roman" w:cs="Times New Roman"/>
        </w:rPr>
        <w:t xml:space="preserve">The next closest common SNP to an Active or Repressive state within h+55 is rs62142646, which is 739 bp from an Active state. </w:t>
      </w:r>
      <w:r w:rsidRPr="00932530">
        <w:rPr>
          <w:rFonts w:ascii="Times New Roman" w:hAnsi="Times New Roman" w:cs="Times New Roman"/>
        </w:rPr>
        <w:t>The major, ancestral G allele at rs76061</w:t>
      </w:r>
      <w:r>
        <w:rPr>
          <w:rFonts w:ascii="Times New Roman" w:hAnsi="Times New Roman" w:cs="Times New Roman"/>
        </w:rPr>
        <w:t>7</w:t>
      </w:r>
      <w:r w:rsidRPr="00932530">
        <w:rPr>
          <w:rFonts w:ascii="Times New Roman" w:hAnsi="Times New Roman" w:cs="Times New Roman"/>
        </w:rPr>
        <w:t>3 is associated with high-HbF. The HUDEP-2 cells</w:t>
      </w:r>
      <w:r>
        <w:rPr>
          <w:rFonts w:ascii="Times New Roman" w:hAnsi="Times New Roman" w:cs="Times New Roman"/>
        </w:rPr>
        <w:t xml:space="preserve"> used in this screen</w:t>
      </w:r>
      <w:r w:rsidRPr="00932530">
        <w:rPr>
          <w:rFonts w:ascii="Times New Roman" w:hAnsi="Times New Roman" w:cs="Times New Roman"/>
        </w:rPr>
        <w:t xml:space="preserve"> are homozygous for this G variant. Given a model in which high-HbF trait is due to disruption of TF binding sequences at the </w:t>
      </w:r>
      <w:r w:rsidRPr="00932530">
        <w:rPr>
          <w:rFonts w:ascii="Times New Roman" w:hAnsi="Times New Roman" w:cs="Times New Roman"/>
          <w:i/>
        </w:rPr>
        <w:t>BCL11A</w:t>
      </w:r>
      <w:r w:rsidRPr="00932530">
        <w:rPr>
          <w:rFonts w:ascii="Times New Roman" w:hAnsi="Times New Roman" w:cs="Times New Roman"/>
        </w:rPr>
        <w:t xml:space="preserve"> enhancer, sgRNA-mediated disruption of the high-HbF rs7606173-G allele might not be expected to lead to further functional impact. </w:t>
      </w:r>
      <w:r>
        <w:rPr>
          <w:rFonts w:ascii="Times New Roman" w:hAnsi="Times New Roman" w:cs="Times New Roman"/>
        </w:rPr>
        <w:t>We did observe six motifs predicted (</w:t>
      </w:r>
      <w:r>
        <w:rPr>
          <w:rFonts w:ascii="Times New Roman" w:hAnsi="Times New Roman" w:cs="Times New Roman"/>
          <w:i/>
        </w:rPr>
        <w:t>P</w:t>
      </w:r>
      <w:r>
        <w:rPr>
          <w:rFonts w:ascii="Times New Roman" w:hAnsi="Times New Roman" w:cs="Times New Roman"/>
        </w:rPr>
        <w:t xml:space="preserve"> &lt; 10</w:t>
      </w:r>
      <w:r>
        <w:rPr>
          <w:rFonts w:ascii="Times New Roman" w:hAnsi="Times New Roman" w:cs="Times New Roman"/>
          <w:vertAlign w:val="superscript"/>
        </w:rPr>
        <w:t>-4</w:t>
      </w:r>
      <w:r>
        <w:rPr>
          <w:rFonts w:ascii="Times New Roman" w:hAnsi="Times New Roman" w:cs="Times New Roman"/>
        </w:rPr>
        <w:t>) to be differentially impacted by the rs7606173 genotype (Extended Data Fig. 5a). T</w:t>
      </w:r>
      <w:r w:rsidRPr="00932530">
        <w:rPr>
          <w:rFonts w:ascii="Times New Roman" w:hAnsi="Times New Roman" w:cs="Times New Roman"/>
        </w:rPr>
        <w:t xml:space="preserve">he </w:t>
      </w:r>
      <w:r>
        <w:rPr>
          <w:rFonts w:ascii="Times New Roman" w:hAnsi="Times New Roman" w:cs="Times New Roman"/>
        </w:rPr>
        <w:t>top-</w:t>
      </w:r>
      <w:r w:rsidRPr="00932530">
        <w:rPr>
          <w:rFonts w:ascii="Times New Roman" w:hAnsi="Times New Roman" w:cs="Times New Roman"/>
        </w:rPr>
        <w:t>scoring sgRNAs in</w:t>
      </w:r>
      <w:r>
        <w:rPr>
          <w:rFonts w:ascii="Times New Roman" w:hAnsi="Times New Roman" w:cs="Times New Roman"/>
        </w:rPr>
        <w:t xml:space="preserve"> h+</w:t>
      </w:r>
      <w:r w:rsidRPr="00932530">
        <w:rPr>
          <w:rFonts w:ascii="Times New Roman" w:hAnsi="Times New Roman" w:cs="Times New Roman"/>
        </w:rPr>
        <w:t>55 cluster 5</w:t>
      </w:r>
      <w:r>
        <w:rPr>
          <w:rFonts w:ascii="Times New Roman" w:hAnsi="Times New Roman" w:cs="Times New Roman"/>
        </w:rPr>
        <w:t>6-58</w:t>
      </w:r>
      <w:r w:rsidRPr="00932530">
        <w:rPr>
          <w:rFonts w:ascii="Times New Roman" w:hAnsi="Times New Roman" w:cs="Times New Roman"/>
        </w:rPr>
        <w:t xml:space="preserve"> </w:t>
      </w:r>
      <w:r>
        <w:rPr>
          <w:rFonts w:ascii="Times New Roman" w:hAnsi="Times New Roman" w:cs="Times New Roman"/>
        </w:rPr>
        <w:t>bp</w:t>
      </w:r>
      <w:r w:rsidRPr="00932530">
        <w:rPr>
          <w:rFonts w:ascii="Times New Roman" w:hAnsi="Times New Roman" w:cs="Times New Roman"/>
        </w:rPr>
        <w:t xml:space="preserve"> from rs7606173, at a site </w:t>
      </w:r>
      <w:r>
        <w:rPr>
          <w:rFonts w:ascii="Times New Roman" w:hAnsi="Times New Roman" w:cs="Times New Roman"/>
        </w:rPr>
        <w:t>with</w:t>
      </w:r>
      <w:r w:rsidRPr="00932530">
        <w:rPr>
          <w:rFonts w:ascii="Times New Roman" w:hAnsi="Times New Roman" w:cs="Times New Roman"/>
        </w:rPr>
        <w:t xml:space="preserve"> a predicted TAL1::GATA1 motif (</w:t>
      </w:r>
      <w:r>
        <w:rPr>
          <w:rFonts w:ascii="Times New Roman" w:hAnsi="Times New Roman" w:cs="Times New Roman"/>
          <w:i/>
        </w:rPr>
        <w:t>P</w:t>
      </w:r>
      <w:r>
        <w:rPr>
          <w:rFonts w:ascii="Times New Roman" w:hAnsi="Times New Roman" w:cs="Times New Roman"/>
        </w:rPr>
        <w:t xml:space="preserve"> &lt; 10</w:t>
      </w:r>
      <w:r w:rsidRPr="00655BF0">
        <w:rPr>
          <w:rFonts w:ascii="Times New Roman" w:hAnsi="Times New Roman" w:cs="Times New Roman"/>
          <w:vertAlign w:val="superscript"/>
        </w:rPr>
        <w:t>-</w:t>
      </w:r>
      <w:r>
        <w:rPr>
          <w:rFonts w:ascii="Times New Roman" w:hAnsi="Times New Roman" w:cs="Times New Roman"/>
          <w:vertAlign w:val="superscript"/>
        </w:rPr>
        <w:t>4</w:t>
      </w:r>
      <w:r w:rsidRPr="00932530">
        <w:rPr>
          <w:rFonts w:ascii="Times New Roman" w:hAnsi="Times New Roman" w:cs="Times New Roman"/>
        </w:rPr>
        <w:t>). Th</w:t>
      </w:r>
      <w:r>
        <w:rPr>
          <w:rFonts w:ascii="Times New Roman" w:hAnsi="Times New Roman" w:cs="Times New Roman"/>
        </w:rPr>
        <w:t xml:space="preserve">is </w:t>
      </w:r>
      <w:r w:rsidRPr="00932530">
        <w:rPr>
          <w:rFonts w:ascii="Times New Roman" w:hAnsi="Times New Roman" w:cs="Times New Roman"/>
        </w:rPr>
        <w:t>sequence</w:t>
      </w:r>
      <w:r>
        <w:rPr>
          <w:rFonts w:ascii="Times New Roman" w:hAnsi="Times New Roman" w:cs="Times New Roman"/>
        </w:rPr>
        <w:t xml:space="preserve"> element possesses</w:t>
      </w:r>
      <w:r w:rsidRPr="00932530">
        <w:rPr>
          <w:rFonts w:ascii="Times New Roman" w:hAnsi="Times New Roman" w:cs="Times New Roman"/>
        </w:rPr>
        <w:t xml:space="preserve"> </w:t>
      </w:r>
      <w:r>
        <w:rPr>
          <w:rFonts w:ascii="Times New Roman" w:hAnsi="Times New Roman" w:cs="Times New Roman"/>
        </w:rPr>
        <w:t>high vertebrate conservation</w:t>
      </w:r>
      <w:r w:rsidRPr="00932530">
        <w:rPr>
          <w:rFonts w:ascii="Times New Roman" w:hAnsi="Times New Roman" w:cs="Times New Roman"/>
        </w:rPr>
        <w:t xml:space="preserve"> (</w:t>
      </w:r>
      <w:r>
        <w:rPr>
          <w:rFonts w:ascii="Times New Roman" w:hAnsi="Times New Roman" w:cs="Times New Roman"/>
        </w:rPr>
        <w:t>Extended Data Fig. 5</w:t>
      </w:r>
      <w:r w:rsidRPr="00932530">
        <w:rPr>
          <w:rFonts w:ascii="Times New Roman" w:hAnsi="Times New Roman" w:cs="Times New Roman"/>
        </w:rPr>
        <w:t>a)</w:t>
      </w:r>
      <w:r>
        <w:rPr>
          <w:rFonts w:ascii="Times New Roman" w:hAnsi="Times New Roman" w:cs="Times New Roman"/>
        </w:rPr>
        <w:t>. T</w:t>
      </w:r>
      <w:r w:rsidRPr="00932530">
        <w:rPr>
          <w:rFonts w:ascii="Times New Roman" w:hAnsi="Times New Roman" w:cs="Times New Roman"/>
        </w:rPr>
        <w:t xml:space="preserve">he entire </w:t>
      </w:r>
      <w:r>
        <w:rPr>
          <w:rFonts w:ascii="Times New Roman" w:hAnsi="Times New Roman" w:cs="Times New Roman"/>
        </w:rPr>
        <w:t xml:space="preserve">region encompassing the </w:t>
      </w:r>
      <w:r w:rsidRPr="00932530">
        <w:rPr>
          <w:rFonts w:ascii="Times New Roman" w:hAnsi="Times New Roman" w:cs="Times New Roman"/>
        </w:rPr>
        <w:t>Active/Repressive</w:t>
      </w:r>
      <w:r>
        <w:rPr>
          <w:rFonts w:ascii="Times New Roman" w:hAnsi="Times New Roman" w:cs="Times New Roman"/>
        </w:rPr>
        <w:t xml:space="preserve"> h+</w:t>
      </w:r>
      <w:r w:rsidRPr="00932530">
        <w:rPr>
          <w:rFonts w:ascii="Times New Roman" w:hAnsi="Times New Roman" w:cs="Times New Roman"/>
        </w:rPr>
        <w:t xml:space="preserve">55 </w:t>
      </w:r>
      <w:r>
        <w:rPr>
          <w:rFonts w:ascii="Times New Roman" w:hAnsi="Times New Roman" w:cs="Times New Roman"/>
        </w:rPr>
        <w:t>states</w:t>
      </w:r>
      <w:r w:rsidRPr="00932530">
        <w:rPr>
          <w:rFonts w:ascii="Times New Roman" w:hAnsi="Times New Roman" w:cs="Times New Roman"/>
        </w:rPr>
        <w:t xml:space="preserve"> appears to have elevated sequence conservation as compared to flanking </w:t>
      </w:r>
      <w:r>
        <w:rPr>
          <w:rFonts w:ascii="Times New Roman" w:hAnsi="Times New Roman" w:cs="Times New Roman"/>
        </w:rPr>
        <w:t>sequences (Fig. 3</w:t>
      </w:r>
      <w:r w:rsidRPr="00932530">
        <w:rPr>
          <w:rFonts w:ascii="Times New Roman" w:hAnsi="Times New Roman" w:cs="Times New Roman"/>
        </w:rPr>
        <w:t xml:space="preserve">a). </w:t>
      </w:r>
    </w:p>
    <w:p w14:paraId="774347C3"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lastRenderedPageBreak/>
        <w:t>The only common SNP within the h+58 Active region is rs6738440 just at the edge of the Active state region (chr2:60722</w:t>
      </w:r>
      <w:r w:rsidRPr="00F60B05">
        <w:rPr>
          <w:rFonts w:ascii="Times New Roman" w:hAnsi="Times New Roman" w:cs="Times New Roman"/>
        </w:rPr>
        <w:t>241</w:t>
      </w:r>
      <w:r>
        <w:rPr>
          <w:rFonts w:ascii="Times New Roman" w:hAnsi="Times New Roman" w:cs="Times New Roman"/>
        </w:rPr>
        <w:t>), 118 to 160 bp from the cluster of top-scoring sgRNAs (chr2:60722359-6072240</w:t>
      </w:r>
      <w:r w:rsidRPr="00F60B05">
        <w:rPr>
          <w:rFonts w:ascii="Times New Roman" w:hAnsi="Times New Roman" w:cs="Times New Roman"/>
        </w:rPr>
        <w:t>1</w:t>
      </w:r>
      <w:r>
        <w:rPr>
          <w:rFonts w:ascii="Times New Roman" w:hAnsi="Times New Roman" w:cs="Times New Roman"/>
        </w:rPr>
        <w:t>; Fig. 4; Extended Fig. 5b); the next closest common SNP was rs62142615 (chr2:</w:t>
      </w:r>
      <w:r w:rsidRPr="00F60B05">
        <w:rPr>
          <w:rFonts w:ascii="Times New Roman" w:hAnsi="Times New Roman" w:cs="Times New Roman"/>
        </w:rPr>
        <w:t>60722120</w:t>
      </w:r>
      <w:r>
        <w:rPr>
          <w:rFonts w:ascii="Times New Roman" w:hAnsi="Times New Roman" w:cs="Times New Roman"/>
        </w:rPr>
        <w:t xml:space="preserve">), 119 bp away. Neither sgRNAs with significant adjacent enrichment nor overlying genome-scale significant motifs with either the major A- or minor G-allele </w:t>
      </w:r>
      <w:proofErr w:type="gramStart"/>
      <w:r>
        <w:rPr>
          <w:rFonts w:ascii="Times New Roman" w:hAnsi="Times New Roman" w:cs="Times New Roman"/>
        </w:rPr>
        <w:t>were</w:t>
      </w:r>
      <w:proofErr w:type="gramEnd"/>
      <w:r>
        <w:rPr>
          <w:rFonts w:ascii="Times New Roman" w:hAnsi="Times New Roman" w:cs="Times New Roman"/>
        </w:rPr>
        <w:t xml:space="preserve"> observed at rs6738440. Previous conditional analysis of the rs1427407-rs7606173 haplotype was unable to demonstrate residual significant trait association for this variant</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Pr>
          <w:rFonts w:ascii="Times New Roman" w:hAnsi="Times New Roman" w:cs="Times New Roman"/>
        </w:rPr>
        <w:fldChar w:fldCharType="separate"/>
      </w:r>
      <w:r w:rsidRPr="008B42B3">
        <w:rPr>
          <w:rFonts w:ascii="Times New Roman" w:hAnsi="Times New Roman" w:cs="Times New Roman"/>
          <w:noProof/>
          <w:vertAlign w:val="superscript"/>
        </w:rPr>
        <w:t>28</w:t>
      </w:r>
      <w:r>
        <w:rPr>
          <w:rFonts w:ascii="Times New Roman" w:hAnsi="Times New Roman" w:cs="Times New Roman"/>
        </w:rPr>
        <w:fldChar w:fldCharType="end"/>
      </w:r>
      <w:r>
        <w:rPr>
          <w:rFonts w:ascii="Times New Roman" w:hAnsi="Times New Roman" w:cs="Times New Roman"/>
        </w:rPr>
        <w:t>.</w:t>
      </w:r>
    </w:p>
    <w:p w14:paraId="6B250AB5"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 xml:space="preserve">Enhancers paradoxically </w:t>
      </w:r>
      <w:r>
        <w:rPr>
          <w:rFonts w:ascii="Times New Roman" w:hAnsi="Times New Roman" w:cs="Times New Roman"/>
        </w:rPr>
        <w:t xml:space="preserve">may </w:t>
      </w:r>
      <w:r w:rsidRPr="00932530">
        <w:rPr>
          <w:rFonts w:ascii="Times New Roman" w:hAnsi="Times New Roman" w:cs="Times New Roman"/>
        </w:rPr>
        <w:t xml:space="preserve">demonstrate both evolutionary conservation and heightened turnover. Common trait-associated enhancer variation suggests the frequent occurrence of </w:t>
      </w:r>
      <w:proofErr w:type="spellStart"/>
      <w:r w:rsidRPr="00932530">
        <w:rPr>
          <w:rFonts w:ascii="Times New Roman" w:hAnsi="Times New Roman" w:cs="Times New Roman"/>
        </w:rPr>
        <w:t>intraspecies</w:t>
      </w:r>
      <w:proofErr w:type="spellEnd"/>
      <w:r w:rsidRPr="00932530">
        <w:rPr>
          <w:rFonts w:ascii="Times New Roman" w:hAnsi="Times New Roman" w:cs="Times New Roman"/>
        </w:rPr>
        <w:t xml:space="preserve"> polymorphic sequences sufficient to modulate enhancer function and thereby produce novel phenotype</w:t>
      </w:r>
      <w:r>
        <w:rPr>
          <w:rFonts w:ascii="Times New Roman" w:hAnsi="Times New Roman" w:cs="Times New Roman"/>
        </w:rPr>
        <w:t>s.</w:t>
      </w:r>
      <w:r w:rsidRPr="00932530">
        <w:rPr>
          <w:rFonts w:ascii="Times New Roman" w:hAnsi="Times New Roman" w:cs="Times New Roman"/>
        </w:rPr>
        <w:t xml:space="preserve"> </w:t>
      </w:r>
      <w:r>
        <w:rPr>
          <w:rFonts w:ascii="Times New Roman" w:hAnsi="Times New Roman" w:cs="Times New Roman"/>
        </w:rPr>
        <w:t xml:space="preserve">Per above, </w:t>
      </w:r>
      <w:r w:rsidRPr="00932530">
        <w:rPr>
          <w:rFonts w:ascii="Times New Roman" w:hAnsi="Times New Roman" w:cs="Times New Roman"/>
        </w:rPr>
        <w:t>we previously described</w:t>
      </w:r>
      <w:r>
        <w:rPr>
          <w:rFonts w:ascii="Times New Roman" w:hAnsi="Times New Roman" w:cs="Times New Roman"/>
        </w:rPr>
        <w:t xml:space="preserve"> that the</w:t>
      </w:r>
      <w:r w:rsidRPr="00932530">
        <w:rPr>
          <w:rFonts w:ascii="Times New Roman" w:hAnsi="Times New Roman" w:cs="Times New Roman"/>
        </w:rPr>
        <w:t xml:space="preserve"> </w:t>
      </w:r>
      <w:r>
        <w:rPr>
          <w:rFonts w:ascii="Times New Roman" w:hAnsi="Times New Roman" w:cs="Times New Roman"/>
        </w:rPr>
        <w:t xml:space="preserve">trait-associated enhancer </w:t>
      </w:r>
      <w:r w:rsidRPr="00932530">
        <w:rPr>
          <w:rFonts w:ascii="Times New Roman" w:hAnsi="Times New Roman" w:cs="Times New Roman"/>
        </w:rPr>
        <w:t>haplotype</w:t>
      </w:r>
      <w:r w:rsidRPr="000F1922">
        <w:rPr>
          <w:rFonts w:ascii="Times New Roman" w:hAnsi="Times New Roman" w:cs="Times New Roman"/>
        </w:rPr>
        <w:t xml:space="preserve"> </w:t>
      </w:r>
      <w:r>
        <w:rPr>
          <w:rFonts w:ascii="Times New Roman" w:hAnsi="Times New Roman" w:cs="Times New Roman"/>
        </w:rPr>
        <w:t>a</w:t>
      </w:r>
      <w:r w:rsidRPr="00932530">
        <w:rPr>
          <w:rFonts w:ascii="Times New Roman" w:hAnsi="Times New Roman" w:cs="Times New Roman"/>
        </w:rPr>
        <w:t xml:space="preserve">t </w:t>
      </w:r>
      <w:r w:rsidRPr="00932530">
        <w:rPr>
          <w:rFonts w:ascii="Times New Roman" w:hAnsi="Times New Roman" w:cs="Times New Roman"/>
          <w:i/>
        </w:rPr>
        <w:t>BCL11A</w:t>
      </w:r>
      <w:r>
        <w:rPr>
          <w:rFonts w:ascii="Times New Roman" w:hAnsi="Times New Roman" w:cs="Times New Roman"/>
        </w:rPr>
        <w:t xml:space="preserve"> is</w:t>
      </w:r>
      <w:r w:rsidRPr="00932530">
        <w:rPr>
          <w:rFonts w:ascii="Times New Roman" w:hAnsi="Times New Roman" w:cs="Times New Roman"/>
        </w:rPr>
        <w:t xml:space="preserve"> defined by two SNPs</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28</w:t>
      </w:r>
      <w:r w:rsidRPr="00932530">
        <w:rPr>
          <w:rFonts w:ascii="Times New Roman" w:hAnsi="Times New Roman" w:cs="Times New Roman"/>
        </w:rPr>
        <w:fldChar w:fldCharType="end"/>
      </w:r>
      <w:r w:rsidRPr="00932530">
        <w:rPr>
          <w:rFonts w:ascii="Times New Roman" w:hAnsi="Times New Roman" w:cs="Times New Roman"/>
        </w:rPr>
        <w:t xml:space="preserve">. Our pooled CRISPR screening revealed that each of these SNPs </w:t>
      </w:r>
      <w:r>
        <w:rPr>
          <w:rFonts w:ascii="Times New Roman" w:hAnsi="Times New Roman" w:cs="Times New Roman"/>
        </w:rPr>
        <w:t>reside</w:t>
      </w:r>
      <w:r w:rsidRPr="00932530">
        <w:rPr>
          <w:rFonts w:ascii="Times New Roman" w:hAnsi="Times New Roman" w:cs="Times New Roman"/>
        </w:rPr>
        <w:t xml:space="preserve"> </w:t>
      </w:r>
      <w:r>
        <w:rPr>
          <w:rFonts w:ascii="Times New Roman" w:hAnsi="Times New Roman" w:cs="Times New Roman"/>
        </w:rPr>
        <w:t>near</w:t>
      </w:r>
      <w:r w:rsidRPr="00932530">
        <w:rPr>
          <w:rFonts w:ascii="Times New Roman" w:hAnsi="Times New Roman" w:cs="Times New Roman"/>
        </w:rPr>
        <w:t xml:space="preserve"> functional enhancer </w:t>
      </w:r>
      <w:r>
        <w:rPr>
          <w:rFonts w:ascii="Times New Roman" w:hAnsi="Times New Roman" w:cs="Times New Roman"/>
        </w:rPr>
        <w:t>states</w:t>
      </w:r>
      <w:r w:rsidRPr="00932530">
        <w:rPr>
          <w:rFonts w:ascii="Times New Roman" w:hAnsi="Times New Roman" w:cs="Times New Roman"/>
        </w:rPr>
        <w:t xml:space="preserve"> consistent with their roles as causal variants. The most potent enhancer </w:t>
      </w:r>
      <w:r>
        <w:rPr>
          <w:rFonts w:ascii="Times New Roman" w:hAnsi="Times New Roman" w:cs="Times New Roman"/>
        </w:rPr>
        <w:t>region</w:t>
      </w:r>
      <w:r w:rsidRPr="00932530">
        <w:rPr>
          <w:rFonts w:ascii="Times New Roman" w:hAnsi="Times New Roman" w:cs="Times New Roman"/>
        </w:rPr>
        <w:t>, within</w:t>
      </w:r>
      <w:r>
        <w:rPr>
          <w:rFonts w:ascii="Times New Roman" w:hAnsi="Times New Roman" w:cs="Times New Roman"/>
        </w:rPr>
        <w:t xml:space="preserve"> h+</w:t>
      </w:r>
      <w:r w:rsidRPr="00932530">
        <w:rPr>
          <w:rFonts w:ascii="Times New Roman" w:hAnsi="Times New Roman" w:cs="Times New Roman"/>
        </w:rPr>
        <w:t xml:space="preserve">58, </w:t>
      </w:r>
      <w:r>
        <w:rPr>
          <w:rFonts w:ascii="Times New Roman" w:hAnsi="Times New Roman" w:cs="Times New Roman"/>
        </w:rPr>
        <w:t>has</w:t>
      </w:r>
      <w:r w:rsidRPr="00932530">
        <w:rPr>
          <w:rFonts w:ascii="Times New Roman" w:hAnsi="Times New Roman" w:cs="Times New Roman"/>
        </w:rPr>
        <w:t xml:space="preserve"> no </w:t>
      </w:r>
      <w:r>
        <w:rPr>
          <w:rFonts w:ascii="Times New Roman" w:hAnsi="Times New Roman" w:cs="Times New Roman"/>
        </w:rPr>
        <w:t>trait-associated</w:t>
      </w:r>
      <w:r w:rsidRPr="00932530">
        <w:rPr>
          <w:rFonts w:ascii="Times New Roman" w:hAnsi="Times New Roman" w:cs="Times New Roman"/>
        </w:rPr>
        <w:t xml:space="preserve"> variants</w:t>
      </w:r>
      <w:r>
        <w:rPr>
          <w:rFonts w:ascii="Times New Roman" w:hAnsi="Times New Roman" w:cs="Times New Roman"/>
        </w:rPr>
        <w:t xml:space="preserve"> near its functional core</w:t>
      </w:r>
      <w:r w:rsidRPr="00932530">
        <w:rPr>
          <w:rFonts w:ascii="Times New Roman" w:hAnsi="Times New Roman" w:cs="Times New Roman"/>
        </w:rPr>
        <w:t xml:space="preserve">. This example demonstrates how fine-mapping GWAS associations </w:t>
      </w:r>
      <w:r>
        <w:rPr>
          <w:rFonts w:ascii="Times New Roman" w:hAnsi="Times New Roman" w:cs="Times New Roman"/>
        </w:rPr>
        <w:t xml:space="preserve">to individual SNPs </w:t>
      </w:r>
      <w:r w:rsidRPr="00932530">
        <w:rPr>
          <w:rFonts w:ascii="Times New Roman" w:hAnsi="Times New Roman" w:cs="Times New Roman"/>
        </w:rPr>
        <w:t xml:space="preserve">can substantially underestimate the biologic importance of </w:t>
      </w:r>
      <w:r>
        <w:rPr>
          <w:rFonts w:ascii="Times New Roman" w:hAnsi="Times New Roman" w:cs="Times New Roman"/>
        </w:rPr>
        <w:t xml:space="preserve">the </w:t>
      </w:r>
      <w:r w:rsidRPr="00932530">
        <w:rPr>
          <w:rFonts w:ascii="Times New Roman" w:hAnsi="Times New Roman" w:cs="Times New Roman"/>
        </w:rPr>
        <w:t xml:space="preserve">underlying elements </w:t>
      </w:r>
      <w:r>
        <w:rPr>
          <w:rFonts w:ascii="Times New Roman" w:hAnsi="Times New Roman" w:cs="Times New Roman"/>
        </w:rPr>
        <w:t>to</w:t>
      </w:r>
      <w:r w:rsidRPr="00932530">
        <w:rPr>
          <w:rFonts w:ascii="Times New Roman" w:hAnsi="Times New Roman" w:cs="Times New Roman"/>
        </w:rPr>
        <w:t xml:space="preserve"> the associated trait. </w:t>
      </w:r>
    </w:p>
    <w:p w14:paraId="0718C029" w14:textId="77777777" w:rsidR="003C19D1" w:rsidRDefault="003C19D1" w:rsidP="003C19D1">
      <w:pPr>
        <w:spacing w:line="480" w:lineRule="auto"/>
        <w:rPr>
          <w:rFonts w:ascii="Times New Roman" w:hAnsi="Times New Roman" w:cs="Times New Roman"/>
        </w:rPr>
      </w:pPr>
    </w:p>
    <w:p w14:paraId="5B90A8DA" w14:textId="77777777" w:rsidR="003C19D1" w:rsidRDefault="003C19D1" w:rsidP="003C19D1">
      <w:pPr>
        <w:spacing w:line="480" w:lineRule="auto"/>
        <w:rPr>
          <w:rFonts w:ascii="Times New Roman" w:hAnsi="Times New Roman" w:cs="Times New Roman"/>
          <w:b/>
        </w:rPr>
      </w:pPr>
      <w:r w:rsidRPr="00B546F8">
        <w:rPr>
          <w:rFonts w:ascii="Times New Roman" w:hAnsi="Times New Roman" w:cs="Times New Roman"/>
          <w:b/>
        </w:rPr>
        <w:t>Pooled CRISPR enhancer satura</w:t>
      </w:r>
      <w:r>
        <w:rPr>
          <w:rFonts w:ascii="Times New Roman" w:hAnsi="Times New Roman" w:cs="Times New Roman"/>
          <w:b/>
        </w:rPr>
        <w:t>ting mutagenesis screen in mouse erythroid</w:t>
      </w:r>
      <w:r w:rsidRPr="00B546F8">
        <w:rPr>
          <w:rFonts w:ascii="Times New Roman" w:hAnsi="Times New Roman" w:cs="Times New Roman"/>
          <w:b/>
        </w:rPr>
        <w:t xml:space="preserve"> εy</w:t>
      </w:r>
      <w:proofErr w:type="gramStart"/>
      <w:r w:rsidRPr="00B546F8">
        <w:rPr>
          <w:rFonts w:ascii="Times New Roman" w:hAnsi="Times New Roman" w:cs="Times New Roman"/>
          <w:b/>
        </w:rPr>
        <w:t>:mCherry</w:t>
      </w:r>
      <w:proofErr w:type="gramEnd"/>
      <w:r w:rsidRPr="00B546F8">
        <w:rPr>
          <w:rFonts w:ascii="Times New Roman" w:hAnsi="Times New Roman" w:cs="Times New Roman"/>
          <w:b/>
        </w:rPr>
        <w:t xml:space="preserve"> reporter cells</w:t>
      </w:r>
    </w:p>
    <w:p w14:paraId="57AAA9BB" w14:textId="77777777" w:rsidR="003C19D1" w:rsidRDefault="003C19D1" w:rsidP="003C19D1">
      <w:pPr>
        <w:spacing w:line="480" w:lineRule="auto"/>
        <w:rPr>
          <w:rFonts w:ascii="Times New Roman" w:hAnsi="Times New Roman" w:cs="Times New Roman"/>
        </w:rPr>
      </w:pPr>
      <w:r w:rsidRPr="00932530">
        <w:rPr>
          <w:rFonts w:ascii="Times New Roman" w:hAnsi="Times New Roman" w:cs="Times New Roman"/>
        </w:rPr>
        <w:t xml:space="preserve">We generated a MEL cell reporter line with the </w:t>
      </w:r>
      <w:proofErr w:type="spellStart"/>
      <w:r w:rsidRPr="00932530">
        <w:rPr>
          <w:rFonts w:ascii="Times New Roman" w:hAnsi="Times New Roman" w:cs="Times New Roman"/>
        </w:rPr>
        <w:t>mCherry</w:t>
      </w:r>
      <w:proofErr w:type="spellEnd"/>
      <w:r w:rsidRPr="00932530">
        <w:rPr>
          <w:rFonts w:ascii="Times New Roman" w:hAnsi="Times New Roman" w:cs="Times New Roman"/>
        </w:rPr>
        <w:t xml:space="preserve"> fluorescent reporter knocked-in to the embryonic globin </w:t>
      </w:r>
      <w:r w:rsidRPr="00932530">
        <w:rPr>
          <w:rFonts w:ascii="Times New Roman" w:hAnsi="Times New Roman" w:cs="Times New Roman"/>
          <w:i/>
        </w:rPr>
        <w:t>Hbb-y</w:t>
      </w:r>
      <w:r w:rsidRPr="00932530">
        <w:rPr>
          <w:rFonts w:ascii="Times New Roman" w:hAnsi="Times New Roman" w:cs="Times New Roman"/>
        </w:rPr>
        <w:t xml:space="preserve"> locus (</w:t>
      </w:r>
      <w:r>
        <w:rPr>
          <w:rFonts w:ascii="Times New Roman" w:hAnsi="Times New Roman" w:cs="Times New Roman"/>
        </w:rPr>
        <w:t>Extended Data</w:t>
      </w:r>
      <w:r w:rsidRPr="00932530">
        <w:rPr>
          <w:rFonts w:ascii="Times New Roman" w:hAnsi="Times New Roman" w:cs="Times New Roman"/>
        </w:rPr>
        <w:t xml:space="preserve"> Fig. </w:t>
      </w:r>
      <w:r>
        <w:rPr>
          <w:rFonts w:ascii="Times New Roman" w:hAnsi="Times New Roman" w:cs="Times New Roman"/>
        </w:rPr>
        <w:t>6c</w:t>
      </w:r>
      <w:r w:rsidRPr="00932530">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cells</w:t>
      </w:r>
      <w:proofErr w:type="gramEnd"/>
      <w:r>
        <w:rPr>
          <w:rFonts w:ascii="Times New Roman" w:hAnsi="Times New Roman" w:cs="Times New Roman"/>
        </w:rPr>
        <w:t xml:space="preserve"> were cultured as described .</w:t>
      </w:r>
      <w:r w:rsidRPr="00932530">
        <w:rPr>
          <w:rFonts w:ascii="Times New Roman" w:hAnsi="Times New Roman" w:cs="Times New Roman"/>
        </w:rPr>
        <w:t xml:space="preserve"> Introduction of Cas9 and sgRNA targeting </w:t>
      </w:r>
      <w:r w:rsidRPr="00932530">
        <w:rPr>
          <w:rFonts w:ascii="Times New Roman" w:hAnsi="Times New Roman" w:cs="Times New Roman"/>
          <w:i/>
        </w:rPr>
        <w:t>Bcl11a</w:t>
      </w:r>
      <w:r w:rsidRPr="00932530">
        <w:rPr>
          <w:rFonts w:ascii="Times New Roman" w:hAnsi="Times New Roman" w:cs="Times New Roman"/>
        </w:rPr>
        <w:t xml:space="preserve"> exon-2 resulted in the appearance of cells with </w:t>
      </w:r>
      <w:r w:rsidRPr="00932530">
        <w:rPr>
          <w:rFonts w:ascii="Times New Roman" w:hAnsi="Times New Roman" w:cs="Times New Roman"/>
        </w:rPr>
        <w:lastRenderedPageBreak/>
        <w:t>elevated εy</w:t>
      </w:r>
      <w:proofErr w:type="gramStart"/>
      <w:r w:rsidRPr="00932530">
        <w:rPr>
          <w:rFonts w:ascii="Times New Roman" w:hAnsi="Times New Roman" w:cs="Times New Roman"/>
        </w:rPr>
        <w:t>:mCherry</w:t>
      </w:r>
      <w:proofErr w:type="gramEnd"/>
      <w:r w:rsidRPr="00932530">
        <w:rPr>
          <w:rFonts w:ascii="Times New Roman" w:hAnsi="Times New Roman" w:cs="Times New Roman"/>
        </w:rPr>
        <w:t xml:space="preserve"> expression, indicating derepression of the BCL11A </w:t>
      </w:r>
      <w:r>
        <w:rPr>
          <w:rFonts w:ascii="Times New Roman" w:hAnsi="Times New Roman" w:cs="Times New Roman"/>
        </w:rPr>
        <w:t>target</w:t>
      </w:r>
      <w:r w:rsidRPr="00932530">
        <w:rPr>
          <w:rFonts w:ascii="Times New Roman" w:hAnsi="Times New Roman" w:cs="Times New Roman"/>
        </w:rPr>
        <w:t xml:space="preserve"> εy</w:t>
      </w:r>
      <w:r>
        <w:rPr>
          <w:rFonts w:ascii="Times New Roman" w:hAnsi="Times New Roman" w:cs="Times New Roman"/>
        </w:rPr>
        <w:t>-globin</w:t>
      </w:r>
      <w:r w:rsidRPr="00932530">
        <w:rPr>
          <w:rFonts w:ascii="Times New Roman" w:hAnsi="Times New Roman" w:cs="Times New Roman"/>
        </w:rPr>
        <w:t xml:space="preserve"> (</w:t>
      </w:r>
      <w:r>
        <w:rPr>
          <w:rFonts w:ascii="Times New Roman" w:hAnsi="Times New Roman" w:cs="Times New Roman"/>
        </w:rPr>
        <w:t>Extended Data</w:t>
      </w:r>
      <w:r w:rsidRPr="00932530">
        <w:rPr>
          <w:rFonts w:ascii="Times New Roman" w:hAnsi="Times New Roman" w:cs="Times New Roman"/>
        </w:rPr>
        <w:t xml:space="preserve"> Fig. </w:t>
      </w:r>
      <w:r>
        <w:rPr>
          <w:rFonts w:ascii="Times New Roman" w:hAnsi="Times New Roman" w:cs="Times New Roman"/>
        </w:rPr>
        <w:t>6h</w:t>
      </w:r>
      <w:r w:rsidRPr="00932530">
        <w:rPr>
          <w:rFonts w:ascii="Times New Roman" w:hAnsi="Times New Roman" w:cs="Times New Roman"/>
        </w:rPr>
        <w:t>).</w:t>
      </w:r>
    </w:p>
    <w:p w14:paraId="493E5269" w14:textId="77777777" w:rsidR="003C19D1" w:rsidRPr="00B5506C" w:rsidRDefault="003C19D1" w:rsidP="003C19D1">
      <w:pPr>
        <w:spacing w:line="480" w:lineRule="auto"/>
        <w:ind w:firstLine="720"/>
        <w:rPr>
          <w:rFonts w:ascii="Times New Roman" w:hAnsi="Times New Roman" w:cs="Times New Roman"/>
        </w:rPr>
      </w:pPr>
      <w:r w:rsidRPr="00B546F8">
        <w:rPr>
          <w:rFonts w:ascii="Times New Roman" w:hAnsi="Times New Roman" w:cs="Times New Roman"/>
        </w:rPr>
        <w:t xml:space="preserve">The </w:t>
      </w:r>
      <w:r>
        <w:rPr>
          <w:rFonts w:ascii="Times New Roman" w:hAnsi="Times New Roman" w:cs="Times New Roman"/>
        </w:rPr>
        <w:t>mouse sgRNA library was comprised of both NGG and NAG PAM restricted sgRNAs</w:t>
      </w:r>
      <w:r w:rsidRPr="00932530">
        <w:rPr>
          <w:rFonts w:ascii="Times New Roman" w:hAnsi="Times New Roman" w:cs="Times New Roman"/>
        </w:rPr>
        <w:t xml:space="preserve">. The library included sgRNA sets tiling the DHS </w:t>
      </w:r>
      <w:r>
        <w:rPr>
          <w:rFonts w:ascii="Times New Roman" w:hAnsi="Times New Roman" w:cs="Times New Roman"/>
        </w:rPr>
        <w:t>m</w:t>
      </w:r>
      <w:r w:rsidRPr="00932530">
        <w:rPr>
          <w:rFonts w:ascii="Times New Roman" w:hAnsi="Times New Roman" w:cs="Times New Roman"/>
        </w:rPr>
        <w:t xml:space="preserve">+55, </w:t>
      </w:r>
      <w:r>
        <w:rPr>
          <w:rFonts w:ascii="Times New Roman" w:hAnsi="Times New Roman" w:cs="Times New Roman"/>
        </w:rPr>
        <w:t>m</w:t>
      </w:r>
      <w:r w:rsidRPr="00932530">
        <w:rPr>
          <w:rFonts w:ascii="Times New Roman" w:hAnsi="Times New Roman" w:cs="Times New Roman"/>
        </w:rPr>
        <w:t xml:space="preserve">+58, and </w:t>
      </w:r>
      <w:r>
        <w:rPr>
          <w:rFonts w:ascii="Times New Roman" w:hAnsi="Times New Roman" w:cs="Times New Roman"/>
        </w:rPr>
        <w:t>m</w:t>
      </w:r>
      <w:r w:rsidRPr="00932530">
        <w:rPr>
          <w:rFonts w:ascii="Times New Roman" w:hAnsi="Times New Roman" w:cs="Times New Roman"/>
        </w:rPr>
        <w:t xml:space="preserve">+62 </w:t>
      </w:r>
      <w:proofErr w:type="spellStart"/>
      <w:r w:rsidRPr="00932530">
        <w:rPr>
          <w:rFonts w:ascii="Times New Roman" w:hAnsi="Times New Roman" w:cs="Times New Roman"/>
        </w:rPr>
        <w:t>orthologs</w:t>
      </w:r>
      <w:proofErr w:type="spellEnd"/>
      <w:r w:rsidRPr="00932530">
        <w:rPr>
          <w:rFonts w:ascii="Times New Roman" w:hAnsi="Times New Roman" w:cs="Times New Roman"/>
        </w:rPr>
        <w:t xml:space="preserve">, as well as 120 nontargeting negative controls and 91 </w:t>
      </w:r>
      <w:r w:rsidRPr="00932530">
        <w:rPr>
          <w:rFonts w:ascii="Times New Roman" w:hAnsi="Times New Roman" w:cs="Times New Roman"/>
          <w:i/>
        </w:rPr>
        <w:t>Bcl11a</w:t>
      </w:r>
      <w:r w:rsidRPr="00932530">
        <w:rPr>
          <w:rFonts w:ascii="Times New Roman" w:hAnsi="Times New Roman" w:cs="Times New Roman"/>
        </w:rPr>
        <w:t xml:space="preserve"> exon-2 targeting positive controls </w:t>
      </w:r>
      <w:r>
        <w:rPr>
          <w:rFonts w:ascii="Times New Roman" w:hAnsi="Times New Roman" w:cs="Times New Roman"/>
        </w:rPr>
        <w:t xml:space="preserve">(Extended Data Fig. 6d, g). </w:t>
      </w:r>
      <w:r w:rsidRPr="00932530">
        <w:rPr>
          <w:rFonts w:ascii="Times New Roman" w:hAnsi="Times New Roman" w:cs="Times New Roman"/>
        </w:rPr>
        <w:t>Similar to the human enhancer screen, the sgRNAs were distributed throughout the target sites, with a median distance to adjacent cleavage site of 4 bp and 90% of adjacent cleavage sites falling within 18 bp</w:t>
      </w:r>
      <w:r>
        <w:rPr>
          <w:rFonts w:ascii="Times New Roman" w:hAnsi="Times New Roman" w:cs="Times New Roman"/>
        </w:rPr>
        <w:t xml:space="preserve"> for NGG PAM restricted sgRNAs</w:t>
      </w:r>
      <w:r w:rsidRPr="00932530">
        <w:rPr>
          <w:rFonts w:ascii="Times New Roman" w:hAnsi="Times New Roman" w:cs="Times New Roman"/>
        </w:rPr>
        <w:t xml:space="preserve"> (</w:t>
      </w:r>
      <w:r>
        <w:rPr>
          <w:rFonts w:ascii="Times New Roman" w:hAnsi="Times New Roman" w:cs="Times New Roman"/>
        </w:rPr>
        <w:t>Extended Data Fig. 6e</w:t>
      </w:r>
      <w:r w:rsidRPr="00932530">
        <w:rPr>
          <w:rFonts w:ascii="Times New Roman" w:hAnsi="Times New Roman" w:cs="Times New Roman"/>
        </w:rPr>
        <w:t>). We successfully cloned into lentiviral plasmids all 1271 members of the library with a relatively narrow distribution of representation (median 735, 10%ile</w:t>
      </w:r>
      <w:r>
        <w:rPr>
          <w:rFonts w:ascii="Times New Roman" w:hAnsi="Times New Roman" w:cs="Times New Roman"/>
        </w:rPr>
        <w:t xml:space="preserve"> 393</w:t>
      </w:r>
      <w:r w:rsidRPr="00932530">
        <w:rPr>
          <w:rFonts w:ascii="Times New Roman" w:hAnsi="Times New Roman" w:cs="Times New Roman"/>
        </w:rPr>
        <w:t>, 90%ile 1240</w:t>
      </w:r>
      <w:r>
        <w:rPr>
          <w:rFonts w:ascii="Times New Roman" w:hAnsi="Times New Roman" w:cs="Times New Roman"/>
        </w:rPr>
        <w:t xml:space="preserve"> </w:t>
      </w:r>
      <w:r w:rsidRPr="00932530">
        <w:rPr>
          <w:rFonts w:ascii="Times New Roman" w:hAnsi="Times New Roman" w:cs="Times New Roman"/>
        </w:rPr>
        <w:t>normalized reads</w:t>
      </w:r>
      <w:r>
        <w:rPr>
          <w:rFonts w:ascii="Times New Roman" w:hAnsi="Times New Roman" w:cs="Times New Roman"/>
        </w:rPr>
        <w:t>; Extended Data</w:t>
      </w:r>
      <w:r w:rsidRPr="00932530">
        <w:rPr>
          <w:rFonts w:ascii="Times New Roman" w:hAnsi="Times New Roman" w:cs="Times New Roman"/>
        </w:rPr>
        <w:t xml:space="preserve"> Fig</w:t>
      </w:r>
      <w:r>
        <w:rPr>
          <w:rFonts w:ascii="Times New Roman" w:hAnsi="Times New Roman" w:cs="Times New Roman"/>
        </w:rPr>
        <w:t>. 6f</w:t>
      </w:r>
      <w:r w:rsidRPr="00932530">
        <w:rPr>
          <w:rFonts w:ascii="Times New Roman" w:hAnsi="Times New Roman" w:cs="Times New Roman"/>
        </w:rPr>
        <w:t xml:space="preserve">). </w:t>
      </w:r>
    </w:p>
    <w:p w14:paraId="76EC5A10"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t xml:space="preserve">Following transduction at low multiplicity by the lentiviral library, and </w:t>
      </w:r>
      <w:r>
        <w:rPr>
          <w:rFonts w:ascii="Times New Roman" w:hAnsi="Times New Roman" w:cs="Times New Roman"/>
          <w:i/>
        </w:rPr>
        <w:t xml:space="preserve">in </w:t>
      </w:r>
      <w:r w:rsidRPr="00480BCC">
        <w:rPr>
          <w:rFonts w:ascii="Times New Roman" w:hAnsi="Times New Roman" w:cs="Times New Roman"/>
          <w:i/>
        </w:rPr>
        <w:t>vitro</w:t>
      </w:r>
      <w:r>
        <w:rPr>
          <w:rFonts w:ascii="Times New Roman" w:hAnsi="Times New Roman" w:cs="Times New Roman"/>
        </w:rPr>
        <w:t xml:space="preserve"> culture for two weeks, cells were sorted into high- and low-</w:t>
      </w:r>
      <w:r w:rsidRPr="00932530">
        <w:rPr>
          <w:rFonts w:ascii="Times New Roman" w:hAnsi="Times New Roman" w:cs="Times New Roman"/>
        </w:rPr>
        <w:t>εy</w:t>
      </w:r>
      <w:proofErr w:type="gramStart"/>
      <w:r w:rsidRPr="00932530">
        <w:rPr>
          <w:rFonts w:ascii="Times New Roman" w:hAnsi="Times New Roman" w:cs="Times New Roman"/>
        </w:rPr>
        <w:t>:mCherry</w:t>
      </w:r>
      <w:proofErr w:type="gramEnd"/>
      <w:r>
        <w:rPr>
          <w:rFonts w:ascii="Times New Roman" w:hAnsi="Times New Roman" w:cs="Times New Roman"/>
        </w:rPr>
        <w:t xml:space="preserve"> pools (Extended Data Fig. 6i). Deep sequencing was performed of the genomic DNA to evaluate the representation of sgRNA libraries in the pools. </w:t>
      </w:r>
      <w:r w:rsidRPr="00A0376D">
        <w:rPr>
          <w:rFonts w:ascii="Times New Roman" w:hAnsi="Times New Roman" w:cs="Times New Roman"/>
        </w:rPr>
        <w:t>The</w:t>
      </w:r>
      <w:r w:rsidRPr="00932530">
        <w:rPr>
          <w:rFonts w:ascii="Times New Roman" w:hAnsi="Times New Roman" w:cs="Times New Roman"/>
        </w:rPr>
        <w:t xml:space="preserve"> nontargeting negative control sgRNAs were evenly represented in the high- as compared to low-εy</w:t>
      </w:r>
      <w:proofErr w:type="gramStart"/>
      <w:r w:rsidRPr="00932530">
        <w:rPr>
          <w:rFonts w:ascii="Times New Roman" w:hAnsi="Times New Roman" w:cs="Times New Roman"/>
        </w:rPr>
        <w:t>:mCherry</w:t>
      </w:r>
      <w:proofErr w:type="gramEnd"/>
      <w:r w:rsidRPr="00932530">
        <w:rPr>
          <w:rFonts w:ascii="Times New Roman" w:hAnsi="Times New Roman" w:cs="Times New Roman"/>
        </w:rPr>
        <w:t xml:space="preserve"> pools whereas the positive control </w:t>
      </w:r>
      <w:r w:rsidRPr="00932530">
        <w:rPr>
          <w:rFonts w:ascii="Times New Roman" w:hAnsi="Times New Roman" w:cs="Times New Roman"/>
          <w:i/>
        </w:rPr>
        <w:t>Bcl11a</w:t>
      </w:r>
      <w:r w:rsidRPr="00932530">
        <w:rPr>
          <w:rFonts w:ascii="Times New Roman" w:hAnsi="Times New Roman" w:cs="Times New Roman"/>
        </w:rPr>
        <w:t xml:space="preserve"> exon-2 targeting sgRNAs with NGG PAM were significantly overrepresented in the εy:mCherry-high pool</w:t>
      </w:r>
      <w:r>
        <w:rPr>
          <w:rFonts w:ascii="Times New Roman" w:hAnsi="Times New Roman" w:cs="Times New Roman"/>
        </w:rPr>
        <w:t xml:space="preserve"> (Extended Data Fig. 6j</w:t>
      </w:r>
      <w:r w:rsidRPr="00932530">
        <w:rPr>
          <w:rFonts w:ascii="Times New Roman" w:hAnsi="Times New Roman" w:cs="Times New Roman"/>
        </w:rPr>
        <w:t>). Although there was slight enrichment that reached statistical significance, the NAG PAM restricted sgRNAs showed substantially reduced overrepresentation relative to the potent NGG restricted sgRNAs, so further analysis was restricted to the NGG PAM restricted sgRNAs (</w:t>
      </w:r>
      <w:r>
        <w:rPr>
          <w:rFonts w:ascii="Times New Roman" w:hAnsi="Times New Roman" w:cs="Times New Roman"/>
        </w:rPr>
        <w:t>Extended Data Fig. 6j</w:t>
      </w:r>
      <w:r w:rsidRPr="00932530">
        <w:rPr>
          <w:rFonts w:ascii="Times New Roman" w:hAnsi="Times New Roman" w:cs="Times New Roman"/>
        </w:rPr>
        <w:t>)</w:t>
      </w:r>
      <w:r>
        <w:rPr>
          <w:rFonts w:ascii="Times New Roman" w:hAnsi="Times New Roman" w:cs="Times New Roman"/>
        </w:rPr>
        <w:t xml:space="preserve">. </w:t>
      </w:r>
    </w:p>
    <w:p w14:paraId="6448026F"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We analyzed the</w:t>
      </w:r>
      <w:r>
        <w:rPr>
          <w:rFonts w:ascii="Times New Roman" w:hAnsi="Times New Roman" w:cs="Times New Roman"/>
        </w:rPr>
        <w:t xml:space="preserve"> representation</w:t>
      </w:r>
      <w:r w:rsidRPr="00932530">
        <w:rPr>
          <w:rFonts w:ascii="Times New Roman" w:hAnsi="Times New Roman" w:cs="Times New Roman"/>
        </w:rPr>
        <w:t xml:space="preserve"> </w:t>
      </w:r>
      <w:r>
        <w:rPr>
          <w:rFonts w:ascii="Times New Roman" w:hAnsi="Times New Roman" w:cs="Times New Roman"/>
        </w:rPr>
        <w:t xml:space="preserve">of the library in </w:t>
      </w:r>
      <w:r w:rsidRPr="00932530">
        <w:rPr>
          <w:rFonts w:ascii="Times New Roman" w:hAnsi="Times New Roman" w:cs="Times New Roman"/>
        </w:rPr>
        <w:t xml:space="preserve">cells that had </w:t>
      </w:r>
      <w:r>
        <w:rPr>
          <w:rFonts w:ascii="Times New Roman" w:hAnsi="Times New Roman" w:cs="Times New Roman"/>
        </w:rPr>
        <w:t>completed</w:t>
      </w:r>
      <w:r w:rsidRPr="00932530">
        <w:rPr>
          <w:rFonts w:ascii="Times New Roman" w:hAnsi="Times New Roman" w:cs="Times New Roman"/>
        </w:rPr>
        <w:t xml:space="preserve"> two weeks of </w:t>
      </w:r>
      <w:r w:rsidRPr="00587E59">
        <w:rPr>
          <w:rFonts w:ascii="Times New Roman" w:hAnsi="Times New Roman" w:cs="Times New Roman"/>
          <w:i/>
        </w:rPr>
        <w:t>in vitro</w:t>
      </w:r>
      <w:r w:rsidRPr="00932530">
        <w:rPr>
          <w:rFonts w:ascii="Times New Roman" w:hAnsi="Times New Roman" w:cs="Times New Roman"/>
        </w:rPr>
        <w:t xml:space="preserve"> culture (sum of the high</w:t>
      </w:r>
      <w:r>
        <w:rPr>
          <w:rFonts w:ascii="Times New Roman" w:hAnsi="Times New Roman" w:cs="Times New Roman"/>
        </w:rPr>
        <w:t>-</w:t>
      </w:r>
      <w:r w:rsidRPr="00932530">
        <w:rPr>
          <w:rFonts w:ascii="Times New Roman" w:hAnsi="Times New Roman" w:cs="Times New Roman"/>
        </w:rPr>
        <w:t xml:space="preserve"> and low</w:t>
      </w:r>
      <w:r>
        <w:rPr>
          <w:rFonts w:ascii="Times New Roman" w:hAnsi="Times New Roman" w:cs="Times New Roman"/>
        </w:rPr>
        <w:t>-εy</w:t>
      </w:r>
      <w:proofErr w:type="gramStart"/>
      <w:r>
        <w:rPr>
          <w:rFonts w:ascii="Times New Roman" w:hAnsi="Times New Roman" w:cs="Times New Roman"/>
        </w:rPr>
        <w:t>:</w:t>
      </w:r>
      <w:r w:rsidRPr="00932530">
        <w:rPr>
          <w:rFonts w:ascii="Times New Roman" w:hAnsi="Times New Roman" w:cs="Times New Roman"/>
        </w:rPr>
        <w:t>mCherry</w:t>
      </w:r>
      <w:proofErr w:type="gramEnd"/>
      <w:r w:rsidRPr="00932530">
        <w:rPr>
          <w:rFonts w:ascii="Times New Roman" w:hAnsi="Times New Roman" w:cs="Times New Roman"/>
        </w:rPr>
        <w:t xml:space="preserve"> pools)</w:t>
      </w:r>
      <w:r>
        <w:rPr>
          <w:rFonts w:ascii="Times New Roman" w:hAnsi="Times New Roman" w:cs="Times New Roman"/>
        </w:rPr>
        <w:t xml:space="preserve"> as compared to the initial lentiviral </w:t>
      </w:r>
      <w:r>
        <w:rPr>
          <w:rFonts w:ascii="Times New Roman" w:hAnsi="Times New Roman" w:cs="Times New Roman"/>
        </w:rPr>
        <w:lastRenderedPageBreak/>
        <w:t>plasmid pool</w:t>
      </w:r>
      <w:r w:rsidRPr="00932530">
        <w:rPr>
          <w:rFonts w:ascii="Times New Roman" w:hAnsi="Times New Roman" w:cs="Times New Roman"/>
        </w:rPr>
        <w:t>. The large majority of sgRNAs showed equivalent representation in the initial plasmid pool and as integrants in cells at the completion of the experiment (</w:t>
      </w:r>
      <w:r>
        <w:rPr>
          <w:rFonts w:ascii="Times New Roman" w:hAnsi="Times New Roman" w:cs="Times New Roman"/>
        </w:rPr>
        <w:t>Extended Data Fig. 7</w:t>
      </w:r>
      <w:r w:rsidRPr="00932530">
        <w:rPr>
          <w:rFonts w:ascii="Times New Roman" w:hAnsi="Times New Roman" w:cs="Times New Roman"/>
        </w:rPr>
        <w:t xml:space="preserve">a). A small number of sgRNAs (n=8) showed substantial </w:t>
      </w:r>
      <w:r>
        <w:rPr>
          <w:rFonts w:ascii="Times New Roman" w:hAnsi="Times New Roman" w:cs="Times New Roman"/>
        </w:rPr>
        <w:t xml:space="preserve">cellular </w:t>
      </w:r>
      <w:r w:rsidRPr="00932530">
        <w:rPr>
          <w:rFonts w:ascii="Times New Roman" w:hAnsi="Times New Roman" w:cs="Times New Roman"/>
        </w:rPr>
        <w:t>dropout &gt;2</w:t>
      </w:r>
      <w:r w:rsidRPr="00932530">
        <w:rPr>
          <w:rFonts w:ascii="Times New Roman" w:hAnsi="Times New Roman" w:cs="Times New Roman"/>
          <w:vertAlign w:val="superscript"/>
        </w:rPr>
        <w:t>-3</w:t>
      </w:r>
      <w:r>
        <w:rPr>
          <w:rFonts w:ascii="Times New Roman" w:hAnsi="Times New Roman" w:cs="Times New Roman"/>
        </w:rPr>
        <w:t xml:space="preserve"> and were removed from subsequent enrichment analysis.</w:t>
      </w:r>
      <w:r w:rsidRPr="00932530">
        <w:rPr>
          <w:rFonts w:ascii="Times New Roman" w:hAnsi="Times New Roman" w:cs="Times New Roman"/>
        </w:rPr>
        <w:t xml:space="preserve"> Similar to the human screen, these mapped to repetitive elements</w:t>
      </w:r>
      <w:r>
        <w:rPr>
          <w:rFonts w:ascii="Times New Roman" w:hAnsi="Times New Roman" w:cs="Times New Roman"/>
        </w:rPr>
        <w:t xml:space="preserve"> (Extended Data Fig. 7</w:t>
      </w:r>
      <w:r w:rsidRPr="00932530">
        <w:rPr>
          <w:rFonts w:ascii="Times New Roman" w:hAnsi="Times New Roman" w:cs="Times New Roman"/>
        </w:rPr>
        <w:t>c).</w:t>
      </w:r>
    </w:p>
    <w:p w14:paraId="39924872"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t>W</w:t>
      </w:r>
      <w:r w:rsidRPr="00932530">
        <w:rPr>
          <w:rFonts w:ascii="Times New Roman" w:hAnsi="Times New Roman" w:cs="Times New Roman"/>
        </w:rPr>
        <w:t>e determined</w:t>
      </w:r>
      <w:r>
        <w:rPr>
          <w:rFonts w:ascii="Times New Roman" w:hAnsi="Times New Roman" w:cs="Times New Roman"/>
        </w:rPr>
        <w:t xml:space="preserve"> εy</w:t>
      </w:r>
      <w:r w:rsidRPr="00932530">
        <w:rPr>
          <w:rFonts w:ascii="Times New Roman" w:hAnsi="Times New Roman" w:cs="Times New Roman"/>
        </w:rPr>
        <w:t xml:space="preserve"> enrichment score </w:t>
      </w:r>
      <w:r>
        <w:rPr>
          <w:rFonts w:ascii="Times New Roman" w:hAnsi="Times New Roman" w:cs="Times New Roman"/>
        </w:rPr>
        <w:t>as the log</w:t>
      </w:r>
      <w:r w:rsidRPr="00E44DC9">
        <w:rPr>
          <w:rFonts w:ascii="Times New Roman" w:hAnsi="Times New Roman" w:cs="Times New Roman"/>
          <w:vertAlign w:val="subscript"/>
        </w:rPr>
        <w:t>2</w:t>
      </w:r>
      <w:r>
        <w:rPr>
          <w:rFonts w:ascii="Times New Roman" w:hAnsi="Times New Roman" w:cs="Times New Roman"/>
        </w:rPr>
        <w:t>-ratio between representation in the εy</w:t>
      </w:r>
      <w:proofErr w:type="gramStart"/>
      <w:r>
        <w:rPr>
          <w:rFonts w:ascii="Times New Roman" w:hAnsi="Times New Roman" w:cs="Times New Roman"/>
        </w:rPr>
        <w:t>:mCherry</w:t>
      </w:r>
      <w:proofErr w:type="gramEnd"/>
      <w:r>
        <w:rPr>
          <w:rFonts w:ascii="Times New Roman" w:hAnsi="Times New Roman" w:cs="Times New Roman"/>
        </w:rPr>
        <w:t>-high as compared to εy:mCherry-low</w:t>
      </w:r>
      <w:r w:rsidRPr="00932530">
        <w:rPr>
          <w:rFonts w:ascii="Times New Roman" w:hAnsi="Times New Roman" w:cs="Times New Roman"/>
        </w:rPr>
        <w:t xml:space="preserve"> pools (</w:t>
      </w:r>
      <w:r>
        <w:rPr>
          <w:rFonts w:ascii="Times New Roman" w:hAnsi="Times New Roman" w:cs="Times New Roman"/>
        </w:rPr>
        <w:t>Fig. 5a; Extended Data Fig. 7</w:t>
      </w:r>
      <w:r w:rsidRPr="00932530">
        <w:rPr>
          <w:rFonts w:ascii="Times New Roman" w:hAnsi="Times New Roman" w:cs="Times New Roman"/>
        </w:rPr>
        <w:t xml:space="preserve">a). </w:t>
      </w:r>
      <w:r>
        <w:rPr>
          <w:rFonts w:ascii="Times New Roman" w:hAnsi="Times New Roman" w:cs="Times New Roman"/>
        </w:rPr>
        <w:t>We noted almost all exon-2 targeting sgRNAs demonstrated both positive εy enrichment scores and negative cellular dropout scores with high correlation (Fig. 5a; Extended Data Fig. 7a, c, d).</w:t>
      </w:r>
    </w:p>
    <w:p w14:paraId="3BF21B60"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The majority of enhancer targeting sgRNAs showed no significant</w:t>
      </w:r>
      <w:r>
        <w:rPr>
          <w:rFonts w:ascii="Times New Roman" w:hAnsi="Times New Roman" w:cs="Times New Roman"/>
        </w:rPr>
        <w:t xml:space="preserve"> εy</w:t>
      </w:r>
      <w:r w:rsidRPr="00932530">
        <w:rPr>
          <w:rFonts w:ascii="Times New Roman" w:hAnsi="Times New Roman" w:cs="Times New Roman"/>
        </w:rPr>
        <w:t xml:space="preserve"> enrichment (</w:t>
      </w:r>
      <w:r>
        <w:rPr>
          <w:rFonts w:ascii="Times New Roman" w:hAnsi="Times New Roman" w:cs="Times New Roman"/>
        </w:rPr>
        <w:t>Extended Data</w:t>
      </w:r>
      <w:r w:rsidRPr="00932530">
        <w:rPr>
          <w:rFonts w:ascii="Times New Roman" w:hAnsi="Times New Roman" w:cs="Times New Roman"/>
        </w:rPr>
        <w:t xml:space="preserve"> </w:t>
      </w:r>
      <w:r>
        <w:rPr>
          <w:rFonts w:ascii="Times New Roman" w:hAnsi="Times New Roman" w:cs="Times New Roman"/>
        </w:rPr>
        <w:t>Fig. 7</w:t>
      </w:r>
      <w:r w:rsidRPr="00932530">
        <w:rPr>
          <w:rFonts w:ascii="Times New Roman" w:hAnsi="Times New Roman" w:cs="Times New Roman"/>
        </w:rPr>
        <w:t xml:space="preserve">b). We detected sgRNAs with both modest enrichment and depletion from </w:t>
      </w:r>
      <w:r>
        <w:rPr>
          <w:rFonts w:ascii="Times New Roman" w:hAnsi="Times New Roman" w:cs="Times New Roman"/>
        </w:rPr>
        <w:t>the εy</w:t>
      </w:r>
      <w:proofErr w:type="gramStart"/>
      <w:r>
        <w:rPr>
          <w:rFonts w:ascii="Times New Roman" w:hAnsi="Times New Roman" w:cs="Times New Roman"/>
        </w:rPr>
        <w:t>:</w:t>
      </w:r>
      <w:r w:rsidRPr="00932530">
        <w:rPr>
          <w:rFonts w:ascii="Times New Roman" w:hAnsi="Times New Roman" w:cs="Times New Roman"/>
        </w:rPr>
        <w:t>mCherry</w:t>
      </w:r>
      <w:proofErr w:type="gramEnd"/>
      <w:r>
        <w:rPr>
          <w:rFonts w:ascii="Times New Roman" w:hAnsi="Times New Roman" w:cs="Times New Roman"/>
        </w:rPr>
        <w:t>-high pool at the m</w:t>
      </w:r>
      <w:r w:rsidRPr="00932530">
        <w:rPr>
          <w:rFonts w:ascii="Times New Roman" w:hAnsi="Times New Roman" w:cs="Times New Roman"/>
        </w:rPr>
        <w:t>+55 ortholog, similar to h+55. We detected a set of sgRNAs with marked</w:t>
      </w:r>
      <w:r>
        <w:rPr>
          <w:rFonts w:ascii="Times New Roman" w:hAnsi="Times New Roman" w:cs="Times New Roman"/>
        </w:rPr>
        <w:t xml:space="preserve"> εy</w:t>
      </w:r>
      <w:r w:rsidRPr="00932530">
        <w:rPr>
          <w:rFonts w:ascii="Times New Roman" w:hAnsi="Times New Roman" w:cs="Times New Roman"/>
        </w:rPr>
        <w:t xml:space="preserve"> enrichment </w:t>
      </w:r>
      <w:r>
        <w:rPr>
          <w:rFonts w:ascii="Times New Roman" w:hAnsi="Times New Roman" w:cs="Times New Roman"/>
        </w:rPr>
        <w:t>at the m</w:t>
      </w:r>
      <w:r w:rsidRPr="00932530">
        <w:rPr>
          <w:rFonts w:ascii="Times New Roman" w:hAnsi="Times New Roman" w:cs="Times New Roman"/>
        </w:rPr>
        <w:t xml:space="preserve">+62 ortholog, exceeding the potency </w:t>
      </w:r>
      <w:r>
        <w:rPr>
          <w:rFonts w:ascii="Times New Roman" w:hAnsi="Times New Roman" w:cs="Times New Roman"/>
        </w:rPr>
        <w:t>of those enriching at h+62. At the m</w:t>
      </w:r>
      <w:r w:rsidRPr="00932530">
        <w:rPr>
          <w:rFonts w:ascii="Times New Roman" w:hAnsi="Times New Roman" w:cs="Times New Roman"/>
        </w:rPr>
        <w:t xml:space="preserve">+58 ortholog we did not observe any evidence of </w:t>
      </w:r>
      <w:r>
        <w:rPr>
          <w:rFonts w:ascii="Times New Roman" w:hAnsi="Times New Roman" w:cs="Times New Roman"/>
        </w:rPr>
        <w:t>εy</w:t>
      </w:r>
      <w:r w:rsidRPr="00932530">
        <w:rPr>
          <w:rFonts w:ascii="Times New Roman" w:hAnsi="Times New Roman" w:cs="Times New Roman"/>
        </w:rPr>
        <w:t xml:space="preserve"> enriching or depleting sgRNAs</w:t>
      </w:r>
      <w:r>
        <w:rPr>
          <w:rFonts w:ascii="Times New Roman" w:hAnsi="Times New Roman" w:cs="Times New Roman"/>
        </w:rPr>
        <w:t xml:space="preserve"> (Extended Data Fig. 7</w:t>
      </w:r>
      <w:r w:rsidRPr="00932530">
        <w:rPr>
          <w:rFonts w:ascii="Times New Roman" w:hAnsi="Times New Roman" w:cs="Times New Roman"/>
        </w:rPr>
        <w:t>b)</w:t>
      </w:r>
      <w:r>
        <w:rPr>
          <w:rFonts w:ascii="Times New Roman" w:hAnsi="Times New Roman" w:cs="Times New Roman"/>
        </w:rPr>
        <w:t>.</w:t>
      </w:r>
    </w:p>
    <w:p w14:paraId="5211032C"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t xml:space="preserve">We applied the same HMM model to infer Active, Repressive, and Neutral states at the mouse BCL11A enhancer </w:t>
      </w:r>
      <w:proofErr w:type="spellStart"/>
      <w:r>
        <w:rPr>
          <w:rFonts w:ascii="Times New Roman" w:hAnsi="Times New Roman" w:cs="Times New Roman"/>
        </w:rPr>
        <w:t>orthologs</w:t>
      </w:r>
      <w:proofErr w:type="spellEnd"/>
      <w:r>
        <w:rPr>
          <w:rFonts w:ascii="Times New Roman" w:hAnsi="Times New Roman" w:cs="Times New Roman"/>
        </w:rPr>
        <w:t xml:space="preserve"> (Extended Data Fig. 4a, 8a-c). We identified an Active state at the m+62 ortholog and Active and Repressive states at the m+55 ortholog. Only the Neutral state was identified at the m+58 ortholog. The regions of the m+55 and m+62 DHSs with peak DNase I sensitivity were inferred as possessing Active states (Extended Data Fig 8a-c). We analyzed 108 clones in which the entire composite enhancer was first </w:t>
      </w:r>
      <w:proofErr w:type="spellStart"/>
      <w:r>
        <w:rPr>
          <w:rFonts w:ascii="Times New Roman" w:hAnsi="Times New Roman" w:cs="Times New Roman"/>
        </w:rPr>
        <w:t>monoallelically</w:t>
      </w:r>
      <w:proofErr w:type="spellEnd"/>
      <w:r>
        <w:rPr>
          <w:rFonts w:ascii="Times New Roman" w:hAnsi="Times New Roman" w:cs="Times New Roman"/>
        </w:rPr>
        <w:t xml:space="preserve"> deleted and subsequent hemizygous mutations were produced by sgRNAs targeting the m+62 ortholog on the remaining allele. We measured BCL11A expression</w:t>
      </w:r>
      <w:r w:rsidRPr="0032718B">
        <w:rPr>
          <w:rFonts w:ascii="Times New Roman" w:hAnsi="Times New Roman" w:cs="Times New Roman"/>
        </w:rPr>
        <w:t xml:space="preserve"> </w:t>
      </w:r>
      <w:r>
        <w:rPr>
          <w:rFonts w:ascii="Times New Roman" w:hAnsi="Times New Roman" w:cs="Times New Roman"/>
        </w:rPr>
        <w:t xml:space="preserve">by RT-qPCR in each of these 108 </w:t>
      </w:r>
      <w:r>
        <w:rPr>
          <w:rFonts w:ascii="Times New Roman" w:hAnsi="Times New Roman" w:cs="Times New Roman"/>
        </w:rPr>
        <w:lastRenderedPageBreak/>
        <w:t xml:space="preserve">clones normalized to 25 control clones not exposed to m+62 targeting sgRNAs. This clonal analysis </w:t>
      </w:r>
      <w:r w:rsidRPr="00932530">
        <w:rPr>
          <w:rFonts w:ascii="Times New Roman" w:hAnsi="Times New Roman" w:cs="Times New Roman"/>
        </w:rPr>
        <w:t xml:space="preserve">identified a core region of the </w:t>
      </w:r>
      <w:r>
        <w:rPr>
          <w:rFonts w:ascii="Times New Roman" w:hAnsi="Times New Roman" w:cs="Times New Roman"/>
        </w:rPr>
        <w:t>m</w:t>
      </w:r>
      <w:r w:rsidRPr="00932530">
        <w:rPr>
          <w:rFonts w:ascii="Times New Roman" w:hAnsi="Times New Roman" w:cs="Times New Roman"/>
        </w:rPr>
        <w:t xml:space="preserve">+62 </w:t>
      </w:r>
      <w:r>
        <w:rPr>
          <w:rFonts w:ascii="Times New Roman" w:hAnsi="Times New Roman" w:cs="Times New Roman"/>
        </w:rPr>
        <w:t>ortholog</w:t>
      </w:r>
      <w:r w:rsidRPr="00932530">
        <w:rPr>
          <w:rFonts w:ascii="Times New Roman" w:hAnsi="Times New Roman" w:cs="Times New Roman"/>
        </w:rPr>
        <w:t xml:space="preserve"> containing functional sequence</w:t>
      </w:r>
      <w:r>
        <w:rPr>
          <w:rFonts w:ascii="Times New Roman" w:hAnsi="Times New Roman" w:cs="Times New Roman"/>
        </w:rPr>
        <w:t>s</w:t>
      </w:r>
      <w:r w:rsidRPr="00932530">
        <w:rPr>
          <w:rFonts w:ascii="Times New Roman" w:hAnsi="Times New Roman" w:cs="Times New Roman"/>
        </w:rPr>
        <w:t xml:space="preserve"> required for BCL11A expression and embryonic εy</w:t>
      </w:r>
      <w:r>
        <w:rPr>
          <w:rFonts w:ascii="Times New Roman" w:hAnsi="Times New Roman" w:cs="Times New Roman"/>
        </w:rPr>
        <w:t>-globin repression (Extended Data Fig. 8d, 9</w:t>
      </w:r>
      <w:r w:rsidRPr="00932530">
        <w:rPr>
          <w:rFonts w:ascii="Times New Roman" w:hAnsi="Times New Roman" w:cs="Times New Roman"/>
        </w:rPr>
        <w:t xml:space="preserve">). </w:t>
      </w:r>
      <w:r>
        <w:rPr>
          <w:rFonts w:ascii="Times New Roman" w:hAnsi="Times New Roman" w:cs="Times New Roman"/>
        </w:rPr>
        <w:t>The</w:t>
      </w:r>
      <w:r w:rsidRPr="00932530">
        <w:rPr>
          <w:rFonts w:ascii="Times New Roman" w:hAnsi="Times New Roman" w:cs="Times New Roman"/>
        </w:rPr>
        <w:t xml:space="preserve"> region </w:t>
      </w:r>
      <w:r>
        <w:rPr>
          <w:rFonts w:ascii="Times New Roman" w:hAnsi="Times New Roman" w:cs="Times New Roman"/>
        </w:rPr>
        <w:t xml:space="preserve">is rich with TF-binding motifs, particularly those of key factors involved in erythropoiesis and globin gene regulation, including Gata1, Klf1, and </w:t>
      </w:r>
      <w:proofErr w:type="spellStart"/>
      <w:r>
        <w:rPr>
          <w:rFonts w:ascii="Times New Roman" w:hAnsi="Times New Roman" w:cs="Times New Roman"/>
        </w:rPr>
        <w:t>Myb</w:t>
      </w:r>
      <w:proofErr w:type="spellEnd"/>
      <w:r>
        <w:rPr>
          <w:rFonts w:ascii="Times New Roman" w:hAnsi="Times New Roman" w:cs="Times New Roman"/>
        </w:rPr>
        <w:t xml:space="preserve"> (Extended Data Fig. 9). Of note, despite the presence of relatively high vertebrate conservation throughout the m+62 and h+62 Active state regions (Fig. 4c, Extended Data Fig. 5c, 8c, 9b), the impact of the m+62 ortholog on BCL11A and globin gene regulation greatly exceeded that of h+62 (Fig. 2a, c-e, 5a-c; Extended Data Fig. 8c, d, 9).</w:t>
      </w:r>
      <w:r w:rsidRPr="00932530" w:rsidDel="00A86EEB">
        <w:rPr>
          <w:rFonts w:ascii="Times New Roman" w:hAnsi="Times New Roman" w:cs="Times New Roman"/>
        </w:rPr>
        <w:t xml:space="preserve"> </w:t>
      </w:r>
    </w:p>
    <w:p w14:paraId="71B38BE5" w14:textId="77777777" w:rsidR="003C19D1" w:rsidRDefault="003C19D1" w:rsidP="003C19D1">
      <w:pPr>
        <w:spacing w:line="480" w:lineRule="auto"/>
        <w:rPr>
          <w:rFonts w:ascii="Times New Roman" w:hAnsi="Times New Roman" w:cs="Times New Roman"/>
          <w:b/>
        </w:rPr>
      </w:pPr>
    </w:p>
    <w:p w14:paraId="100AB306" w14:textId="77777777" w:rsidR="003C19D1" w:rsidRDefault="003C19D1" w:rsidP="003C19D1">
      <w:pPr>
        <w:spacing w:line="480" w:lineRule="auto"/>
        <w:rPr>
          <w:rFonts w:ascii="Times New Roman" w:hAnsi="Times New Roman" w:cs="Times New Roman"/>
        </w:rPr>
      </w:pPr>
      <w:r>
        <w:rPr>
          <w:rFonts w:ascii="Times New Roman" w:hAnsi="Times New Roman" w:cs="Times New Roman"/>
          <w:b/>
        </w:rPr>
        <w:t>Human and m</w:t>
      </w:r>
      <w:r w:rsidRPr="00B546F8">
        <w:rPr>
          <w:rFonts w:ascii="Times New Roman" w:hAnsi="Times New Roman" w:cs="Times New Roman"/>
          <w:b/>
        </w:rPr>
        <w:t>ouse</w:t>
      </w:r>
      <w:r>
        <w:rPr>
          <w:rFonts w:ascii="Times New Roman" w:hAnsi="Times New Roman" w:cs="Times New Roman"/>
          <w:b/>
        </w:rPr>
        <w:t xml:space="preserve"> sequence and functional conservation</w:t>
      </w:r>
    </w:p>
    <w:p w14:paraId="0582B723" w14:textId="77777777" w:rsidR="003C19D1" w:rsidRDefault="003C19D1" w:rsidP="003C19D1">
      <w:pPr>
        <w:spacing w:line="480" w:lineRule="auto"/>
        <w:rPr>
          <w:rFonts w:ascii="Times New Roman" w:hAnsi="Times New Roman" w:cs="Times New Roman"/>
        </w:rPr>
      </w:pPr>
      <w:r w:rsidRPr="00932530">
        <w:rPr>
          <w:rFonts w:ascii="Times New Roman" w:hAnsi="Times New Roman" w:cs="Times New Roman"/>
        </w:rPr>
        <w:t xml:space="preserve">Sequence homology is detectable at an approximately similar </w:t>
      </w:r>
      <w:r>
        <w:rPr>
          <w:rFonts w:ascii="Times New Roman" w:hAnsi="Times New Roman" w:cs="Times New Roman"/>
        </w:rPr>
        <w:t xml:space="preserve">distal intron-2 </w:t>
      </w:r>
      <w:r w:rsidRPr="00932530">
        <w:rPr>
          <w:rFonts w:ascii="Times New Roman" w:hAnsi="Times New Roman" w:cs="Times New Roman"/>
        </w:rPr>
        <w:t xml:space="preserve">position with respect to the TSS for each of the </w:t>
      </w:r>
      <w:r>
        <w:rPr>
          <w:rFonts w:ascii="Times New Roman" w:hAnsi="Times New Roman" w:cs="Times New Roman"/>
        </w:rPr>
        <w:t xml:space="preserve">mouse sequences homologous to the </w:t>
      </w:r>
      <w:r w:rsidRPr="00932530">
        <w:rPr>
          <w:rFonts w:ascii="Times New Roman" w:hAnsi="Times New Roman" w:cs="Times New Roman"/>
        </w:rPr>
        <w:t xml:space="preserve">three human DHSs: h+55 (length 1283 </w:t>
      </w:r>
      <w:r>
        <w:rPr>
          <w:rFonts w:ascii="Times New Roman" w:hAnsi="Times New Roman" w:cs="Times New Roman"/>
        </w:rPr>
        <w:t>bp</w:t>
      </w:r>
      <w:r w:rsidRPr="00932530">
        <w:rPr>
          <w:rFonts w:ascii="Times New Roman" w:hAnsi="Times New Roman" w:cs="Times New Roman"/>
        </w:rPr>
        <w:t xml:space="preserve">) has 402 </w:t>
      </w:r>
      <w:r>
        <w:rPr>
          <w:rFonts w:ascii="Times New Roman" w:hAnsi="Times New Roman" w:cs="Times New Roman"/>
        </w:rPr>
        <w:t xml:space="preserve">positions of </w:t>
      </w:r>
      <w:r w:rsidRPr="00932530">
        <w:rPr>
          <w:rFonts w:ascii="Times New Roman" w:hAnsi="Times New Roman" w:cs="Times New Roman"/>
        </w:rPr>
        <w:t>nucleotide identity</w:t>
      </w:r>
      <w:r>
        <w:rPr>
          <w:rFonts w:ascii="Times New Roman" w:hAnsi="Times New Roman" w:cs="Times New Roman"/>
        </w:rPr>
        <w:t xml:space="preserve"> (31.3%)</w:t>
      </w:r>
      <w:r w:rsidRPr="00932530">
        <w:rPr>
          <w:rFonts w:ascii="Times New Roman" w:hAnsi="Times New Roman" w:cs="Times New Roman"/>
        </w:rPr>
        <w:t xml:space="preserve"> </w:t>
      </w:r>
      <w:r>
        <w:rPr>
          <w:rFonts w:ascii="Times New Roman" w:hAnsi="Times New Roman" w:cs="Times New Roman"/>
        </w:rPr>
        <w:t>compared to</w:t>
      </w:r>
      <w:r w:rsidRPr="00932530">
        <w:rPr>
          <w:rFonts w:ascii="Times New Roman" w:hAnsi="Times New Roman" w:cs="Times New Roman"/>
        </w:rPr>
        <w:t xml:space="preserve"> the m+55 ortholog (length</w:t>
      </w:r>
      <w:r w:rsidRPr="00932530" w:rsidDel="000323B7">
        <w:rPr>
          <w:rFonts w:ascii="Times New Roman" w:hAnsi="Times New Roman" w:cs="Times New Roman"/>
        </w:rPr>
        <w:t xml:space="preserve"> </w:t>
      </w:r>
      <w:r w:rsidRPr="00932530">
        <w:rPr>
          <w:rFonts w:ascii="Times New Roman" w:hAnsi="Times New Roman" w:cs="Times New Roman"/>
        </w:rPr>
        <w:t xml:space="preserve">1046 bp), h+58 (1264 </w:t>
      </w:r>
      <w:r>
        <w:rPr>
          <w:rFonts w:ascii="Times New Roman" w:hAnsi="Times New Roman" w:cs="Times New Roman"/>
        </w:rPr>
        <w:t>bp</w:t>
      </w:r>
      <w:r w:rsidRPr="00932530">
        <w:rPr>
          <w:rFonts w:ascii="Times New Roman" w:hAnsi="Times New Roman" w:cs="Times New Roman"/>
        </w:rPr>
        <w:t xml:space="preserve">) has 367 </w:t>
      </w:r>
      <w:r>
        <w:rPr>
          <w:rFonts w:ascii="Times New Roman" w:hAnsi="Times New Roman" w:cs="Times New Roman"/>
        </w:rPr>
        <w:t xml:space="preserve">positions of </w:t>
      </w:r>
      <w:r w:rsidRPr="00932530">
        <w:rPr>
          <w:rFonts w:ascii="Times New Roman" w:hAnsi="Times New Roman" w:cs="Times New Roman"/>
        </w:rPr>
        <w:t xml:space="preserve">nucleotide identity </w:t>
      </w:r>
      <w:r>
        <w:rPr>
          <w:rFonts w:ascii="Times New Roman" w:hAnsi="Times New Roman" w:cs="Times New Roman"/>
        </w:rPr>
        <w:t>(28.6%) compared to</w:t>
      </w:r>
      <w:r w:rsidRPr="00932530">
        <w:rPr>
          <w:rFonts w:ascii="Times New Roman" w:hAnsi="Times New Roman" w:cs="Times New Roman"/>
        </w:rPr>
        <w:t xml:space="preserve"> the m+58 ortholog (length</w:t>
      </w:r>
      <w:r w:rsidRPr="00932530" w:rsidDel="000323B7">
        <w:rPr>
          <w:rFonts w:ascii="Times New Roman" w:hAnsi="Times New Roman" w:cs="Times New Roman"/>
        </w:rPr>
        <w:t xml:space="preserve"> </w:t>
      </w:r>
      <w:r w:rsidRPr="00932530">
        <w:rPr>
          <w:rFonts w:ascii="Times New Roman" w:hAnsi="Times New Roman" w:cs="Times New Roman"/>
        </w:rPr>
        <w:t xml:space="preserve">1341 bp), and h+62 (length 1369 </w:t>
      </w:r>
      <w:r>
        <w:rPr>
          <w:rFonts w:ascii="Times New Roman" w:hAnsi="Times New Roman" w:cs="Times New Roman"/>
        </w:rPr>
        <w:t>bp</w:t>
      </w:r>
      <w:r w:rsidRPr="00932530">
        <w:rPr>
          <w:rFonts w:ascii="Times New Roman" w:hAnsi="Times New Roman" w:cs="Times New Roman"/>
        </w:rPr>
        <w:t xml:space="preserve">) has 281 </w:t>
      </w:r>
      <w:r>
        <w:rPr>
          <w:rFonts w:ascii="Times New Roman" w:hAnsi="Times New Roman" w:cs="Times New Roman"/>
        </w:rPr>
        <w:t xml:space="preserve">positions of </w:t>
      </w:r>
      <w:r w:rsidRPr="00932530">
        <w:rPr>
          <w:rFonts w:ascii="Times New Roman" w:hAnsi="Times New Roman" w:cs="Times New Roman"/>
        </w:rPr>
        <w:t>nucleotide identity</w:t>
      </w:r>
      <w:r>
        <w:rPr>
          <w:rFonts w:ascii="Times New Roman" w:hAnsi="Times New Roman" w:cs="Times New Roman"/>
        </w:rPr>
        <w:t xml:space="preserve"> (20.5%)</w:t>
      </w:r>
      <w:r w:rsidRPr="00932530">
        <w:rPr>
          <w:rFonts w:ascii="Times New Roman" w:hAnsi="Times New Roman" w:cs="Times New Roman"/>
        </w:rPr>
        <w:t xml:space="preserve"> </w:t>
      </w:r>
      <w:r>
        <w:rPr>
          <w:rFonts w:ascii="Times New Roman" w:hAnsi="Times New Roman" w:cs="Times New Roman"/>
        </w:rPr>
        <w:t xml:space="preserve">compared </w:t>
      </w:r>
      <w:r w:rsidRPr="00932530">
        <w:rPr>
          <w:rFonts w:ascii="Times New Roman" w:hAnsi="Times New Roman" w:cs="Times New Roman"/>
        </w:rPr>
        <w:t>to the m+62 ortholog (</w:t>
      </w:r>
      <w:r>
        <w:rPr>
          <w:rFonts w:ascii="Times New Roman" w:hAnsi="Times New Roman" w:cs="Times New Roman"/>
        </w:rPr>
        <w:t xml:space="preserve">length </w:t>
      </w:r>
      <w:r w:rsidRPr="00932530">
        <w:rPr>
          <w:rFonts w:ascii="Times New Roman" w:hAnsi="Times New Roman" w:cs="Times New Roman"/>
        </w:rPr>
        <w:t>1216</w:t>
      </w:r>
      <w:r>
        <w:rPr>
          <w:rFonts w:ascii="Times New Roman" w:hAnsi="Times New Roman" w:cs="Times New Roman"/>
        </w:rPr>
        <w:t xml:space="preserve"> bp</w:t>
      </w:r>
      <w:r w:rsidRPr="00932530">
        <w:rPr>
          <w:rFonts w:ascii="Times New Roman" w:hAnsi="Times New Roman" w:cs="Times New Roman"/>
        </w:rPr>
        <w:t xml:space="preserve">). </w:t>
      </w:r>
      <w:r>
        <w:rPr>
          <w:rFonts w:ascii="Times New Roman" w:hAnsi="Times New Roman" w:cs="Times New Roman"/>
        </w:rPr>
        <w:t>By comparison,</w:t>
      </w:r>
      <w:r w:rsidRPr="00932530">
        <w:rPr>
          <w:rFonts w:ascii="Times New Roman" w:hAnsi="Times New Roman" w:cs="Times New Roman"/>
        </w:rPr>
        <w:t xml:space="preserve"> of the 2508 </w:t>
      </w:r>
      <w:r>
        <w:rPr>
          <w:rFonts w:ascii="Times New Roman" w:hAnsi="Times New Roman" w:cs="Times New Roman"/>
        </w:rPr>
        <w:t>bp</w:t>
      </w:r>
      <w:r w:rsidRPr="00932530">
        <w:rPr>
          <w:rFonts w:ascii="Times New Roman" w:hAnsi="Times New Roman" w:cs="Times New Roman"/>
        </w:rPr>
        <w:t xml:space="preserve"> in human </w:t>
      </w:r>
      <w:r w:rsidRPr="00932530">
        <w:rPr>
          <w:rFonts w:ascii="Times New Roman" w:hAnsi="Times New Roman" w:cs="Times New Roman"/>
          <w:i/>
        </w:rPr>
        <w:t>BCL11A</w:t>
      </w:r>
      <w:r w:rsidRPr="00932530">
        <w:rPr>
          <w:rFonts w:ascii="Times New Roman" w:hAnsi="Times New Roman" w:cs="Times New Roman"/>
        </w:rPr>
        <w:t xml:space="preserve"> coding sequence</w:t>
      </w:r>
      <w:r>
        <w:rPr>
          <w:rFonts w:ascii="Times New Roman" w:hAnsi="Times New Roman" w:cs="Times New Roman"/>
        </w:rPr>
        <w:t xml:space="preserve"> (XL isoform)</w:t>
      </w:r>
      <w:r w:rsidRPr="00932530">
        <w:rPr>
          <w:rFonts w:ascii="Times New Roman" w:hAnsi="Times New Roman" w:cs="Times New Roman"/>
        </w:rPr>
        <w:t>, 2424 nucleotides demonstrate identity</w:t>
      </w:r>
      <w:r>
        <w:rPr>
          <w:rFonts w:ascii="Times New Roman" w:hAnsi="Times New Roman" w:cs="Times New Roman"/>
        </w:rPr>
        <w:t xml:space="preserve"> (96.7%) compared</w:t>
      </w:r>
      <w:r w:rsidRPr="00932530">
        <w:rPr>
          <w:rFonts w:ascii="Times New Roman" w:hAnsi="Times New Roman" w:cs="Times New Roman"/>
        </w:rPr>
        <w:t xml:space="preserve"> to mouse </w:t>
      </w:r>
      <w:r w:rsidRPr="00932530">
        <w:rPr>
          <w:rFonts w:ascii="Times New Roman" w:hAnsi="Times New Roman" w:cs="Times New Roman"/>
          <w:i/>
        </w:rPr>
        <w:t>Bcl11a</w:t>
      </w:r>
      <w:r w:rsidRPr="00932530">
        <w:rPr>
          <w:rFonts w:ascii="Times New Roman" w:hAnsi="Times New Roman" w:cs="Times New Roman"/>
        </w:rPr>
        <w:t xml:space="preserve"> coding sequence</w:t>
      </w:r>
      <w:r>
        <w:rPr>
          <w:rFonts w:ascii="Times New Roman" w:hAnsi="Times New Roman" w:cs="Times New Roman"/>
        </w:rPr>
        <w:t xml:space="preserve"> (XL isoform)</w:t>
      </w:r>
      <w:r w:rsidRPr="00932530">
        <w:rPr>
          <w:rFonts w:ascii="Times New Roman" w:hAnsi="Times New Roman" w:cs="Times New Roman"/>
        </w:rPr>
        <w:t>.</w:t>
      </w:r>
    </w:p>
    <w:p w14:paraId="02B877E9" w14:textId="77777777" w:rsidR="003C19D1" w:rsidRDefault="003C19D1" w:rsidP="003C19D1">
      <w:pPr>
        <w:spacing w:line="480" w:lineRule="auto"/>
        <w:ind w:firstLine="720"/>
        <w:rPr>
          <w:rFonts w:ascii="Times New Roman" w:hAnsi="Times New Roman" w:cs="Times New Roman"/>
        </w:rPr>
      </w:pPr>
      <w:r>
        <w:rPr>
          <w:rFonts w:ascii="Times New Roman" w:hAnsi="Times New Roman" w:cs="Times New Roman"/>
        </w:rPr>
        <w:t xml:space="preserve">Although enhancers are composed of TF binding motifs, the presence of motifs alone is inadequate to predict enhancers. Motif predictions can be overly sensitive, in that only a small fraction of predicted motifs tend to be corroborated by </w:t>
      </w:r>
      <w:proofErr w:type="spellStart"/>
      <w:r>
        <w:rPr>
          <w:rFonts w:ascii="Times New Roman" w:hAnsi="Times New Roman" w:cs="Times New Roman"/>
        </w:rPr>
        <w:t>ChIP-seq</w:t>
      </w:r>
      <w:proofErr w:type="spellEnd"/>
      <w:r>
        <w:rPr>
          <w:rFonts w:ascii="Times New Roman" w:hAnsi="Times New Roman" w:cs="Times New Roman"/>
        </w:rPr>
        <w:t xml:space="preserve"> occupancy studies. On the other hand, motif prediction can also be insensitive; for example, a recent report highlights the </w:t>
      </w:r>
      <w:r>
        <w:rPr>
          <w:rFonts w:ascii="Times New Roman" w:hAnsi="Times New Roman" w:cs="Times New Roman"/>
        </w:rPr>
        <w:lastRenderedPageBreak/>
        <w:t>importance of low-affinity motifs for achieving specificity of enhancer function</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"10.1016/j.cell.2014.11.041", "ISSN" : "00928674", "author" : [ { "dropping-particle" : "", "family" : "Crocker", "given" : "Justin", "non-dropping-particle" : "", "parse-names" : false, "suffix" : "" }, { "dropping-particle" : "", "family" : "Abe", "given" : "Namiko", "non-dropping-particle" : "", "parse-names" : false, "suffix" : "" }, { "dropping-particle" : "", "family" : "Rinaldi", "given" : "Lucrezia", "non-dropping-particle" : "", "parse-names" : false, "suffix" : "" }, { "dropping-particle" : "", "family" : "McGregor", "given" : "Alistair P.", "non-dropping-particle" : "", "parse-names" : false, "suffix" : "" }, { "dropping-particle" : "", "family" : "Frankel", "given" : "Nicol\u00e1s", "non-dropping-particle" : "", "parse-names" : false, "suffix" : "" }, { "dropping-particle" : "", "family" : "Wang", "given" : "Shu", "non-dropping-particle" : "", "parse-names" : false, "suffix" : "" }, { "dropping-particle" : "", "family" : "Alsawadi", "given" : "Ahmad", "non-dropping-particle" : "", "parse-names" : false, "suffix" : "" }, { "dropping-particle" : "", "family" : "Valenti", "given" : "Philippe", "non-dropping-particle" : "", "parse-names" : false, "suffix" : "" }, { "dropping-particle" : "", "family" : "Plaza", "given" : "Serge", "non-dropping-particle" : "", "parse-names" : false, "suffix" : "" }, { "dropping-particle" : "", "family" : "Payre", "given" : "Fran\u00e7ois", "non-dropping-particle" : "", "parse-names" : false, "suffix" : "" }, { "dropping-particle" : "", "family" : "Mann", "given" : "Richard S.", "non-dropping-particle" : "", "parse-names" : false, "suffix" : "" }, { "dropping-particle" : "", "family" : "Stern", "given" : "David L.", "non-dropping-particle" : "", "parse-names" : false, "suffix" : "" } ], "container-title" : "Cell", "id" : "ITEM-1", "issued" : { "date-parts" : [ [ "2015" ] ] }, "page" : "191-203", "title" : "Low Affinity Binding Site Clusters Confer Hox Specificity and Regulatory Robustness", "type" : "article-journal", "volume" : "160" }, "uris" : [ "http://www.mendeley.com/documents/?uuid=4abf5018-0070-404b-b876-1fe7a3ec7614" ] } ], "mendeley" : { "formattedCitation" : "&lt;sup&gt;65&lt;/sup&gt;", "plainTextFormattedCitation" : "65", "previouslyFormattedCitation" : "&lt;sup&gt;65&lt;/sup&gt;" }, "properties" : { "noteIndex" : 0 }, "schema" : "https://github.com/citation-style-language/schema/raw/master/csl-citation.json" }</w:instrText>
      </w:r>
      <w:r>
        <w:rPr>
          <w:rFonts w:ascii="Times New Roman" w:hAnsi="Times New Roman" w:cs="Times New Roman"/>
        </w:rPr>
        <w:fldChar w:fldCharType="separate"/>
      </w:r>
      <w:r w:rsidRPr="00001483">
        <w:rPr>
          <w:rFonts w:ascii="Times New Roman" w:hAnsi="Times New Roman" w:cs="Times New Roman"/>
          <w:noProof/>
          <w:vertAlign w:val="superscript"/>
        </w:rPr>
        <w:t>65</w:t>
      </w:r>
      <w:r>
        <w:rPr>
          <w:rFonts w:ascii="Times New Roman" w:hAnsi="Times New Roman" w:cs="Times New Roman"/>
        </w:rPr>
        <w:fldChar w:fldCharType="end"/>
      </w:r>
      <w:r>
        <w:rPr>
          <w:rFonts w:ascii="Times New Roman" w:hAnsi="Times New Roman" w:cs="Times New Roman"/>
        </w:rPr>
        <w:t>. Previously we showed that GATA1 occupies h+58 in primary human erythroid precursor</w:t>
      </w:r>
      <w:r w:rsidRPr="00932530">
        <w:rPr>
          <w:rFonts w:ascii="Times New Roman" w:hAnsi="Times New Roman" w:cs="Times New Roman"/>
        </w:rPr>
        <w:t>s</w:t>
      </w:r>
      <w:r w:rsidRPr="00932530">
        <w:rPr>
          <w:rFonts w:ascii="Times New Roman" w:hAnsi="Times New Roman" w:cs="Times New Roman"/>
        </w:rPr>
        <w:fldChar w:fldCharType="begin" w:fldLock="1"/>
      </w:r>
      <w:r>
        <w:rPr>
          <w:rFonts w:ascii="Times New Roman" w:hAnsi="Times New Roman" w:cs="Times New Roman"/>
        </w:rPr>
        <w:instrText>ADDIN CSL_CITATION { "citationItems" : [ { "id" : "ITEM-1", "itemData" : { "PMID" : "24115442", "abstract" : "Genome-wide association studies (GWASs) have ascertained numerous trait-associated common genetic variants, frequently localized to regulatory DNA. We found that common genetic variation at BCL11A associated with fetal hemoglobin (HbF) level lies in noncoding sequences decorated by an erythroid enhancer chromatin signature. Fine-mapping uncovers a motif-disrupting common variant associated with reduced transcription factor (TF) binding, modestly diminished BCL11A expression, and elevated HbF. The surrounding sequences function in vivo as a developmental stage-specific, lineage-restricted enhancer. Genome engineering reveals the enhancer is required in erythroid but not B-lymphoid cells for BCL11A expression. These findings illustrate how GWASs may expose functional variants of modest impact within causal elements essential for appropriate gene expression. We propose the GWAS-marked BCL11A enhancer represents an attractive target for therapeutic genome engineering for the \u03b2-hemoglobinopathies.", "author" : [ { "dropping-particle" : "", "family" : "Bauer", "given" : "Daniel E", "non-dropping-particle" : "", "parse-names" : false, "suffix" : "" }, { "dropping-particle" : "", "family" : "Kamran", "given" : "Sophia C", "non-dropping-particle" : "", "parse-names" : false, "suffix" : "" }, { "dropping-particle" : "", "family" : "Lessard", "given" : "Samuel", "non-dropping-particle" : "", "parse-names" : false, "suffix" : "" }, { "dropping-particle" : "", "family" : "Xu", "given" : "Jian", "non-dropping-particle" : "", "parse-names" : false, "suffix" : "" }, { "dropping-particle" : "", "family" : "Fujiwara", "given" : "Yuko", "non-dropping-particle" : "", "parse-names" : false, "suffix" : "" }, { "dropping-particle" : "", "family" : "Lin", "given" : "Carrie", "non-dropping-particle" : "", "parse-names" : false, "suffix" : "" }, { "dropping-particle" : "", "family" : "Shao", "given" : "Zhen", "non-dropping-particle" : "", "parse-names" : false, "suffix" : "" }, { "dropping-particle" : "", "family" : "Canver", "given" : "Matthew C", "non-dropping-particle" : "", "parse-names" : false, "suffix" : "" }, { "dropping-particle" : "", "family" : "Smith", "given" : "Elenoe C", "non-dropping-particle" : "", "parse-names" : false, "suffix" : "" }, { "dropping-particle" : "", "family" : "Pinello", "given" : "Luca", "non-dropping-particle" : "", "parse-names" : false, "suffix" : "" }, { "dropping-particle" : "", "family" : "Sabo", "given" : "Peter J", "non-dropping-particle" : "", "parse-names" : false, "suffix" : "" }, { "dropping-particle" : "", "family" : "Vierstra", "given" : "Jeff", "non-dropping-particle" : "", "parse-names" : false, "suffix" : "" }, { "dropping-particle" : "", "family" : "Voit", "given" : "Richard a", "non-dropping-particle" : "", "parse-names" : false, "suffix" : "" }, { "dropping-particle" : "", "family" : "Yuan", "given" : "Guo-Cheng C", "non-dropping-particle" : "", "parse-names" : false, "suffix" : "" }, { "dropping-particle" : "", "family" : "Porteus", "given" : "Matthew H", "non-dropping-particle" : "", "parse-names" : false, "suffix" : "" }, { "dropping-particle" : "", "family" : "Stamatoyannopoulos", "given" : "John a", "non-dropping-particle" : "", "parse-names" : false, "suffix" : "" }, { "dropping-particle" : "", "family" : "Lettre", "given" : "Guillaume", "non-dropping-particle" : "", "parse-names" : false, "suffix" : "" }, { "dropping-particle" : "", "family" : "Orkin", "given" : "Stuart H", "non-dropping-particle" : "", "parse-names" : false, "suffix" : "" } ], "container-title" : "Science", "id" : "ITEM-1", "issue" : "6155", "issued" : { "date-parts" : [ [ "2013" ] ] }, "page" : "253-257", "title" : "An Erythroid Enhancer of BCL11A Subject to Genetic Variation Determines Fetal Hemoglobin Level", "type" : "article-journal", "volume" : "342" }, "uris" : [ "http://www.mendeley.com/documents/?uuid=76ff4caf-9589-445c-9930-26a51b1c8193" ] } ], "mendeley" : { "formattedCitation" : "&lt;sup&gt;28&lt;/sup&gt;", "plainTextFormattedCitation" : "28", "previouslyFormattedCitation" : "&lt;sup&gt;28&lt;/sup&gt;" }, "properties" : { "noteIndex" : 0 }, "schema" : "https://github.com/citation-style-language/schema/raw/master/csl-citation.json" }</w:instrText>
      </w:r>
      <w:r w:rsidRPr="00932530">
        <w:rPr>
          <w:rFonts w:ascii="Times New Roman" w:hAnsi="Times New Roman" w:cs="Times New Roman"/>
        </w:rPr>
        <w:fldChar w:fldCharType="separate"/>
      </w:r>
      <w:r w:rsidRPr="008B42B3">
        <w:rPr>
          <w:rFonts w:ascii="Times New Roman" w:hAnsi="Times New Roman" w:cs="Times New Roman"/>
          <w:noProof/>
          <w:vertAlign w:val="superscript"/>
        </w:rPr>
        <w:t>28</w:t>
      </w:r>
      <w:r w:rsidRPr="00932530">
        <w:rPr>
          <w:rFonts w:ascii="Times New Roman" w:hAnsi="Times New Roman" w:cs="Times New Roman"/>
        </w:rPr>
        <w:fldChar w:fldCharType="end"/>
      </w:r>
      <w:r>
        <w:rPr>
          <w:rFonts w:ascii="Times New Roman" w:hAnsi="Times New Roman" w:cs="Times New Roman"/>
        </w:rPr>
        <w:t xml:space="preserve">. However the orthologous m+58 region possesses neither DNase sensitivity nor functional requirement in mouse erythroid cells. Despite this divergence, the human core GATA1 motif has a similar </w:t>
      </w:r>
      <w:r>
        <w:rPr>
          <w:rFonts w:ascii="Times New Roman" w:hAnsi="Times New Roman" w:cs="Times New Roman"/>
          <w:i/>
        </w:rPr>
        <w:t>P</w:t>
      </w:r>
      <w:r>
        <w:rPr>
          <w:rFonts w:ascii="Times New Roman" w:hAnsi="Times New Roman" w:cs="Times New Roman"/>
        </w:rPr>
        <w:t xml:space="preserve">-value in the nonfunctional mouse ortholog. These results are consistent with a model in which the motif context is critically important in enhancer activity. The sequences immediately adjacent to the GATA1 motif, where both HbF-associated sgRNAs and mutations enrich, are candidates to fulfill this contextual requirement. </w:t>
      </w:r>
    </w:p>
    <w:p w14:paraId="79DCCFFA" w14:textId="77777777" w:rsidR="003C19D1" w:rsidRDefault="003C19D1" w:rsidP="003C19D1">
      <w:pPr>
        <w:spacing w:line="480" w:lineRule="auto"/>
        <w:ind w:firstLine="720"/>
        <w:rPr>
          <w:rFonts w:ascii="Times New Roman" w:hAnsi="Times New Roman" w:cs="Times New Roman"/>
        </w:rPr>
      </w:pPr>
      <w:r w:rsidRPr="00932530">
        <w:rPr>
          <w:rFonts w:ascii="Times New Roman" w:hAnsi="Times New Roman" w:cs="Times New Roman"/>
        </w:rPr>
        <w:t xml:space="preserve">Recent appreciation for the wide variation in intensity of biochemical features associated with enhancer elements has led to a renewed interest in clustered enhancer elements and so-called super-enhancers. </w:t>
      </w:r>
      <w:r>
        <w:rPr>
          <w:rFonts w:ascii="Times New Roman" w:hAnsi="Times New Roman" w:cs="Times New Roman"/>
        </w:rPr>
        <w:t>B</w:t>
      </w:r>
      <w:r w:rsidRPr="00932530">
        <w:rPr>
          <w:rFonts w:ascii="Times New Roman" w:hAnsi="Times New Roman" w:cs="Times New Roman"/>
        </w:rPr>
        <w:t xml:space="preserve">ased on H3K27ac </w:t>
      </w:r>
      <w:proofErr w:type="spellStart"/>
      <w:r w:rsidRPr="00932530">
        <w:rPr>
          <w:rFonts w:ascii="Times New Roman" w:hAnsi="Times New Roman" w:cs="Times New Roman"/>
        </w:rPr>
        <w:t>ChIP-seq</w:t>
      </w:r>
      <w:proofErr w:type="spellEnd"/>
      <w:r w:rsidRPr="00932530">
        <w:rPr>
          <w:rFonts w:ascii="Times New Roman" w:hAnsi="Times New Roman" w:cs="Times New Roman"/>
        </w:rPr>
        <w:t xml:space="preserve"> in primary human adult erythroid precursors, the composite </w:t>
      </w:r>
      <w:r w:rsidRPr="00932530">
        <w:rPr>
          <w:rFonts w:ascii="Times New Roman" w:hAnsi="Times New Roman" w:cs="Times New Roman"/>
          <w:i/>
        </w:rPr>
        <w:t>BCL11A</w:t>
      </w:r>
      <w:r w:rsidRPr="00932530">
        <w:rPr>
          <w:rFonts w:ascii="Times New Roman" w:hAnsi="Times New Roman" w:cs="Times New Roman"/>
        </w:rPr>
        <w:t xml:space="preserve"> enhancer </w:t>
      </w:r>
      <w:r>
        <w:rPr>
          <w:rFonts w:ascii="Times New Roman" w:hAnsi="Times New Roman" w:cs="Times New Roman"/>
        </w:rPr>
        <w:t>scores</w:t>
      </w:r>
      <w:r w:rsidRPr="00932530">
        <w:rPr>
          <w:rFonts w:ascii="Times New Roman" w:hAnsi="Times New Roman" w:cs="Times New Roman"/>
        </w:rPr>
        <w:t xml:space="preserve"> as </w:t>
      </w:r>
      <w:r>
        <w:rPr>
          <w:rFonts w:ascii="Times New Roman" w:hAnsi="Times New Roman" w:cs="Times New Roman"/>
        </w:rPr>
        <w:t xml:space="preserve">a human erythroid </w:t>
      </w:r>
      <w:r w:rsidRPr="00932530">
        <w:rPr>
          <w:rFonts w:ascii="Times New Roman" w:hAnsi="Times New Roman" w:cs="Times New Roman"/>
        </w:rPr>
        <w:t>super-enhancer (</w:t>
      </w:r>
      <w:r>
        <w:rPr>
          <w:rFonts w:ascii="Times New Roman" w:hAnsi="Times New Roman" w:cs="Times New Roman"/>
        </w:rPr>
        <w:t xml:space="preserve">Extended Data </w:t>
      </w:r>
      <w:r w:rsidRPr="00932530">
        <w:rPr>
          <w:rFonts w:ascii="Times New Roman" w:hAnsi="Times New Roman" w:cs="Times New Roman"/>
        </w:rPr>
        <w:t>Fig. 1</w:t>
      </w:r>
      <w:r>
        <w:rPr>
          <w:rFonts w:ascii="Times New Roman" w:hAnsi="Times New Roman" w:cs="Times New Roman"/>
        </w:rPr>
        <w:t xml:space="preserve">a, </w:t>
      </w:r>
      <w:r w:rsidRPr="00932530">
        <w:rPr>
          <w:rFonts w:ascii="Times New Roman" w:hAnsi="Times New Roman" w:cs="Times New Roman"/>
        </w:rPr>
        <w:t>b).</w:t>
      </w:r>
      <w:r>
        <w:rPr>
          <w:rFonts w:ascii="Times New Roman" w:hAnsi="Times New Roman" w:cs="Times New Roman"/>
        </w:rPr>
        <w:t xml:space="preserve"> We used published H3K27ac </w:t>
      </w:r>
      <w:proofErr w:type="spellStart"/>
      <w:r>
        <w:rPr>
          <w:rFonts w:ascii="Times New Roman" w:hAnsi="Times New Roman" w:cs="Times New Roman"/>
        </w:rPr>
        <w:t>ChIP-seq</w:t>
      </w:r>
      <w:proofErr w:type="spellEnd"/>
      <w:r>
        <w:rPr>
          <w:rFonts w:ascii="Times New Roman" w:hAnsi="Times New Roman" w:cs="Times New Roman"/>
        </w:rPr>
        <w:t xml:space="preserve"> data from mouse erythroid cells and found variable results, in one dataset</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"10.1186/s13072-015-0009-5", "ISSN" : "1756-8935", "author" : [ { "dropping-particle" : "", "family" : "Dogan", "given" : "Nergiz", "non-dropping-particle" : "", "parse-names" : false, "suffix" : "" }, { "dropping-particle" : "", "family" : "Wu", "given" : "Weisheng", "non-dropping-particle" : "", "parse-names" : false, "suffix" : "" }, { "dropping-particle" : "", "family" : "Morrissey", "given" : "Christapher S", "non-dropping-particle" : "", "parse-names" : false, "suffix" : "" }, { "dropping-particle" : "", "family" : "Chen", "given" : "Kuan-Bei", "non-dropping-particle" : "", "parse-names" : false, "suffix" : "" }, { "dropping-particle" : "", "family" : "Stonestrom", "given" : "Aaron", "non-dropping-particle" : "", "parse-names" : false, "suffix" : "" }, { "dropping-particle" : "", "family" : "Long", "given" : "Maria", "non-dropping-particle" : "", "parse-names" : false, "suffix" : "" }, { "dropping-particle" : "", "family" : "Keller", "given" : "Cheryl a", "non-dropping-particle" : "", "parse-names" : false, "suffix" : "" }, { "dropping-particle" : "", "family" : "Cheng", "given" : "Yong", "non-dropping-particle" : "", "parse-names" : false, "suffix" : "" }, { "dropping-particle" : "", "family" : "Jain", "given" : "Deepti", "non-dropping-particle" : "", "parse-names" : false, "suffix" : "" }, { "dropping-particle" : "", "family" : "Visel", "given" : "Axel", "non-dropping-particle" : "", "parse-names" : false, "suffix" : "" }, { "dropping-particle" : "", "family" : "Pennacchio", "given" : "Len a", "non-dropping-particle" : "", "parse-names" : false, "suffix" : "" }, { "dropping-particle" : "", "family" : "Weiss", "given" : "Mitchell J", "non-dropping-particle" : "", "parse-names" : false, "suffix" : "" }, { "dropping-particle" : "", "family" : "Blobel", "given" : "Gerd a", "non-dropping-particle" : "", "parse-names" : false, "suffix" : "" }, { "dropping-particle" : "", "family" : "Hardison", "given" : "Ross C", "non-dropping-particle" : "", "parse-names" : false, "suffix" : "" } ], "container-title" : "Epigenetics &amp; Chromatin", "id" : "ITEM-1", "issue" : "1", "issued" : { "date-parts" : [ [ "2015" ] ] }, "page" : "1-21", "title" : "Occupancy by key transcription factors is a more accurate predictor of enhancer activity than histone modifications or chromatin accessibility", "type" : "article-journal", "volume" : "8" }, "uris" : [ "http://www.mendeley.com/documents/?uuid=552c4104-03f4-4f53-8b63-5e1b1175177d" ] } ], "mendeley" : { "formattedCitation" : "&lt;sup&gt;56&lt;/sup&gt;", "plainTextFormattedCitation" : "56", "previouslyFormattedCitation" : "&lt;sup&gt;56&lt;/sup&gt;" }, "properties" : { "noteIndex" : 0 }, "schema" : "https://github.com/citation-style-language/schema/raw/master/csl-citation.json" }</w:instrText>
      </w:r>
      <w:r>
        <w:rPr>
          <w:rFonts w:ascii="Times New Roman" w:hAnsi="Times New Roman" w:cs="Times New Roman"/>
        </w:rPr>
        <w:fldChar w:fldCharType="separate"/>
      </w:r>
      <w:r w:rsidRPr="007316E2">
        <w:rPr>
          <w:rFonts w:ascii="Times New Roman" w:hAnsi="Times New Roman" w:cs="Times New Roman"/>
          <w:noProof/>
          <w:vertAlign w:val="superscript"/>
        </w:rPr>
        <w:t>56</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i/>
        </w:rPr>
        <w:t>Bcl11a</w:t>
      </w:r>
      <w:r>
        <w:rPr>
          <w:rFonts w:ascii="Times New Roman" w:hAnsi="Times New Roman" w:cs="Times New Roman"/>
        </w:rPr>
        <w:t xml:space="preserve"> scores as a mouse erythroid super-enhancer whereas in another dataset</w:t>
      </w:r>
      <w:r>
        <w:rPr>
          <w:rFonts w:ascii="Times New Roman" w:hAnsi="Times New Roman" w:cs="Times New Roman"/>
        </w:rPr>
        <w:fldChar w:fldCharType="begin" w:fldLock="1"/>
      </w:r>
      <w:r>
        <w:rPr>
          <w:rFonts w:ascii="Times New Roman" w:hAnsi="Times New Roman" w:cs="Times New Roman"/>
        </w:rPr>
        <w:instrText>ADDIN CSL_CITATION { "citationItems" : [ { "id" : "ITEM-1", "itemData" : { "DOI" : "10.1016/j.molcel.2011.12.021", "ISBN" : "1097-4164 (Electronic)\\r1097-2765 (Linking)", "ISSN" : "10972765", "PMID" : "22264824", "abstract" : "Molecular Cell, 45 (2012) 447-458. doi:10.1016/j.molcel.2011.12.021", "author" : [ { "dropping-particle" : "", "family" : "Kowalczyk", "given" : "Monika S.", "non-dropping-particle" : "", "parse-names" : false, "suffix" : "" }, { "dropping-particle" : "", "family" : "Hughes", "given" : "Jim R.", "non-dropping-particle" : "", "parse-names" : false, "suffix" : "" }, { "dropping-particle" : "", "family" : "Garrick", "given" : "David", "non-dropping-particle" : "", "parse-names" : false, "suffix" : "" }, { "dropping-particle" : "", "family" : "Lynch", "given" : "Magnus D.", "non-dropping-particle" : "", "parse-names" : false, "suffix" : "" }, { "dropping-particle" : "", "family" : "Sharpe", "given" : "Jacqueline a.", "non-dropping-particle" : "", "parse-names" : false, "suffix" : "" }, { "dropping-particle" : "", "family" : "Sloane-Stanley", "given" : "Jacqueline a.", "non-dropping-particle" : "", "parse-names" : false, "suffix" : "" }, { "dropping-particle" : "", "family" : "McGowan", "given" : "Simon J.", "non-dropping-particle" : "", "parse-names" : false, "suffix" : "" }, { "dropping-particle" : "", "family" : "Gobbi", "given" : "Marco", "non-dropping-particle" : "De", "parse-names" : false, "suffix" : "" }, { "dropping-particle" : "", "family" : "Hosseini", "given" : "Mona", "non-dropping-particle" : "", "parse-names" : false, "suffix" : "" }, { "dropping-particle" : "", "family" : "Vernimmen", "given" : "Douglas", "non-dropping-particle" : "", "parse-names" : false, "suffix" : "" }, { "dropping-particle" : "", "family" : "Brown", "given" : "Jill M.", "non-dropping-particle" : "", "parse-names" : false, "suffix" : "" }, { "dropping-particle" : "", "family" : "Gray", "given" : "Nicola E.", "non-dropping-particle" : "", "parse-names" : false, "suffix" : "" }, { "dropping-particle" : "", "family" : "Collavin", "given" : "Licio", "non-dropping-particle" : "", "parse-names" : false, "suffix" : "" }, { "dropping-particle" : "", "family" : "Gibbons", "given" : "Richard J.", "non-dropping-particle" : "", "parse-names" : false, "suffix" : "" }, { "dropping-particle" : "", "family" : "Flint", "given" : "Jonathan", "non-dropping-particle" : "", "parse-names" : false, "suffix" : "" }, { "dropping-particle" : "", "family" : "Taylor", "given" : "Stephen", "non-dropping-particle" : "", "parse-names" : false, "suffix" : "" }, { "dropping-particle" : "", "family" : "Buckle", "given" : "Veronica J.", "non-dropping-particle" : "", "parse-names" : false, "suffix" : "" }, { "dropping-particle" : "", "family" : "Milne", "given" : "Thomas a.", "non-dropping-particle" : "", "parse-names" : false, "suffix" : "" }, { "dropping-particle" : "", "family" : "Wood", "given" : "William G.", "non-dropping-particle" : "", "parse-names" : false, "suffix" : "" }, { "dropping-particle" : "", "family" : "Higgs", "given" : "Douglas R.", "non-dropping-particle" : "", "parse-names" : false, "suffix" : "" } ], "container-title" : "Molecular Cell", "id" : "ITEM-1", "issue" : "4", "issued" : { "date-parts" : [ [ "2012" ] ] }, "page" : "447-458", "publisher" : "Elsevier Inc.", "title" : "Intragenic Enhancers Act as Alternative Promoters", "type" : "article-journal", "volume" : "45" }, "uris" : [ "http://www.mendeley.com/documents/?uuid=7c978f0f-a2ab-4595-a25e-2caa009a8bf1" ] } ], "mendeley" : { "formattedCitation" : "&lt;sup&gt;55&lt;/sup&gt;", "plainTextFormattedCitation" : "55", "previouslyFormattedCitation" : "&lt;sup&gt;55&lt;/sup&gt;" }, "properties" : { "noteIndex" : 0 }, "schema" : "https://github.com/citation-style-language/schema/raw/master/csl-citation.json" }</w:instrText>
      </w:r>
      <w:r>
        <w:rPr>
          <w:rFonts w:ascii="Times New Roman" w:hAnsi="Times New Roman" w:cs="Times New Roman"/>
        </w:rPr>
        <w:fldChar w:fldCharType="separate"/>
      </w:r>
      <w:r w:rsidRPr="007316E2">
        <w:rPr>
          <w:rFonts w:ascii="Times New Roman" w:hAnsi="Times New Roman" w:cs="Times New Roman"/>
          <w:noProof/>
          <w:vertAlign w:val="superscript"/>
        </w:rPr>
        <w:t>55</w:t>
      </w:r>
      <w:r>
        <w:rPr>
          <w:rFonts w:ascii="Times New Roman" w:hAnsi="Times New Roman" w:cs="Times New Roman"/>
        </w:rPr>
        <w:fldChar w:fldCharType="end"/>
      </w:r>
      <w:r>
        <w:rPr>
          <w:rFonts w:ascii="Times New Roman" w:hAnsi="Times New Roman" w:cs="Times New Roman"/>
        </w:rPr>
        <w:t xml:space="preserve"> it ranks below the super-enhancer threshold</w:t>
      </w:r>
      <w:r w:rsidRPr="00932530">
        <w:rPr>
          <w:rFonts w:ascii="Times New Roman" w:hAnsi="Times New Roman" w:cs="Times New Roman"/>
        </w:rPr>
        <w:t xml:space="preserve"> (</w:t>
      </w:r>
      <w:r>
        <w:rPr>
          <w:rFonts w:ascii="Times New Roman" w:hAnsi="Times New Roman" w:cs="Times New Roman"/>
        </w:rPr>
        <w:t>Extended Data</w:t>
      </w:r>
      <w:r w:rsidRPr="00932530">
        <w:rPr>
          <w:rFonts w:ascii="Times New Roman" w:hAnsi="Times New Roman" w:cs="Times New Roman"/>
        </w:rPr>
        <w:t xml:space="preserve"> Fig</w:t>
      </w:r>
      <w:r>
        <w:rPr>
          <w:rFonts w:ascii="Times New Roman" w:hAnsi="Times New Roman" w:cs="Times New Roman"/>
        </w:rPr>
        <w:t>. 6</w:t>
      </w:r>
      <w:r w:rsidRPr="00932530">
        <w:rPr>
          <w:rFonts w:ascii="Times New Roman" w:hAnsi="Times New Roman" w:cs="Times New Roman"/>
        </w:rPr>
        <w:t>a</w:t>
      </w:r>
      <w:r>
        <w:rPr>
          <w:rFonts w:ascii="Times New Roman" w:hAnsi="Times New Roman" w:cs="Times New Roman"/>
        </w:rPr>
        <w:t>, b</w:t>
      </w:r>
      <w:r w:rsidRPr="00932530">
        <w:rPr>
          <w:rFonts w:ascii="Times New Roman" w:hAnsi="Times New Roman" w:cs="Times New Roman"/>
        </w:rPr>
        <w:t xml:space="preserve">). Here we </w:t>
      </w:r>
      <w:r>
        <w:rPr>
          <w:rFonts w:ascii="Times New Roman" w:hAnsi="Times New Roman" w:cs="Times New Roman"/>
        </w:rPr>
        <w:t>provide an example of a</w:t>
      </w:r>
      <w:r w:rsidRPr="00932530">
        <w:rPr>
          <w:rFonts w:ascii="Times New Roman" w:hAnsi="Times New Roman" w:cs="Times New Roman"/>
        </w:rPr>
        <w:t xml:space="preserve"> super-enhancer </w:t>
      </w:r>
      <w:r>
        <w:rPr>
          <w:rFonts w:ascii="Times New Roman" w:hAnsi="Times New Roman" w:cs="Times New Roman"/>
        </w:rPr>
        <w:t>organized as</w:t>
      </w:r>
      <w:r w:rsidRPr="00932530">
        <w:rPr>
          <w:rFonts w:ascii="Times New Roman" w:hAnsi="Times New Roman" w:cs="Times New Roman"/>
        </w:rPr>
        <w:t xml:space="preserve"> a hierarchy of constituent DHSs, with some critical and others minimally required for gene expression. </w:t>
      </w:r>
      <w:r>
        <w:rPr>
          <w:rFonts w:ascii="Times New Roman" w:hAnsi="Times New Roman" w:cs="Times New Roman"/>
        </w:rPr>
        <w:t>E</w:t>
      </w:r>
      <w:r w:rsidRPr="00932530">
        <w:rPr>
          <w:rFonts w:ascii="Times New Roman" w:hAnsi="Times New Roman" w:cs="Times New Roman"/>
        </w:rPr>
        <w:t xml:space="preserve">ven within a critical </w:t>
      </w:r>
      <w:r>
        <w:rPr>
          <w:rFonts w:ascii="Times New Roman" w:hAnsi="Times New Roman" w:cs="Times New Roman"/>
        </w:rPr>
        <w:t xml:space="preserve">substituent </w:t>
      </w:r>
      <w:r w:rsidRPr="00932530">
        <w:rPr>
          <w:rFonts w:ascii="Times New Roman" w:hAnsi="Times New Roman" w:cs="Times New Roman"/>
        </w:rPr>
        <w:t xml:space="preserve">DHS such as </w:t>
      </w:r>
      <w:r w:rsidRPr="00932530">
        <w:rPr>
          <w:rFonts w:ascii="Times New Roman" w:hAnsi="Times New Roman" w:cs="Times New Roman"/>
          <w:i/>
        </w:rPr>
        <w:t>BCL11A</w:t>
      </w:r>
      <w:r w:rsidRPr="00932530">
        <w:rPr>
          <w:rFonts w:ascii="Times New Roman" w:hAnsi="Times New Roman" w:cs="Times New Roman"/>
        </w:rPr>
        <w:t xml:space="preserve"> </w:t>
      </w:r>
      <w:r>
        <w:rPr>
          <w:rFonts w:ascii="Times New Roman" w:hAnsi="Times New Roman" w:cs="Times New Roman"/>
        </w:rPr>
        <w:t>h</w:t>
      </w:r>
      <w:r w:rsidRPr="00932530">
        <w:rPr>
          <w:rFonts w:ascii="Times New Roman" w:hAnsi="Times New Roman" w:cs="Times New Roman"/>
        </w:rPr>
        <w:t xml:space="preserve">+58, there are many dispensable and only a few critical sequences. These experiments show </w:t>
      </w:r>
      <w:r>
        <w:rPr>
          <w:rFonts w:ascii="Times New Roman" w:hAnsi="Times New Roman" w:cs="Times New Roman"/>
        </w:rPr>
        <w:t>how</w:t>
      </w:r>
      <w:r w:rsidRPr="00932530">
        <w:rPr>
          <w:rFonts w:ascii="Times New Roman" w:hAnsi="Times New Roman" w:cs="Times New Roman"/>
        </w:rPr>
        <w:t xml:space="preserve"> a super-enhancer may be </w:t>
      </w:r>
      <w:r>
        <w:rPr>
          <w:rFonts w:ascii="Times New Roman" w:hAnsi="Times New Roman" w:cs="Times New Roman"/>
        </w:rPr>
        <w:t xml:space="preserve">vulnerable to </w:t>
      </w:r>
      <w:proofErr w:type="spellStart"/>
      <w:r>
        <w:rPr>
          <w:rFonts w:ascii="Times New Roman" w:hAnsi="Times New Roman" w:cs="Times New Roman"/>
        </w:rPr>
        <w:t>indels</w:t>
      </w:r>
      <w:proofErr w:type="spellEnd"/>
      <w:r>
        <w:rPr>
          <w:rFonts w:ascii="Times New Roman" w:hAnsi="Times New Roman" w:cs="Times New Roman"/>
        </w:rPr>
        <w:t xml:space="preserve"> produced by</w:t>
      </w:r>
      <w:r w:rsidRPr="00932530">
        <w:rPr>
          <w:rFonts w:ascii="Times New Roman" w:hAnsi="Times New Roman" w:cs="Times New Roman"/>
        </w:rPr>
        <w:t xml:space="preserve"> single DSB</w:t>
      </w:r>
      <w:r>
        <w:rPr>
          <w:rFonts w:ascii="Times New Roman" w:hAnsi="Times New Roman" w:cs="Times New Roman"/>
        </w:rPr>
        <w:t>s.</w:t>
      </w:r>
      <w:r>
        <w:rPr>
          <w:rFonts w:ascii="Times New Roman" w:hAnsi="Times New Roman" w:cs="Times New Roman"/>
        </w:rPr>
        <w:br w:type="page"/>
      </w:r>
    </w:p>
    <w:p w14:paraId="27239BB7" w14:textId="77777777" w:rsidR="003C19D1" w:rsidRDefault="003C19D1" w:rsidP="003C19D1">
      <w:pPr>
        <w:spacing w:line="480" w:lineRule="auto"/>
        <w:ind w:firstLine="720"/>
        <w:rPr>
          <w:rFonts w:ascii="Times New Roman" w:hAnsi="Times New Roman" w:cs="Times New Roman"/>
        </w:rPr>
      </w:pPr>
      <w:r w:rsidRPr="001126AA">
        <w:rPr>
          <w:rFonts w:ascii="Times New Roman" w:hAnsi="Times New Roman" w:cs="Times New Roman"/>
          <w:b/>
        </w:rPr>
        <w:lastRenderedPageBreak/>
        <w:t>Supplementary References</w:t>
      </w:r>
    </w:p>
    <w:p w14:paraId="1C1989A2" w14:textId="77777777" w:rsidR="003C19D1" w:rsidRPr="00BE2097" w:rsidRDefault="003C19D1" w:rsidP="003C19D1">
      <w:pPr>
        <w:pStyle w:val="NormalWeb"/>
        <w:ind w:left="640" w:hanging="640"/>
        <w:rPr>
          <w:noProof/>
        </w:rPr>
      </w:pPr>
      <w:r w:rsidRPr="00BE2097">
        <w:rPr>
          <w:noProof/>
        </w:rPr>
        <w:t>51.</w:t>
      </w:r>
      <w:r w:rsidRPr="00BE2097">
        <w:rPr>
          <w:noProof/>
        </w:rPr>
        <w:tab/>
        <w:t xml:space="preserve">Chen, S. </w:t>
      </w:r>
      <w:r w:rsidRPr="00BE2097">
        <w:rPr>
          <w:i/>
          <w:iCs/>
          <w:noProof/>
        </w:rPr>
        <w:t>et al.</w:t>
      </w:r>
      <w:r w:rsidRPr="00BE2097">
        <w:rPr>
          <w:noProof/>
        </w:rPr>
        <w:t xml:space="preserve"> Genome-wide CRISPR Screen in a Mouse Model of Tumor Growth and Metastasis Resource Genome-wide CRISPR Screen in a Mouse Model of Tumor Growth and Metastasis. </w:t>
      </w:r>
      <w:r w:rsidRPr="00BE2097">
        <w:rPr>
          <w:i/>
          <w:iCs/>
          <w:noProof/>
        </w:rPr>
        <w:t>Cell</w:t>
      </w:r>
      <w:r w:rsidRPr="00BE2097">
        <w:rPr>
          <w:noProof/>
        </w:rPr>
        <w:t xml:space="preserve"> </w:t>
      </w:r>
      <w:r w:rsidRPr="00BE2097">
        <w:rPr>
          <w:b/>
          <w:bCs/>
          <w:noProof/>
        </w:rPr>
        <w:t>160,</w:t>
      </w:r>
      <w:r w:rsidRPr="00BE2097">
        <w:rPr>
          <w:noProof/>
        </w:rPr>
        <w:t xml:space="preserve"> 1–15 (2015).</w:t>
      </w:r>
    </w:p>
    <w:p w14:paraId="1AC1D0A3" w14:textId="77777777" w:rsidR="003C19D1" w:rsidRPr="00BE2097" w:rsidRDefault="003C19D1" w:rsidP="003C19D1">
      <w:pPr>
        <w:pStyle w:val="NormalWeb"/>
        <w:ind w:left="640" w:hanging="640"/>
        <w:rPr>
          <w:noProof/>
        </w:rPr>
      </w:pPr>
      <w:r w:rsidRPr="00BE2097">
        <w:rPr>
          <w:noProof/>
        </w:rPr>
        <w:t>52.</w:t>
      </w:r>
      <w:r w:rsidRPr="00BE2097">
        <w:rPr>
          <w:noProof/>
        </w:rPr>
        <w:tab/>
        <w:t xml:space="preserve">Sanjana, N. E., Shalem, O. &amp; Zhang, F. Improved vectors and genome-wide libraries for CRISPR screening. </w:t>
      </w:r>
      <w:r w:rsidRPr="00BE2097">
        <w:rPr>
          <w:i/>
          <w:iCs/>
          <w:noProof/>
        </w:rPr>
        <w:t>Nat. Methods</w:t>
      </w:r>
      <w:r w:rsidRPr="00BE2097">
        <w:rPr>
          <w:noProof/>
        </w:rPr>
        <w:t xml:space="preserve"> </w:t>
      </w:r>
      <w:r w:rsidRPr="00BE2097">
        <w:rPr>
          <w:b/>
          <w:bCs/>
          <w:noProof/>
        </w:rPr>
        <w:t>11,</w:t>
      </w:r>
      <w:r w:rsidRPr="00BE2097">
        <w:rPr>
          <w:noProof/>
        </w:rPr>
        <w:t xml:space="preserve"> 783–784 (2014).</w:t>
      </w:r>
    </w:p>
    <w:p w14:paraId="186DCD51" w14:textId="77777777" w:rsidR="003C19D1" w:rsidRPr="00BE2097" w:rsidRDefault="003C19D1" w:rsidP="003C19D1">
      <w:pPr>
        <w:pStyle w:val="NormalWeb"/>
        <w:ind w:left="640" w:hanging="640"/>
        <w:rPr>
          <w:noProof/>
        </w:rPr>
      </w:pPr>
      <w:r w:rsidRPr="00BE2097">
        <w:rPr>
          <w:noProof/>
        </w:rPr>
        <w:t>53.</w:t>
      </w:r>
      <w:r w:rsidRPr="00BE2097">
        <w:rPr>
          <w:noProof/>
        </w:rPr>
        <w:tab/>
        <w:t xml:space="preserve">Giarratana, M. </w:t>
      </w:r>
      <w:r w:rsidRPr="00BE2097">
        <w:rPr>
          <w:i/>
          <w:iCs/>
          <w:noProof/>
        </w:rPr>
        <w:t>et al.</w:t>
      </w:r>
      <w:r w:rsidRPr="00BE2097">
        <w:rPr>
          <w:noProof/>
        </w:rPr>
        <w:t xml:space="preserve"> Proof of principle for transfusion of in vitro generated red blood cells. </w:t>
      </w:r>
      <w:r w:rsidRPr="00BE2097">
        <w:rPr>
          <w:i/>
          <w:iCs/>
          <w:noProof/>
        </w:rPr>
        <w:t>Blood</w:t>
      </w:r>
      <w:r w:rsidRPr="00BE2097">
        <w:rPr>
          <w:noProof/>
        </w:rPr>
        <w:t xml:space="preserve"> </w:t>
      </w:r>
      <w:r w:rsidRPr="00BE2097">
        <w:rPr>
          <w:b/>
          <w:bCs/>
          <w:noProof/>
        </w:rPr>
        <w:t>118,</w:t>
      </w:r>
      <w:r w:rsidRPr="00BE2097">
        <w:rPr>
          <w:noProof/>
        </w:rPr>
        <w:t xml:space="preserve"> 5071–5079 (2011).</w:t>
      </w:r>
    </w:p>
    <w:p w14:paraId="476A5692" w14:textId="77777777" w:rsidR="003C19D1" w:rsidRPr="00BE2097" w:rsidRDefault="003C19D1" w:rsidP="003C19D1">
      <w:pPr>
        <w:pStyle w:val="NormalWeb"/>
        <w:ind w:left="640" w:hanging="640"/>
        <w:rPr>
          <w:noProof/>
        </w:rPr>
      </w:pPr>
      <w:r w:rsidRPr="00BE2097">
        <w:rPr>
          <w:noProof/>
        </w:rPr>
        <w:t>54.</w:t>
      </w:r>
      <w:r w:rsidRPr="00BE2097">
        <w:rPr>
          <w:noProof/>
        </w:rPr>
        <w:tab/>
        <w:t xml:space="preserve">Brinkman, E. K., Chen, T., Amendola, M. &amp; van Steensel, B. Easy quantitative assessment of genome editing by sequence trace decomposition. </w:t>
      </w:r>
      <w:r w:rsidRPr="00BE2097">
        <w:rPr>
          <w:i/>
          <w:iCs/>
          <w:noProof/>
        </w:rPr>
        <w:t>Nucleic Acids Res.</w:t>
      </w:r>
      <w:r w:rsidRPr="00BE2097">
        <w:rPr>
          <w:noProof/>
        </w:rPr>
        <w:t xml:space="preserve"> 1–8 (2014). </w:t>
      </w:r>
    </w:p>
    <w:p w14:paraId="5587F714" w14:textId="77777777" w:rsidR="003C19D1" w:rsidRPr="00BE2097" w:rsidRDefault="003C19D1" w:rsidP="003C19D1">
      <w:pPr>
        <w:pStyle w:val="NormalWeb"/>
        <w:ind w:left="640" w:hanging="640"/>
        <w:rPr>
          <w:noProof/>
        </w:rPr>
      </w:pPr>
      <w:r w:rsidRPr="00BE2097">
        <w:rPr>
          <w:noProof/>
        </w:rPr>
        <w:t>55.</w:t>
      </w:r>
      <w:r w:rsidRPr="00BE2097">
        <w:rPr>
          <w:noProof/>
        </w:rPr>
        <w:tab/>
        <w:t xml:space="preserve">Kowalczyk, M. S. </w:t>
      </w:r>
      <w:r w:rsidRPr="00BE2097">
        <w:rPr>
          <w:i/>
          <w:iCs/>
          <w:noProof/>
        </w:rPr>
        <w:t>et al.</w:t>
      </w:r>
      <w:r w:rsidRPr="00BE2097">
        <w:rPr>
          <w:noProof/>
        </w:rPr>
        <w:t xml:space="preserve"> Intragenic Enhancers Act as Alternative Promoters. </w:t>
      </w:r>
      <w:r w:rsidRPr="00BE2097">
        <w:rPr>
          <w:i/>
          <w:iCs/>
          <w:noProof/>
        </w:rPr>
        <w:t>Mol. Cell</w:t>
      </w:r>
      <w:r w:rsidRPr="00BE2097">
        <w:rPr>
          <w:noProof/>
        </w:rPr>
        <w:t xml:space="preserve"> </w:t>
      </w:r>
      <w:r w:rsidRPr="00BE2097">
        <w:rPr>
          <w:b/>
          <w:bCs/>
          <w:noProof/>
        </w:rPr>
        <w:t>45,</w:t>
      </w:r>
      <w:r w:rsidRPr="00BE2097">
        <w:rPr>
          <w:noProof/>
        </w:rPr>
        <w:t xml:space="preserve"> 447–458 (2012).</w:t>
      </w:r>
    </w:p>
    <w:p w14:paraId="5C1EA483" w14:textId="77777777" w:rsidR="003C19D1" w:rsidRPr="00BE2097" w:rsidRDefault="003C19D1" w:rsidP="003C19D1">
      <w:pPr>
        <w:pStyle w:val="NormalWeb"/>
        <w:ind w:left="640" w:hanging="640"/>
        <w:rPr>
          <w:noProof/>
        </w:rPr>
      </w:pPr>
      <w:r w:rsidRPr="00BE2097">
        <w:rPr>
          <w:noProof/>
        </w:rPr>
        <w:t>56.</w:t>
      </w:r>
      <w:r w:rsidRPr="00BE2097">
        <w:rPr>
          <w:noProof/>
        </w:rPr>
        <w:tab/>
        <w:t xml:space="preserve">Dogan, N. </w:t>
      </w:r>
      <w:r w:rsidRPr="00BE2097">
        <w:rPr>
          <w:i/>
          <w:iCs/>
          <w:noProof/>
        </w:rPr>
        <w:t>et al.</w:t>
      </w:r>
      <w:r w:rsidRPr="00BE2097">
        <w:rPr>
          <w:noProof/>
        </w:rPr>
        <w:t xml:space="preserve"> Occupancy by key transcription factors is a more accurate predictor of enhancer activity than histone modifications or chromatin accessibility. </w:t>
      </w:r>
      <w:r w:rsidRPr="00BE2097">
        <w:rPr>
          <w:i/>
          <w:iCs/>
          <w:noProof/>
        </w:rPr>
        <w:t>Epigenetics Chromatin</w:t>
      </w:r>
      <w:r w:rsidRPr="00BE2097">
        <w:rPr>
          <w:noProof/>
        </w:rPr>
        <w:t xml:space="preserve"> </w:t>
      </w:r>
      <w:r w:rsidRPr="00BE2097">
        <w:rPr>
          <w:b/>
          <w:bCs/>
          <w:noProof/>
        </w:rPr>
        <w:t>8,</w:t>
      </w:r>
      <w:r w:rsidRPr="00BE2097">
        <w:rPr>
          <w:noProof/>
        </w:rPr>
        <w:t xml:space="preserve"> 1–21 (2015).</w:t>
      </w:r>
    </w:p>
    <w:p w14:paraId="1E9A2529" w14:textId="77777777" w:rsidR="003C19D1" w:rsidRPr="00BE2097" w:rsidRDefault="003C19D1" w:rsidP="003C19D1">
      <w:pPr>
        <w:pStyle w:val="NormalWeb"/>
        <w:ind w:left="640" w:hanging="640"/>
        <w:rPr>
          <w:noProof/>
        </w:rPr>
      </w:pPr>
      <w:r w:rsidRPr="00BE2097">
        <w:rPr>
          <w:noProof/>
        </w:rPr>
        <w:t>57.</w:t>
      </w:r>
      <w:r w:rsidRPr="00BE2097">
        <w:rPr>
          <w:noProof/>
        </w:rPr>
        <w:tab/>
        <w:t xml:space="preserve">Grant, C. E., Bailey, T. L. &amp; Noble, W. S. FIMO: Scanning for occurrences of a given motif. </w:t>
      </w:r>
      <w:r w:rsidRPr="00BE2097">
        <w:rPr>
          <w:i/>
          <w:iCs/>
          <w:noProof/>
        </w:rPr>
        <w:t>Bioinformatics</w:t>
      </w:r>
      <w:r w:rsidRPr="00BE2097">
        <w:rPr>
          <w:noProof/>
        </w:rPr>
        <w:t xml:space="preserve"> </w:t>
      </w:r>
      <w:r w:rsidRPr="00BE2097">
        <w:rPr>
          <w:b/>
          <w:bCs/>
          <w:noProof/>
        </w:rPr>
        <w:t>27,</w:t>
      </w:r>
      <w:r w:rsidRPr="00BE2097">
        <w:rPr>
          <w:noProof/>
        </w:rPr>
        <w:t xml:space="preserve"> 1017–1018 (2011).</w:t>
      </w:r>
    </w:p>
    <w:p w14:paraId="1A905B22" w14:textId="77777777" w:rsidR="003C19D1" w:rsidRPr="00BE2097" w:rsidRDefault="003C19D1" w:rsidP="003C19D1">
      <w:pPr>
        <w:pStyle w:val="NormalWeb"/>
        <w:ind w:left="640" w:hanging="640"/>
        <w:rPr>
          <w:noProof/>
        </w:rPr>
      </w:pPr>
      <w:r w:rsidRPr="00BE2097">
        <w:rPr>
          <w:noProof/>
        </w:rPr>
        <w:t>58.</w:t>
      </w:r>
      <w:r w:rsidRPr="00BE2097">
        <w:rPr>
          <w:noProof/>
        </w:rPr>
        <w:tab/>
        <w:t xml:space="preserve">Mathelier, A. </w:t>
      </w:r>
      <w:r w:rsidRPr="00BE2097">
        <w:rPr>
          <w:i/>
          <w:iCs/>
          <w:noProof/>
        </w:rPr>
        <w:t>et al.</w:t>
      </w:r>
      <w:r w:rsidRPr="00BE2097">
        <w:rPr>
          <w:noProof/>
        </w:rPr>
        <w:t xml:space="preserve"> JASPAR 2014: An extensively expanded and updated open-access database of transcription factor binding profiles. </w:t>
      </w:r>
      <w:r w:rsidRPr="00BE2097">
        <w:rPr>
          <w:i/>
          <w:iCs/>
          <w:noProof/>
        </w:rPr>
        <w:t>Nucleic Acids Res.</w:t>
      </w:r>
      <w:r w:rsidRPr="00BE2097">
        <w:rPr>
          <w:noProof/>
        </w:rPr>
        <w:t xml:space="preserve"> </w:t>
      </w:r>
      <w:r w:rsidRPr="00BE2097">
        <w:rPr>
          <w:b/>
          <w:bCs/>
          <w:noProof/>
        </w:rPr>
        <w:t>42,</w:t>
      </w:r>
      <w:r w:rsidRPr="00BE2097">
        <w:rPr>
          <w:noProof/>
        </w:rPr>
        <w:t xml:space="preserve"> 142–147 (2014).</w:t>
      </w:r>
    </w:p>
    <w:p w14:paraId="2F04D489" w14:textId="77777777" w:rsidR="003C19D1" w:rsidRPr="00BE2097" w:rsidRDefault="003C19D1" w:rsidP="003C19D1">
      <w:pPr>
        <w:pStyle w:val="NormalWeb"/>
        <w:ind w:left="640" w:hanging="640"/>
        <w:rPr>
          <w:noProof/>
        </w:rPr>
      </w:pPr>
      <w:r w:rsidRPr="00BE2097">
        <w:rPr>
          <w:noProof/>
        </w:rPr>
        <w:t>59.</w:t>
      </w:r>
      <w:r w:rsidRPr="00BE2097">
        <w:rPr>
          <w:noProof/>
        </w:rPr>
        <w:tab/>
        <w:t xml:space="preserve">Weber, K., Bartsch, U., Stocking, C. &amp; Fehse, B. A multicolor panel of novel lentiviral ‘gene ontology’ (LeGO) vectors for functional gene analysis. </w:t>
      </w:r>
      <w:r w:rsidRPr="00BE2097">
        <w:rPr>
          <w:i/>
          <w:iCs/>
          <w:noProof/>
        </w:rPr>
        <w:t>Mol. Ther.</w:t>
      </w:r>
      <w:r w:rsidRPr="00BE2097">
        <w:rPr>
          <w:noProof/>
        </w:rPr>
        <w:t xml:space="preserve"> </w:t>
      </w:r>
      <w:r w:rsidRPr="00BE2097">
        <w:rPr>
          <w:b/>
          <w:bCs/>
          <w:noProof/>
        </w:rPr>
        <w:t>16,</w:t>
      </w:r>
      <w:r w:rsidRPr="00BE2097">
        <w:rPr>
          <w:noProof/>
        </w:rPr>
        <w:t xml:space="preserve"> 698–706 (2008).</w:t>
      </w:r>
    </w:p>
    <w:p w14:paraId="675A538C" w14:textId="77777777" w:rsidR="003C19D1" w:rsidRPr="00BE2097" w:rsidRDefault="003C19D1" w:rsidP="003C19D1">
      <w:pPr>
        <w:pStyle w:val="NormalWeb"/>
        <w:ind w:left="640" w:hanging="640"/>
        <w:rPr>
          <w:noProof/>
        </w:rPr>
      </w:pPr>
      <w:r w:rsidRPr="00BE2097">
        <w:rPr>
          <w:noProof/>
        </w:rPr>
        <w:t>60.</w:t>
      </w:r>
      <w:r w:rsidRPr="00BE2097">
        <w:rPr>
          <w:noProof/>
        </w:rPr>
        <w:tab/>
        <w:t xml:space="preserve">Doench, J. G. </w:t>
      </w:r>
      <w:r w:rsidRPr="00BE2097">
        <w:rPr>
          <w:i/>
          <w:iCs/>
          <w:noProof/>
        </w:rPr>
        <w:t>et al.</w:t>
      </w:r>
      <w:r w:rsidRPr="00BE2097">
        <w:rPr>
          <w:noProof/>
        </w:rPr>
        <w:t xml:space="preserve"> Rational design of highly active sgRNAs for CRISPR-Cas9-mediated gene inactivation. </w:t>
      </w:r>
      <w:r w:rsidRPr="00BE2097">
        <w:rPr>
          <w:i/>
          <w:iCs/>
          <w:noProof/>
        </w:rPr>
        <w:t>Nat Biotechnol</w:t>
      </w:r>
      <w:r w:rsidRPr="00BE2097">
        <w:rPr>
          <w:noProof/>
        </w:rPr>
        <w:t xml:space="preserve"> </w:t>
      </w:r>
      <w:r w:rsidRPr="00BE2097">
        <w:rPr>
          <w:b/>
          <w:bCs/>
          <w:noProof/>
        </w:rPr>
        <w:t>32,</w:t>
      </w:r>
      <w:r w:rsidRPr="00BE2097">
        <w:rPr>
          <w:noProof/>
        </w:rPr>
        <w:t xml:space="preserve"> (2014).</w:t>
      </w:r>
    </w:p>
    <w:p w14:paraId="0F442284" w14:textId="77777777" w:rsidR="003C19D1" w:rsidRPr="00BE2097" w:rsidRDefault="003C19D1" w:rsidP="003C19D1">
      <w:pPr>
        <w:pStyle w:val="NormalWeb"/>
        <w:ind w:left="640" w:hanging="640"/>
        <w:rPr>
          <w:noProof/>
        </w:rPr>
      </w:pPr>
      <w:r w:rsidRPr="00BE2097">
        <w:rPr>
          <w:noProof/>
        </w:rPr>
        <w:t>61.</w:t>
      </w:r>
      <w:r w:rsidRPr="00BE2097">
        <w:rPr>
          <w:noProof/>
        </w:rPr>
        <w:tab/>
        <w:t xml:space="preserve">Ellis, E. L. &amp; Delbrück, M. The Growth of Bacteriophage. </w:t>
      </w:r>
      <w:r w:rsidRPr="00BE2097">
        <w:rPr>
          <w:i/>
          <w:iCs/>
          <w:noProof/>
        </w:rPr>
        <w:t>J. Gen. Physiol.</w:t>
      </w:r>
      <w:r w:rsidRPr="00BE2097">
        <w:rPr>
          <w:noProof/>
        </w:rPr>
        <w:t xml:space="preserve"> </w:t>
      </w:r>
      <w:r w:rsidRPr="00BE2097">
        <w:rPr>
          <w:b/>
          <w:bCs/>
          <w:noProof/>
        </w:rPr>
        <w:t>22,</w:t>
      </w:r>
      <w:r w:rsidRPr="00BE2097">
        <w:rPr>
          <w:noProof/>
        </w:rPr>
        <w:t xml:space="preserve"> 365–384 (1939).</w:t>
      </w:r>
    </w:p>
    <w:p w14:paraId="43ECD0B5" w14:textId="77777777" w:rsidR="003C19D1" w:rsidRPr="00BE2097" w:rsidRDefault="003C19D1" w:rsidP="003C19D1">
      <w:pPr>
        <w:pStyle w:val="NormalWeb"/>
        <w:ind w:left="640" w:hanging="640"/>
        <w:rPr>
          <w:noProof/>
        </w:rPr>
      </w:pPr>
      <w:r w:rsidRPr="00BE2097">
        <w:rPr>
          <w:noProof/>
        </w:rPr>
        <w:t>62.</w:t>
      </w:r>
      <w:r w:rsidRPr="00BE2097">
        <w:rPr>
          <w:noProof/>
        </w:rPr>
        <w:tab/>
        <w:t xml:space="preserve">Stent, G. </w:t>
      </w:r>
      <w:r w:rsidRPr="00BE2097">
        <w:rPr>
          <w:i/>
          <w:iCs/>
          <w:noProof/>
        </w:rPr>
        <w:t>Molecular Biology of Bacterial Viruses</w:t>
      </w:r>
      <w:r w:rsidRPr="00BE2097">
        <w:rPr>
          <w:noProof/>
        </w:rPr>
        <w:t>. (W. H. Freeman and Company, 1963).</w:t>
      </w:r>
    </w:p>
    <w:p w14:paraId="6F0F96C7" w14:textId="77777777" w:rsidR="003C19D1" w:rsidRPr="00BE2097" w:rsidRDefault="003C19D1" w:rsidP="003C19D1">
      <w:pPr>
        <w:pStyle w:val="NormalWeb"/>
        <w:ind w:left="640" w:hanging="640"/>
        <w:rPr>
          <w:noProof/>
        </w:rPr>
      </w:pPr>
      <w:r w:rsidRPr="00BE2097">
        <w:rPr>
          <w:noProof/>
        </w:rPr>
        <w:t>63.</w:t>
      </w:r>
      <w:r w:rsidRPr="00BE2097">
        <w:rPr>
          <w:noProof/>
        </w:rPr>
        <w:tab/>
        <w:t xml:space="preserve">Choi, C., Kuatsjah, E., Wu, E. &amp; Yuan, S. The Effect of Cell Size on the Burst Size of T4 Bacteriophage Infections of Escherichia coli B23. </w:t>
      </w:r>
      <w:r w:rsidRPr="00BE2097">
        <w:rPr>
          <w:i/>
          <w:iCs/>
          <w:noProof/>
        </w:rPr>
        <w:t>J. Exp. Microbiol. Immunol.</w:t>
      </w:r>
      <w:r w:rsidRPr="00BE2097">
        <w:rPr>
          <w:noProof/>
        </w:rPr>
        <w:t xml:space="preserve"> </w:t>
      </w:r>
      <w:r w:rsidRPr="00BE2097">
        <w:rPr>
          <w:b/>
          <w:bCs/>
          <w:noProof/>
        </w:rPr>
        <w:t>14,</w:t>
      </w:r>
      <w:r w:rsidRPr="00BE2097">
        <w:rPr>
          <w:noProof/>
        </w:rPr>
        <w:t xml:space="preserve"> 85–91 (2010).</w:t>
      </w:r>
    </w:p>
    <w:p w14:paraId="44184721" w14:textId="77777777" w:rsidR="003C19D1" w:rsidRPr="00BE2097" w:rsidRDefault="003C19D1" w:rsidP="003C19D1">
      <w:pPr>
        <w:pStyle w:val="NormalWeb"/>
        <w:ind w:left="640" w:hanging="640"/>
        <w:rPr>
          <w:noProof/>
        </w:rPr>
      </w:pPr>
      <w:r w:rsidRPr="00BE2097">
        <w:rPr>
          <w:noProof/>
        </w:rPr>
        <w:lastRenderedPageBreak/>
        <w:t>64.</w:t>
      </w:r>
      <w:r w:rsidRPr="00BE2097">
        <w:rPr>
          <w:noProof/>
        </w:rPr>
        <w:tab/>
        <w:t xml:space="preserve">Cui, F., Sirotin, M. V &amp; Zhurkin, V. B. Impact of Alu repeats on the evolution of human p53 binding sites. </w:t>
      </w:r>
      <w:r w:rsidRPr="00BE2097">
        <w:rPr>
          <w:i/>
          <w:iCs/>
          <w:noProof/>
        </w:rPr>
        <w:t>Biol. Direct</w:t>
      </w:r>
      <w:r w:rsidRPr="00BE2097">
        <w:rPr>
          <w:noProof/>
        </w:rPr>
        <w:t xml:space="preserve"> </w:t>
      </w:r>
      <w:r w:rsidRPr="00BE2097">
        <w:rPr>
          <w:b/>
          <w:bCs/>
          <w:noProof/>
        </w:rPr>
        <w:t>6,</w:t>
      </w:r>
      <w:r w:rsidRPr="00BE2097">
        <w:rPr>
          <w:noProof/>
        </w:rPr>
        <w:t xml:space="preserve"> 2 (2011).</w:t>
      </w:r>
    </w:p>
    <w:p w14:paraId="726D9A1F" w14:textId="77777777" w:rsidR="003C19D1" w:rsidRPr="00BE2097" w:rsidRDefault="003C19D1" w:rsidP="003C19D1">
      <w:pPr>
        <w:pStyle w:val="NormalWeb"/>
        <w:ind w:left="640" w:hanging="640"/>
        <w:rPr>
          <w:noProof/>
        </w:rPr>
      </w:pPr>
      <w:r w:rsidRPr="00BE2097">
        <w:rPr>
          <w:noProof/>
        </w:rPr>
        <w:t>65.</w:t>
      </w:r>
      <w:r w:rsidRPr="00BE2097">
        <w:rPr>
          <w:noProof/>
        </w:rPr>
        <w:tab/>
        <w:t xml:space="preserve">Crocker, J. </w:t>
      </w:r>
      <w:r w:rsidRPr="00BE2097">
        <w:rPr>
          <w:i/>
          <w:iCs/>
          <w:noProof/>
        </w:rPr>
        <w:t>et al.</w:t>
      </w:r>
      <w:r w:rsidRPr="00BE2097">
        <w:rPr>
          <w:noProof/>
        </w:rPr>
        <w:t xml:space="preserve"> Low Affinity Binding Site Clusters Confer Hox Specificity and Regulatory Robustness. </w:t>
      </w:r>
      <w:r w:rsidRPr="00BE2097">
        <w:rPr>
          <w:i/>
          <w:iCs/>
          <w:noProof/>
        </w:rPr>
        <w:t>Cell</w:t>
      </w:r>
      <w:r w:rsidRPr="00BE2097">
        <w:rPr>
          <w:noProof/>
        </w:rPr>
        <w:t xml:space="preserve"> </w:t>
      </w:r>
      <w:r w:rsidRPr="00BE2097">
        <w:rPr>
          <w:b/>
          <w:bCs/>
          <w:noProof/>
        </w:rPr>
        <w:t>160,</w:t>
      </w:r>
      <w:r w:rsidRPr="00BE2097">
        <w:rPr>
          <w:noProof/>
        </w:rPr>
        <w:t xml:space="preserve"> 191–203 (2015). </w:t>
      </w:r>
    </w:p>
    <w:p w14:paraId="71BE8EFF" w14:textId="77777777" w:rsidR="003C19D1" w:rsidRDefault="003C19D1" w:rsidP="003C19D1">
      <w:pPr>
        <w:spacing w:after="160" w:line="259" w:lineRule="auto"/>
        <w:rPr>
          <w:rFonts w:ascii="Times New Roman" w:hAnsi="Times New Roman" w:cs="Times New Roman"/>
        </w:rPr>
      </w:pPr>
    </w:p>
    <w:sectPr w:rsidR="003C19D1" w:rsidSect="00DB2853">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52E73" w14:textId="77777777" w:rsidR="00C8116B" w:rsidRDefault="00C8116B">
      <w:r>
        <w:separator/>
      </w:r>
    </w:p>
  </w:endnote>
  <w:endnote w:type="continuationSeparator" w:id="0">
    <w:p w14:paraId="19036572" w14:textId="77777777" w:rsidR="00C8116B" w:rsidRDefault="00C81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7319"/>
      <w:docPartObj>
        <w:docPartGallery w:val="Page Numbers (Bottom of Page)"/>
        <w:docPartUnique/>
      </w:docPartObj>
    </w:sdtPr>
    <w:sdtEndPr>
      <w:rPr>
        <w:rFonts w:ascii="Times New Roman" w:hAnsi="Times New Roman" w:cs="Times New Roman"/>
        <w:noProof/>
      </w:rPr>
    </w:sdtEndPr>
    <w:sdtContent>
      <w:p w14:paraId="3680B0AB" w14:textId="77777777" w:rsidR="00DB2853" w:rsidRPr="001372F4" w:rsidRDefault="00C8116B">
        <w:pPr>
          <w:pStyle w:val="Footer"/>
          <w:jc w:val="center"/>
          <w:rPr>
            <w:rFonts w:ascii="Times New Roman" w:hAnsi="Times New Roman" w:cs="Times New Roman"/>
          </w:rPr>
        </w:pPr>
      </w:p>
    </w:sdtContent>
  </w:sdt>
  <w:p w14:paraId="0206567C" w14:textId="77777777" w:rsidR="00DB2853" w:rsidRDefault="00DB2853">
    <w:pPr>
      <w:pStyle w:val="Footer"/>
    </w:pPr>
    <w:r>
      <w:tab/>
    </w:r>
    <w:r>
      <w:rPr>
        <w:rStyle w:val="PageNumber"/>
      </w:rPr>
      <w:fldChar w:fldCharType="begin"/>
    </w:r>
    <w:r>
      <w:rPr>
        <w:rStyle w:val="PageNumber"/>
      </w:rPr>
      <w:instrText xml:space="preserve"> PAGE </w:instrText>
    </w:r>
    <w:r>
      <w:rPr>
        <w:rStyle w:val="PageNumber"/>
      </w:rPr>
      <w:fldChar w:fldCharType="separate"/>
    </w:r>
    <w:r w:rsidR="00EA4419">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7680C" w14:textId="77777777" w:rsidR="00C8116B" w:rsidRDefault="00C8116B">
      <w:r>
        <w:separator/>
      </w:r>
    </w:p>
  </w:footnote>
  <w:footnote w:type="continuationSeparator" w:id="0">
    <w:p w14:paraId="136A09BF" w14:textId="77777777" w:rsidR="00C8116B" w:rsidRDefault="00C81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D1"/>
    <w:rsid w:val="00166A8A"/>
    <w:rsid w:val="003005F9"/>
    <w:rsid w:val="003C19D1"/>
    <w:rsid w:val="003F4DF8"/>
    <w:rsid w:val="008C7F49"/>
    <w:rsid w:val="00A44ADB"/>
    <w:rsid w:val="00AE172A"/>
    <w:rsid w:val="00C8116B"/>
    <w:rsid w:val="00DB2853"/>
    <w:rsid w:val="00EA44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3C19D1"/>
    <w:rPr>
      <w:rFonts w:ascii="Lucida Grande" w:hAnsi="Lucida Grande" w:cs="Lucida Grande"/>
      <w:sz w:val="18"/>
      <w:szCs w:val="18"/>
    </w:rPr>
  </w:style>
  <w:style w:type="paragraph" w:styleId="BalloonText">
    <w:name w:val="Balloon Text"/>
    <w:basedOn w:val="Normal"/>
    <w:link w:val="BalloonTextChar"/>
    <w:uiPriority w:val="99"/>
    <w:semiHidden/>
    <w:unhideWhenUsed/>
    <w:rsid w:val="003C19D1"/>
    <w:rPr>
      <w:rFonts w:ascii="Lucida Grande" w:hAnsi="Lucida Grande" w:cs="Lucida Grande"/>
      <w:sz w:val="18"/>
      <w:szCs w:val="18"/>
    </w:rPr>
  </w:style>
  <w:style w:type="character" w:customStyle="1" w:styleId="CommentTextChar">
    <w:name w:val="Comment Text Char"/>
    <w:basedOn w:val="DefaultParagraphFont"/>
    <w:link w:val="CommentText"/>
    <w:uiPriority w:val="99"/>
    <w:semiHidden/>
    <w:rsid w:val="003C19D1"/>
  </w:style>
  <w:style w:type="paragraph" w:styleId="CommentText">
    <w:name w:val="annotation text"/>
    <w:basedOn w:val="Normal"/>
    <w:link w:val="CommentTextChar"/>
    <w:uiPriority w:val="99"/>
    <w:semiHidden/>
    <w:unhideWhenUsed/>
    <w:rsid w:val="003C19D1"/>
  </w:style>
  <w:style w:type="character" w:customStyle="1" w:styleId="CommentSubjectChar">
    <w:name w:val="Comment Subject Char"/>
    <w:basedOn w:val="CommentTextChar"/>
    <w:link w:val="CommentSubject"/>
    <w:uiPriority w:val="99"/>
    <w:semiHidden/>
    <w:rsid w:val="003C19D1"/>
    <w:rPr>
      <w:b/>
      <w:bCs/>
      <w:sz w:val="20"/>
      <w:szCs w:val="20"/>
    </w:rPr>
  </w:style>
  <w:style w:type="paragraph" w:styleId="CommentSubject">
    <w:name w:val="annotation subject"/>
    <w:basedOn w:val="CommentText"/>
    <w:next w:val="CommentText"/>
    <w:link w:val="CommentSubjectChar"/>
    <w:uiPriority w:val="99"/>
    <w:semiHidden/>
    <w:unhideWhenUsed/>
    <w:rsid w:val="003C19D1"/>
    <w:rPr>
      <w:b/>
      <w:bCs/>
      <w:sz w:val="20"/>
      <w:szCs w:val="20"/>
    </w:rPr>
  </w:style>
  <w:style w:type="character" w:customStyle="1" w:styleId="HeaderChar">
    <w:name w:val="Header Char"/>
    <w:basedOn w:val="DefaultParagraphFont"/>
    <w:link w:val="Header"/>
    <w:uiPriority w:val="99"/>
    <w:rsid w:val="003C19D1"/>
  </w:style>
  <w:style w:type="paragraph" w:styleId="Header">
    <w:name w:val="header"/>
    <w:basedOn w:val="Normal"/>
    <w:link w:val="HeaderChar"/>
    <w:uiPriority w:val="99"/>
    <w:unhideWhenUsed/>
    <w:rsid w:val="003C19D1"/>
    <w:pPr>
      <w:tabs>
        <w:tab w:val="center" w:pos="4680"/>
        <w:tab w:val="right" w:pos="9360"/>
      </w:tabs>
    </w:pPr>
  </w:style>
  <w:style w:type="character" w:customStyle="1" w:styleId="FooterChar">
    <w:name w:val="Footer Char"/>
    <w:basedOn w:val="DefaultParagraphFont"/>
    <w:link w:val="Footer"/>
    <w:uiPriority w:val="99"/>
    <w:rsid w:val="003C19D1"/>
  </w:style>
  <w:style w:type="paragraph" w:styleId="Footer">
    <w:name w:val="footer"/>
    <w:basedOn w:val="Normal"/>
    <w:link w:val="FooterChar"/>
    <w:uiPriority w:val="99"/>
    <w:unhideWhenUsed/>
    <w:rsid w:val="003C19D1"/>
    <w:pPr>
      <w:tabs>
        <w:tab w:val="center" w:pos="4680"/>
        <w:tab w:val="right" w:pos="9360"/>
      </w:tabs>
    </w:pPr>
  </w:style>
  <w:style w:type="paragraph" w:styleId="NormalWeb">
    <w:name w:val="Normal (Web)"/>
    <w:basedOn w:val="Normal"/>
    <w:uiPriority w:val="99"/>
    <w:unhideWhenUsed/>
    <w:rsid w:val="003C19D1"/>
    <w:pPr>
      <w:spacing w:before="100" w:beforeAutospacing="1" w:after="100" w:afterAutospacing="1"/>
    </w:pPr>
    <w:rPr>
      <w:rFonts w:ascii="Times New Roman" w:hAnsi="Times New Roman" w:cs="Times New Roman"/>
    </w:rPr>
  </w:style>
  <w:style w:type="character" w:styleId="PageNumber">
    <w:name w:val="page number"/>
    <w:basedOn w:val="DefaultParagraphFont"/>
    <w:uiPriority w:val="99"/>
    <w:semiHidden/>
    <w:unhideWhenUsed/>
    <w:rsid w:val="003C19D1"/>
  </w:style>
  <w:style w:type="character" w:styleId="LineNumber">
    <w:name w:val="line number"/>
    <w:basedOn w:val="DefaultParagraphFont"/>
    <w:uiPriority w:val="99"/>
    <w:semiHidden/>
    <w:unhideWhenUsed/>
    <w:rsid w:val="00166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3C19D1"/>
    <w:rPr>
      <w:rFonts w:ascii="Lucida Grande" w:hAnsi="Lucida Grande" w:cs="Lucida Grande"/>
      <w:sz w:val="18"/>
      <w:szCs w:val="18"/>
    </w:rPr>
  </w:style>
  <w:style w:type="paragraph" w:styleId="BalloonText">
    <w:name w:val="Balloon Text"/>
    <w:basedOn w:val="Normal"/>
    <w:link w:val="BalloonTextChar"/>
    <w:uiPriority w:val="99"/>
    <w:semiHidden/>
    <w:unhideWhenUsed/>
    <w:rsid w:val="003C19D1"/>
    <w:rPr>
      <w:rFonts w:ascii="Lucida Grande" w:hAnsi="Lucida Grande" w:cs="Lucida Grande"/>
      <w:sz w:val="18"/>
      <w:szCs w:val="18"/>
    </w:rPr>
  </w:style>
  <w:style w:type="character" w:customStyle="1" w:styleId="CommentTextChar">
    <w:name w:val="Comment Text Char"/>
    <w:basedOn w:val="DefaultParagraphFont"/>
    <w:link w:val="CommentText"/>
    <w:uiPriority w:val="99"/>
    <w:semiHidden/>
    <w:rsid w:val="003C19D1"/>
  </w:style>
  <w:style w:type="paragraph" w:styleId="CommentText">
    <w:name w:val="annotation text"/>
    <w:basedOn w:val="Normal"/>
    <w:link w:val="CommentTextChar"/>
    <w:uiPriority w:val="99"/>
    <w:semiHidden/>
    <w:unhideWhenUsed/>
    <w:rsid w:val="003C19D1"/>
  </w:style>
  <w:style w:type="character" w:customStyle="1" w:styleId="CommentSubjectChar">
    <w:name w:val="Comment Subject Char"/>
    <w:basedOn w:val="CommentTextChar"/>
    <w:link w:val="CommentSubject"/>
    <w:uiPriority w:val="99"/>
    <w:semiHidden/>
    <w:rsid w:val="003C19D1"/>
    <w:rPr>
      <w:b/>
      <w:bCs/>
      <w:sz w:val="20"/>
      <w:szCs w:val="20"/>
    </w:rPr>
  </w:style>
  <w:style w:type="paragraph" w:styleId="CommentSubject">
    <w:name w:val="annotation subject"/>
    <w:basedOn w:val="CommentText"/>
    <w:next w:val="CommentText"/>
    <w:link w:val="CommentSubjectChar"/>
    <w:uiPriority w:val="99"/>
    <w:semiHidden/>
    <w:unhideWhenUsed/>
    <w:rsid w:val="003C19D1"/>
    <w:rPr>
      <w:b/>
      <w:bCs/>
      <w:sz w:val="20"/>
      <w:szCs w:val="20"/>
    </w:rPr>
  </w:style>
  <w:style w:type="character" w:customStyle="1" w:styleId="HeaderChar">
    <w:name w:val="Header Char"/>
    <w:basedOn w:val="DefaultParagraphFont"/>
    <w:link w:val="Header"/>
    <w:uiPriority w:val="99"/>
    <w:rsid w:val="003C19D1"/>
  </w:style>
  <w:style w:type="paragraph" w:styleId="Header">
    <w:name w:val="header"/>
    <w:basedOn w:val="Normal"/>
    <w:link w:val="HeaderChar"/>
    <w:uiPriority w:val="99"/>
    <w:unhideWhenUsed/>
    <w:rsid w:val="003C19D1"/>
    <w:pPr>
      <w:tabs>
        <w:tab w:val="center" w:pos="4680"/>
        <w:tab w:val="right" w:pos="9360"/>
      </w:tabs>
    </w:pPr>
  </w:style>
  <w:style w:type="character" w:customStyle="1" w:styleId="FooterChar">
    <w:name w:val="Footer Char"/>
    <w:basedOn w:val="DefaultParagraphFont"/>
    <w:link w:val="Footer"/>
    <w:uiPriority w:val="99"/>
    <w:rsid w:val="003C19D1"/>
  </w:style>
  <w:style w:type="paragraph" w:styleId="Footer">
    <w:name w:val="footer"/>
    <w:basedOn w:val="Normal"/>
    <w:link w:val="FooterChar"/>
    <w:uiPriority w:val="99"/>
    <w:unhideWhenUsed/>
    <w:rsid w:val="003C19D1"/>
    <w:pPr>
      <w:tabs>
        <w:tab w:val="center" w:pos="4680"/>
        <w:tab w:val="right" w:pos="9360"/>
      </w:tabs>
    </w:pPr>
  </w:style>
  <w:style w:type="paragraph" w:styleId="NormalWeb">
    <w:name w:val="Normal (Web)"/>
    <w:basedOn w:val="Normal"/>
    <w:uiPriority w:val="99"/>
    <w:unhideWhenUsed/>
    <w:rsid w:val="003C19D1"/>
    <w:pPr>
      <w:spacing w:before="100" w:beforeAutospacing="1" w:after="100" w:afterAutospacing="1"/>
    </w:pPr>
    <w:rPr>
      <w:rFonts w:ascii="Times New Roman" w:hAnsi="Times New Roman" w:cs="Times New Roman"/>
    </w:rPr>
  </w:style>
  <w:style w:type="character" w:styleId="PageNumber">
    <w:name w:val="page number"/>
    <w:basedOn w:val="DefaultParagraphFont"/>
    <w:uiPriority w:val="99"/>
    <w:semiHidden/>
    <w:unhideWhenUsed/>
    <w:rsid w:val="003C19D1"/>
  </w:style>
  <w:style w:type="character" w:styleId="LineNumber">
    <w:name w:val="line number"/>
    <w:basedOn w:val="DefaultParagraphFont"/>
    <w:uiPriority w:val="99"/>
    <w:semiHidden/>
    <w:unhideWhenUsed/>
    <w:rsid w:val="00166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13001</Words>
  <Characters>74106</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86934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Bauer</dc:creator>
  <cp:lastModifiedBy>Takhar, Arun</cp:lastModifiedBy>
  <cp:revision>2</cp:revision>
  <dcterms:created xsi:type="dcterms:W3CDTF">2015-08-13T11:04:00Z</dcterms:created>
  <dcterms:modified xsi:type="dcterms:W3CDTF">2015-08-13T11:04:00Z</dcterms:modified>
</cp:coreProperties>
</file>