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21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3445"/>
        <w:gridCol w:w="3258"/>
        <w:gridCol w:w="3363"/>
      </w:tblGrid>
      <w:tr w:rsidR="00E001DA" w:rsidRPr="00A7331E" w:rsidTr="00E001DA">
        <w:trPr>
          <w:trHeight w:val="413"/>
        </w:trPr>
        <w:tc>
          <w:tcPr>
            <w:tcW w:w="1530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001DA" w:rsidRPr="00FE3D98" w:rsidRDefault="00915670" w:rsidP="00C54B1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bCs/>
                <w:i/>
                <w:color w:val="000000"/>
              </w:rPr>
            </w:pPr>
            <w:r>
              <w:rPr>
                <w:rFonts w:cs="Times New Roman"/>
                <w:b/>
              </w:rPr>
              <w:t xml:space="preserve">Metrics </w:t>
            </w:r>
            <w:r w:rsidR="00FE3D98">
              <w:rPr>
                <w:rFonts w:cs="Times New Roman"/>
                <w:b/>
              </w:rPr>
              <w:t>Table</w:t>
            </w:r>
            <w:r>
              <w:rPr>
                <w:rFonts w:cs="Times New Roman"/>
                <w:b/>
              </w:rPr>
              <w:t xml:space="preserve"> 1</w:t>
            </w:r>
            <w:r w:rsidR="00E001DA" w:rsidRPr="00FE3D98">
              <w:rPr>
                <w:rFonts w:cs="Times New Roman"/>
                <w:b/>
              </w:rPr>
              <w:t xml:space="preserve">. </w:t>
            </w:r>
            <w:r w:rsidR="006B633E" w:rsidRPr="00FE3D98">
              <w:rPr>
                <w:rFonts w:cs="Times New Roman"/>
              </w:rPr>
              <w:t xml:space="preserve">FoodCORE Year </w:t>
            </w:r>
            <w:r w:rsidR="00FE3D98" w:rsidRPr="00FE3D98">
              <w:rPr>
                <w:rFonts w:cs="Times New Roman"/>
              </w:rPr>
              <w:t>Two</w:t>
            </w:r>
            <w:r w:rsidR="006B633E" w:rsidRPr="00FE3D98">
              <w:rPr>
                <w:rFonts w:cs="Times New Roman"/>
              </w:rPr>
              <w:t xml:space="preserve"> (Y2</w:t>
            </w:r>
            <w:r w:rsidR="00E001DA" w:rsidRPr="00FE3D98">
              <w:rPr>
                <w:rFonts w:cs="Times New Roman"/>
              </w:rPr>
              <w:t xml:space="preserve">) </w:t>
            </w:r>
            <w:r w:rsidR="00FE3D98" w:rsidRPr="00FE3D98">
              <w:rPr>
                <w:i/>
              </w:rPr>
              <w:t xml:space="preserve">Salmonella, </w:t>
            </w:r>
            <w:r w:rsidR="00FE3D98" w:rsidRPr="00FE3D98">
              <w:rPr>
                <w:rFonts w:cs="Calibri"/>
              </w:rPr>
              <w:t xml:space="preserve">Shiga toxin-producing </w:t>
            </w:r>
            <w:r w:rsidR="00FE3D98" w:rsidRPr="00FE3D98">
              <w:rPr>
                <w:rFonts w:cs="Calibri-Italic"/>
                <w:i/>
                <w:iCs/>
              </w:rPr>
              <w:t>E</w:t>
            </w:r>
            <w:r w:rsidR="00FE3D98" w:rsidRPr="00FE3D98">
              <w:rPr>
                <w:rFonts w:cs="Calibri"/>
              </w:rPr>
              <w:t xml:space="preserve">. </w:t>
            </w:r>
            <w:r w:rsidR="00FE3D98" w:rsidRPr="00FE3D98">
              <w:rPr>
                <w:rFonts w:cs="Calibri"/>
                <w:i/>
              </w:rPr>
              <w:t>coli</w:t>
            </w:r>
            <w:r w:rsidR="00FE3D98" w:rsidRPr="00FE3D98">
              <w:t xml:space="preserve">, and </w:t>
            </w:r>
            <w:r w:rsidR="00FE3D98" w:rsidRPr="00FE3D98">
              <w:rPr>
                <w:i/>
              </w:rPr>
              <w:t>Listeria</w:t>
            </w:r>
            <w:r w:rsidR="00FE3D98" w:rsidRPr="00FE3D98">
              <w:t xml:space="preserve"> (SSL) </w:t>
            </w:r>
            <w:r w:rsidR="00E001DA" w:rsidRPr="00FE3D98">
              <w:rPr>
                <w:rFonts w:cs="Times New Roman"/>
              </w:rPr>
              <w:t>Metrics Data</w:t>
            </w:r>
            <w:r w:rsidR="00FE3D98">
              <w:rPr>
                <w:rFonts w:cs="Times New Roman"/>
              </w:rPr>
              <w:t xml:space="preserve"> (</w:t>
            </w:r>
            <w:r w:rsidR="006B633E" w:rsidRPr="00FE3D98">
              <w:rPr>
                <w:rFonts w:cs="Times New Roman"/>
              </w:rPr>
              <w:t>October 1, 2011</w:t>
            </w:r>
            <w:r w:rsidR="00E001DA" w:rsidRPr="00FE3D98">
              <w:rPr>
                <w:rFonts w:cs="Times New Roman"/>
              </w:rPr>
              <w:t xml:space="preserve"> to </w:t>
            </w:r>
            <w:r w:rsidR="006B633E" w:rsidRPr="00FE3D98">
              <w:rPr>
                <w:rFonts w:cs="Times New Roman"/>
              </w:rPr>
              <w:t>December 30, 2012</w:t>
            </w:r>
            <w:r w:rsidR="00E001DA" w:rsidRPr="00FE3D98">
              <w:rPr>
                <w:rFonts w:cs="Times New Roman"/>
              </w:rPr>
              <w:t>).</w:t>
            </w:r>
          </w:p>
        </w:tc>
      </w:tr>
      <w:tr w:rsidR="00E001DA" w:rsidRPr="00A7331E" w:rsidTr="00E001DA">
        <w:trPr>
          <w:trHeight w:val="413"/>
        </w:trPr>
        <w:tc>
          <w:tcPr>
            <w:tcW w:w="5238" w:type="dxa"/>
            <w:vMerge w:val="restart"/>
            <w:vAlign w:val="center"/>
          </w:tcPr>
          <w:p w:rsidR="00E001DA" w:rsidRPr="005646E4" w:rsidRDefault="00E001DA" w:rsidP="00E001D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>Performance Metrics:</w:t>
            </w:r>
          </w:p>
          <w:p w:rsidR="00E001DA" w:rsidRPr="005646E4" w:rsidRDefault="00E001DA" w:rsidP="00E001D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(See </w:t>
            </w:r>
            <w:hyperlink r:id="rId9" w:history="1">
              <w:r w:rsidRPr="00387ACC">
                <w:rPr>
                  <w:rStyle w:val="Hyperlink"/>
                  <w:rFonts w:eastAsiaTheme="minorEastAsia" w:cs="Calibri"/>
                  <w:b/>
                  <w:bCs/>
                  <w:sz w:val="20"/>
                  <w:szCs w:val="20"/>
                </w:rPr>
                <w:t>http://www.cdc.gov/foodcore/ssl-metrics.html</w:t>
              </w:r>
            </w:hyperlink>
            <w:r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for current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language and definitions)</w:t>
            </w:r>
          </w:p>
        </w:tc>
        <w:tc>
          <w:tcPr>
            <w:tcW w:w="3445" w:type="dxa"/>
            <w:vAlign w:val="center"/>
          </w:tcPr>
          <w:p w:rsidR="00E001DA" w:rsidRPr="005646E4" w:rsidRDefault="00E001DA" w:rsidP="00E001D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i/>
                <w:color w:val="000000"/>
                <w:sz w:val="20"/>
                <w:szCs w:val="20"/>
              </w:rPr>
              <w:t>Salmonella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Measures</w:t>
            </w:r>
          </w:p>
        </w:tc>
        <w:tc>
          <w:tcPr>
            <w:tcW w:w="3258" w:type="dxa"/>
            <w:vAlign w:val="center"/>
          </w:tcPr>
          <w:p w:rsidR="00E001DA" w:rsidRPr="005646E4" w:rsidRDefault="00E001DA" w:rsidP="00E001D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>STEC Measures</w:t>
            </w:r>
          </w:p>
        </w:tc>
        <w:tc>
          <w:tcPr>
            <w:tcW w:w="3363" w:type="dxa"/>
            <w:vAlign w:val="center"/>
          </w:tcPr>
          <w:p w:rsidR="00E001DA" w:rsidRPr="005646E4" w:rsidRDefault="00E001DA" w:rsidP="00E001D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i/>
                <w:color w:val="000000"/>
                <w:sz w:val="20"/>
                <w:szCs w:val="20"/>
              </w:rPr>
              <w:t>Listeria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Measures</w:t>
            </w:r>
          </w:p>
        </w:tc>
      </w:tr>
      <w:tr w:rsidR="00E001DA" w:rsidRPr="00A7331E" w:rsidTr="00E001DA">
        <w:trPr>
          <w:trHeight w:val="323"/>
        </w:trPr>
        <w:tc>
          <w:tcPr>
            <w:tcW w:w="5238" w:type="dxa"/>
            <w:vMerge/>
            <w:vAlign w:val="center"/>
          </w:tcPr>
          <w:p w:rsidR="00E001DA" w:rsidRPr="005646E4" w:rsidRDefault="00E001DA" w:rsidP="00E001D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3445" w:type="dxa"/>
            <w:vAlign w:val="center"/>
          </w:tcPr>
          <w:p w:rsidR="00E001DA" w:rsidRPr="005646E4" w:rsidRDefault="00E001DA" w:rsidP="00E001D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color w:val="000000"/>
                <w:sz w:val="20"/>
                <w:szCs w:val="20"/>
              </w:rPr>
              <w:t>Mean (Range)</w:t>
            </w:r>
          </w:p>
        </w:tc>
        <w:tc>
          <w:tcPr>
            <w:tcW w:w="3258" w:type="dxa"/>
            <w:vAlign w:val="center"/>
          </w:tcPr>
          <w:p w:rsidR="00E001DA" w:rsidRPr="005646E4" w:rsidRDefault="00E001DA" w:rsidP="00E001D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color w:val="000000"/>
                <w:sz w:val="20"/>
                <w:szCs w:val="20"/>
              </w:rPr>
              <w:t>Mean (Range)</w:t>
            </w:r>
          </w:p>
        </w:tc>
        <w:tc>
          <w:tcPr>
            <w:tcW w:w="3363" w:type="dxa"/>
            <w:vAlign w:val="center"/>
          </w:tcPr>
          <w:p w:rsidR="00E001DA" w:rsidRPr="005646E4" w:rsidRDefault="00E001DA" w:rsidP="00E001D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color w:val="000000"/>
                <w:sz w:val="20"/>
                <w:szCs w:val="20"/>
              </w:rPr>
              <w:t>Mean (Range)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sz w:val="20"/>
                <w:szCs w:val="20"/>
              </w:rPr>
              <w:t>1a. Total number of isolates and isolate-yielding specimens</w:t>
            </w:r>
          </w:p>
        </w:tc>
        <w:tc>
          <w:tcPr>
            <w:tcW w:w="3445" w:type="dxa"/>
            <w:vAlign w:val="bottom"/>
          </w:tcPr>
          <w:p w:rsidR="001B2E9D" w:rsidRPr="00A7331E" w:rsidRDefault="001B2E9D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1029 (375 - 17</w:t>
            </w:r>
            <w:r>
              <w:rPr>
                <w:rFonts w:cs="Calibri"/>
                <w:color w:val="000000"/>
                <w:sz w:val="20"/>
              </w:rPr>
              <w:t>65)</w:t>
            </w:r>
          </w:p>
        </w:tc>
        <w:tc>
          <w:tcPr>
            <w:tcW w:w="3258" w:type="dxa"/>
          </w:tcPr>
          <w:p w:rsidR="001B2E9D" w:rsidRPr="00A7331E" w:rsidRDefault="00963E6A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180</w:t>
            </w:r>
            <w:r w:rsidR="001B2E9D">
              <w:rPr>
                <w:rFonts w:cs="Calibri"/>
                <w:color w:val="000000"/>
                <w:sz w:val="20"/>
              </w:rPr>
              <w:t xml:space="preserve"> (21 - 396)</w:t>
            </w:r>
          </w:p>
        </w:tc>
        <w:tc>
          <w:tcPr>
            <w:tcW w:w="3363" w:type="dxa"/>
          </w:tcPr>
          <w:p w:rsidR="001B2E9D" w:rsidRPr="00A7331E" w:rsidRDefault="00963E6A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28</w:t>
            </w:r>
            <w:r w:rsidR="001B2E9D">
              <w:rPr>
                <w:rFonts w:cs="Calibri"/>
                <w:color w:val="000000"/>
                <w:sz w:val="20"/>
              </w:rPr>
              <w:t xml:space="preserve"> (4 - 77)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>1b. Number of primary isolates/isolate-yielding specimens</w:t>
            </w:r>
          </w:p>
        </w:tc>
        <w:tc>
          <w:tcPr>
            <w:tcW w:w="3445" w:type="dxa"/>
            <w:vAlign w:val="bottom"/>
          </w:tcPr>
          <w:p w:rsidR="001B2E9D" w:rsidRPr="00A7331E" w:rsidRDefault="001B2E9D" w:rsidP="00963E6A">
            <w:pPr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969</w:t>
            </w:r>
            <w:r w:rsidR="00963E6A">
              <w:rPr>
                <w:rFonts w:cs="Calibri"/>
                <w:color w:val="000000"/>
                <w:sz w:val="20"/>
              </w:rPr>
              <w:t xml:space="preserve"> (349 - 1699)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1B2E9D" w:rsidRPr="00A7331E" w:rsidRDefault="001B2E9D" w:rsidP="00963E6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170</w:t>
            </w:r>
            <w:r w:rsidR="00963E6A">
              <w:rPr>
                <w:rFonts w:cs="Calibri"/>
                <w:color w:val="000000"/>
                <w:sz w:val="20"/>
              </w:rPr>
              <w:t xml:space="preserve"> (21 - 343)</w:t>
            </w:r>
          </w:p>
        </w:tc>
        <w:tc>
          <w:tcPr>
            <w:tcW w:w="3363" w:type="dxa"/>
          </w:tcPr>
          <w:p w:rsidR="001B2E9D" w:rsidRPr="00A7331E" w:rsidRDefault="001B2E9D" w:rsidP="00963E6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26</w:t>
            </w:r>
            <w:r w:rsidR="00963E6A">
              <w:rPr>
                <w:rFonts w:cs="Calibri"/>
                <w:color w:val="000000"/>
                <w:sz w:val="20"/>
              </w:rPr>
              <w:t xml:space="preserve"> (4 - 77)</w:t>
            </w:r>
          </w:p>
        </w:tc>
      </w:tr>
      <w:tr w:rsidR="001B2E9D" w:rsidRPr="00A7331E" w:rsidTr="001B2E9D">
        <w:trPr>
          <w:trHeight w:val="347"/>
        </w:trPr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 xml:space="preserve">2a. Total number of STEC clinical specimens or samples received at PHL </w:t>
            </w:r>
          </w:p>
        </w:tc>
        <w:tc>
          <w:tcPr>
            <w:tcW w:w="3445" w:type="dxa"/>
            <w:shd w:val="clear" w:color="auto" w:fill="A6A6A6" w:themeFill="background1" w:themeFillShade="A6"/>
          </w:tcPr>
          <w:p w:rsidR="001B2E9D" w:rsidRPr="00A7331E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</w:p>
        </w:tc>
        <w:tc>
          <w:tcPr>
            <w:tcW w:w="3258" w:type="dxa"/>
            <w:shd w:val="clear" w:color="auto" w:fill="auto"/>
          </w:tcPr>
          <w:p w:rsidR="001B2E9D" w:rsidRPr="00A7331E" w:rsidRDefault="001B2E9D" w:rsidP="00963E6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2</w:t>
            </w:r>
            <w:r w:rsidR="00963E6A">
              <w:rPr>
                <w:rFonts w:cs="Calibri"/>
                <w:color w:val="000000"/>
                <w:sz w:val="20"/>
              </w:rPr>
              <w:t>94</w:t>
            </w:r>
            <w:r w:rsidRPr="00A7331E">
              <w:rPr>
                <w:rFonts w:cs="Calibri"/>
                <w:color w:val="000000"/>
                <w:sz w:val="20"/>
              </w:rPr>
              <w:t xml:space="preserve"> (2</w:t>
            </w:r>
            <w:r>
              <w:rPr>
                <w:rFonts w:cs="Calibri"/>
                <w:color w:val="000000"/>
                <w:sz w:val="20"/>
              </w:rPr>
              <w:t>8</w:t>
            </w:r>
            <w:r w:rsidR="00963E6A">
              <w:rPr>
                <w:rFonts w:cs="Calibri"/>
                <w:color w:val="000000"/>
                <w:sz w:val="20"/>
              </w:rPr>
              <w:t xml:space="preserve"> - 1008)</w:t>
            </w:r>
          </w:p>
        </w:tc>
        <w:tc>
          <w:tcPr>
            <w:tcW w:w="3363" w:type="dxa"/>
            <w:shd w:val="clear" w:color="auto" w:fill="A6A6A6" w:themeFill="background1" w:themeFillShade="A6"/>
          </w:tcPr>
          <w:p w:rsidR="001B2E9D" w:rsidRPr="00A7331E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</w:p>
        </w:tc>
      </w:tr>
      <w:tr w:rsidR="001B2E9D" w:rsidRPr="00A7331E" w:rsidTr="001B2E9D">
        <w:trPr>
          <w:trHeight w:val="347"/>
        </w:trPr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 xml:space="preserve">2b.  Number; Percent isolate-yielding  STEC specimens or samples </w:t>
            </w:r>
          </w:p>
        </w:tc>
        <w:tc>
          <w:tcPr>
            <w:tcW w:w="3445" w:type="dxa"/>
            <w:shd w:val="clear" w:color="auto" w:fill="A6A6A6" w:themeFill="background1" w:themeFillShade="A6"/>
          </w:tcPr>
          <w:p w:rsidR="001B2E9D" w:rsidRPr="00A7331E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highlight w:val="darkGray"/>
              </w:rPr>
            </w:pPr>
          </w:p>
        </w:tc>
        <w:tc>
          <w:tcPr>
            <w:tcW w:w="3258" w:type="dxa"/>
            <w:shd w:val="clear" w:color="auto" w:fill="auto"/>
          </w:tcPr>
          <w:p w:rsidR="001B2E9D" w:rsidRPr="00A7331E" w:rsidRDefault="001B2E9D" w:rsidP="00963E6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 w:rsidRPr="00A7331E">
              <w:rPr>
                <w:rFonts w:eastAsiaTheme="minorEastAsia" w:cs="Calibri"/>
                <w:color w:val="000000"/>
                <w:sz w:val="20"/>
              </w:rPr>
              <w:t>115 (11 – 241); 52</w:t>
            </w:r>
            <w:r w:rsidR="00963E6A">
              <w:rPr>
                <w:rFonts w:eastAsiaTheme="minorEastAsia" w:cs="Calibri"/>
                <w:color w:val="000000"/>
                <w:sz w:val="20"/>
              </w:rPr>
              <w:t>% (27 – 95%)</w:t>
            </w:r>
          </w:p>
        </w:tc>
        <w:tc>
          <w:tcPr>
            <w:tcW w:w="3363" w:type="dxa"/>
            <w:shd w:val="clear" w:color="auto" w:fill="A6A6A6" w:themeFill="background1" w:themeFillShade="A6"/>
          </w:tcPr>
          <w:p w:rsidR="001B2E9D" w:rsidRPr="00A7331E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highlight w:val="darkGray"/>
              </w:rPr>
            </w:pP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sz w:val="20"/>
                <w:szCs w:val="20"/>
              </w:rPr>
              <w:t>3. Median days from isolation /isolate-yielding specimen collection to receipt at PHL</w:t>
            </w:r>
          </w:p>
        </w:tc>
        <w:tc>
          <w:tcPr>
            <w:tcW w:w="3445" w:type="dxa"/>
            <w:vAlign w:val="bottom"/>
          </w:tcPr>
          <w:p w:rsidR="001B2E9D" w:rsidRPr="00A7331E" w:rsidRDefault="00963E6A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6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days (4 - 8 days)</w:t>
            </w:r>
          </w:p>
        </w:tc>
        <w:tc>
          <w:tcPr>
            <w:tcW w:w="3258" w:type="dxa"/>
          </w:tcPr>
          <w:p w:rsidR="001B2E9D" w:rsidRPr="00A7331E" w:rsidRDefault="00963E6A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5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days (3 - 6) days</w:t>
            </w:r>
          </w:p>
        </w:tc>
        <w:tc>
          <w:tcPr>
            <w:tcW w:w="3363" w:type="dxa"/>
          </w:tcPr>
          <w:p w:rsidR="001B2E9D" w:rsidRPr="00A7331E" w:rsidRDefault="00963E6A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6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days (4 - 8) days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>4. Median days from receipt of isolate-yielding specimens at PHL to recovery of isolate</w:t>
            </w:r>
          </w:p>
        </w:tc>
        <w:tc>
          <w:tcPr>
            <w:tcW w:w="3445" w:type="dxa"/>
            <w:vAlign w:val="bottom"/>
          </w:tcPr>
          <w:p w:rsidR="001B2E9D" w:rsidRPr="00A7331E" w:rsidRDefault="00963E6A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3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days (1 - 6 days)</w:t>
            </w:r>
          </w:p>
        </w:tc>
        <w:tc>
          <w:tcPr>
            <w:tcW w:w="3258" w:type="dxa"/>
          </w:tcPr>
          <w:p w:rsidR="001B2E9D" w:rsidRPr="00A7331E" w:rsidRDefault="00963E6A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4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days (1 - 6) days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:rsidR="001B2E9D" w:rsidRPr="00A7331E" w:rsidRDefault="001B2E9D" w:rsidP="00963E6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2</w:t>
            </w:r>
            <w:r w:rsidR="00963E6A">
              <w:rPr>
                <w:rFonts w:cs="Calibri"/>
                <w:color w:val="000000"/>
                <w:sz w:val="20"/>
              </w:rPr>
              <w:t xml:space="preserve"> </w:t>
            </w:r>
            <w:r w:rsidRPr="00A7331E">
              <w:rPr>
                <w:rFonts w:cs="Calibri"/>
                <w:color w:val="000000"/>
                <w:sz w:val="20"/>
              </w:rPr>
              <w:t>days (1 - 3) days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sz w:val="20"/>
                <w:szCs w:val="20"/>
              </w:rPr>
              <w:t>5. Percent of primary isolates with serotype information</w:t>
            </w:r>
          </w:p>
        </w:tc>
        <w:tc>
          <w:tcPr>
            <w:tcW w:w="3445" w:type="dxa"/>
            <w:vAlign w:val="bottom"/>
          </w:tcPr>
          <w:p w:rsidR="001B2E9D" w:rsidRPr="00A7331E" w:rsidRDefault="001B2E9D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99% (94 - 100%)</w:t>
            </w:r>
          </w:p>
        </w:tc>
        <w:tc>
          <w:tcPr>
            <w:tcW w:w="3258" w:type="dxa"/>
          </w:tcPr>
          <w:p w:rsidR="001B2E9D" w:rsidRPr="00A7331E" w:rsidRDefault="001B2E9D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9</w:t>
            </w:r>
            <w:r w:rsidR="00963E6A">
              <w:rPr>
                <w:rFonts w:cs="Calibri"/>
                <w:color w:val="000000"/>
                <w:sz w:val="20"/>
              </w:rPr>
              <w:t>5</w:t>
            </w:r>
            <w:r w:rsidRPr="00A7331E">
              <w:rPr>
                <w:rFonts w:cs="Calibri"/>
                <w:color w:val="000000"/>
                <w:sz w:val="20"/>
              </w:rPr>
              <w:t>% (</w:t>
            </w:r>
            <w:r>
              <w:rPr>
                <w:rFonts w:cs="Calibri"/>
                <w:color w:val="000000"/>
                <w:sz w:val="20"/>
              </w:rPr>
              <w:t>82</w:t>
            </w:r>
            <w:r w:rsidRPr="00A7331E">
              <w:rPr>
                <w:rFonts w:cs="Calibri"/>
                <w:color w:val="000000"/>
                <w:sz w:val="20"/>
              </w:rPr>
              <w:t xml:space="preserve"> - 100%)</w:t>
            </w:r>
          </w:p>
        </w:tc>
        <w:tc>
          <w:tcPr>
            <w:tcW w:w="3363" w:type="dxa"/>
            <w:shd w:val="clear" w:color="auto" w:fill="A6A6A6" w:themeFill="background1" w:themeFillShade="A6"/>
          </w:tcPr>
          <w:p w:rsidR="001B2E9D" w:rsidRPr="00A7331E" w:rsidRDefault="001B2E9D" w:rsidP="001B2E9D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sz w:val="20"/>
                <w:szCs w:val="20"/>
              </w:rPr>
              <w:t>6. Median days from isolate receipt (or recovery) at PHL to serotype result</w:t>
            </w:r>
          </w:p>
        </w:tc>
        <w:tc>
          <w:tcPr>
            <w:tcW w:w="3445" w:type="dxa"/>
            <w:vAlign w:val="bottom"/>
          </w:tcPr>
          <w:p w:rsidR="001B2E9D" w:rsidRPr="00A7331E" w:rsidRDefault="001B2E9D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4 days (2 - 6 days)</w:t>
            </w:r>
          </w:p>
        </w:tc>
        <w:tc>
          <w:tcPr>
            <w:tcW w:w="3258" w:type="dxa"/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5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days (3 - 7) days</w:t>
            </w:r>
          </w:p>
        </w:tc>
        <w:tc>
          <w:tcPr>
            <w:tcW w:w="3363" w:type="dxa"/>
            <w:shd w:val="clear" w:color="auto" w:fill="A6A6A6" w:themeFill="background1" w:themeFillShade="A6"/>
          </w:tcPr>
          <w:p w:rsidR="001B2E9D" w:rsidRPr="00A7331E" w:rsidRDefault="001B2E9D" w:rsidP="001B2E9D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sz w:val="20"/>
                <w:szCs w:val="20"/>
              </w:rPr>
              <w:t>7. Percent of primary isolates with PFGE information</w:t>
            </w:r>
          </w:p>
        </w:tc>
        <w:tc>
          <w:tcPr>
            <w:tcW w:w="3445" w:type="dxa"/>
            <w:vAlign w:val="bottom"/>
          </w:tcPr>
          <w:p w:rsidR="001B2E9D" w:rsidRPr="00A7331E" w:rsidRDefault="001B2E9D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98% (94 - 100%)</w:t>
            </w:r>
          </w:p>
        </w:tc>
        <w:tc>
          <w:tcPr>
            <w:tcW w:w="3258" w:type="dxa"/>
          </w:tcPr>
          <w:p w:rsidR="001B2E9D" w:rsidRPr="00A7331E" w:rsidRDefault="001B2E9D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97% (89 - 100%)</w:t>
            </w:r>
          </w:p>
        </w:tc>
        <w:tc>
          <w:tcPr>
            <w:tcW w:w="3363" w:type="dxa"/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99</w:t>
            </w:r>
            <w:r w:rsidR="001B2E9D" w:rsidRPr="00A7331E">
              <w:rPr>
                <w:rFonts w:cs="Calibri"/>
                <w:color w:val="000000"/>
                <w:sz w:val="20"/>
              </w:rPr>
              <w:t>% (91 - 100%)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sz w:val="20"/>
                <w:szCs w:val="20"/>
              </w:rPr>
              <w:t>8. Median days from isolate receipt (or recovery) at PHL to PFGE upload to PulseNet</w:t>
            </w:r>
          </w:p>
        </w:tc>
        <w:tc>
          <w:tcPr>
            <w:tcW w:w="3445" w:type="dxa"/>
            <w:vAlign w:val="bottom"/>
          </w:tcPr>
          <w:p w:rsidR="001B2E9D" w:rsidRPr="00A7331E" w:rsidRDefault="00007502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5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days (2 - 13 days)</w:t>
            </w:r>
          </w:p>
        </w:tc>
        <w:tc>
          <w:tcPr>
            <w:tcW w:w="3258" w:type="dxa"/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4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days (2 - 7) days</w:t>
            </w:r>
          </w:p>
        </w:tc>
        <w:tc>
          <w:tcPr>
            <w:tcW w:w="3363" w:type="dxa"/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4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days (2 - 7) days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sz w:val="20"/>
                <w:szCs w:val="20"/>
              </w:rPr>
              <w:t>9. Number of laboratory confirmed cases reported to epidemiology staff</w:t>
            </w:r>
          </w:p>
        </w:tc>
        <w:tc>
          <w:tcPr>
            <w:tcW w:w="3445" w:type="dxa"/>
            <w:vAlign w:val="bottom"/>
          </w:tcPr>
          <w:p w:rsidR="001B2E9D" w:rsidRPr="00A7331E" w:rsidRDefault="001B2E9D" w:rsidP="00963E6A">
            <w:pPr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971</w:t>
            </w:r>
            <w:r w:rsidR="00963E6A">
              <w:rPr>
                <w:rFonts w:cs="Calibri"/>
                <w:color w:val="000000"/>
                <w:sz w:val="20"/>
              </w:rPr>
              <w:t xml:space="preserve"> (286 - 1433)</w:t>
            </w:r>
          </w:p>
        </w:tc>
        <w:tc>
          <w:tcPr>
            <w:tcW w:w="3258" w:type="dxa"/>
          </w:tcPr>
          <w:p w:rsidR="001B2E9D" w:rsidRPr="00A7331E" w:rsidRDefault="00007502" w:rsidP="00963E6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152</w:t>
            </w:r>
            <w:r w:rsidR="001B2E9D">
              <w:rPr>
                <w:rFonts w:cs="Calibri"/>
                <w:color w:val="000000"/>
                <w:sz w:val="20"/>
              </w:rPr>
              <w:t xml:space="preserve"> </w:t>
            </w:r>
            <w:r w:rsidR="001B2E9D" w:rsidRPr="00A7331E">
              <w:rPr>
                <w:rFonts w:cs="Calibri"/>
                <w:color w:val="000000"/>
                <w:sz w:val="20"/>
              </w:rPr>
              <w:t>(1</w:t>
            </w:r>
            <w:r w:rsidR="001B2E9D">
              <w:rPr>
                <w:rFonts w:cs="Calibri"/>
                <w:color w:val="000000"/>
                <w:sz w:val="20"/>
              </w:rPr>
              <w:t>5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- </w:t>
            </w:r>
            <w:r w:rsidR="001B2E9D">
              <w:rPr>
                <w:rFonts w:cs="Calibri"/>
                <w:color w:val="000000"/>
                <w:sz w:val="20"/>
              </w:rPr>
              <w:t>318</w:t>
            </w:r>
            <w:r w:rsidR="001B2E9D" w:rsidRPr="00A7331E">
              <w:rPr>
                <w:rFonts w:cs="Calibri"/>
                <w:color w:val="000000"/>
                <w:sz w:val="20"/>
              </w:rPr>
              <w:t>)</w:t>
            </w:r>
          </w:p>
        </w:tc>
        <w:tc>
          <w:tcPr>
            <w:tcW w:w="3363" w:type="dxa"/>
          </w:tcPr>
          <w:p w:rsidR="001B2E9D" w:rsidRPr="00A7331E" w:rsidRDefault="00007502" w:rsidP="00963E6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20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(</w:t>
            </w:r>
            <w:r w:rsidR="001B2E9D">
              <w:rPr>
                <w:rFonts w:cs="Calibri"/>
                <w:color w:val="000000"/>
                <w:sz w:val="20"/>
              </w:rPr>
              <w:t>4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- </w:t>
            </w:r>
            <w:r w:rsidR="001B2E9D">
              <w:rPr>
                <w:rFonts w:cs="Calibri"/>
                <w:color w:val="000000"/>
                <w:sz w:val="20"/>
              </w:rPr>
              <w:t>46</w:t>
            </w:r>
            <w:r w:rsidR="001B2E9D" w:rsidRPr="00A7331E">
              <w:rPr>
                <w:rFonts w:cs="Calibri"/>
                <w:color w:val="000000"/>
                <w:sz w:val="20"/>
              </w:rPr>
              <w:t>)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sz w:val="20"/>
                <w:szCs w:val="20"/>
              </w:rPr>
              <w:t>10a. Percent of cases with attempted interview</w:t>
            </w:r>
          </w:p>
        </w:tc>
        <w:tc>
          <w:tcPr>
            <w:tcW w:w="3445" w:type="dxa"/>
            <w:vAlign w:val="bottom"/>
          </w:tcPr>
          <w:p w:rsidR="001B2E9D" w:rsidRPr="00A7331E" w:rsidRDefault="001B2E9D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98% (94 - 100%)</w:t>
            </w:r>
          </w:p>
        </w:tc>
        <w:tc>
          <w:tcPr>
            <w:tcW w:w="3258" w:type="dxa"/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98</w:t>
            </w:r>
            <w:r w:rsidR="001B2E9D">
              <w:rPr>
                <w:rFonts w:cs="Calibri"/>
                <w:color w:val="000000"/>
                <w:sz w:val="20"/>
              </w:rPr>
              <w:t>% (90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- 100%)</w:t>
            </w:r>
          </w:p>
        </w:tc>
        <w:tc>
          <w:tcPr>
            <w:tcW w:w="3363" w:type="dxa"/>
          </w:tcPr>
          <w:p w:rsidR="001B2E9D" w:rsidRPr="00A7331E" w:rsidRDefault="001B2E9D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100</w:t>
            </w:r>
            <w:r w:rsidRPr="00A7331E">
              <w:rPr>
                <w:rFonts w:cs="Calibri"/>
                <w:color w:val="000000"/>
                <w:sz w:val="20"/>
              </w:rPr>
              <w:t>% (</w:t>
            </w:r>
            <w:r>
              <w:rPr>
                <w:rFonts w:cs="Calibri"/>
                <w:color w:val="000000"/>
                <w:sz w:val="20"/>
              </w:rPr>
              <w:t>100</w:t>
            </w:r>
            <w:r w:rsidRPr="00A7331E">
              <w:rPr>
                <w:rFonts w:cs="Calibri"/>
                <w:color w:val="000000"/>
                <w:sz w:val="20"/>
              </w:rPr>
              <w:t xml:space="preserve"> - 100%)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>10b. Median days from case report to interview attempt</w:t>
            </w:r>
          </w:p>
        </w:tc>
        <w:tc>
          <w:tcPr>
            <w:tcW w:w="3445" w:type="dxa"/>
            <w:vAlign w:val="bottom"/>
          </w:tcPr>
          <w:p w:rsidR="001B2E9D" w:rsidRPr="00A7331E" w:rsidRDefault="00007502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2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days (0 - 4 days)</w:t>
            </w:r>
          </w:p>
        </w:tc>
        <w:tc>
          <w:tcPr>
            <w:tcW w:w="3258" w:type="dxa"/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2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days (0 - </w:t>
            </w:r>
            <w:r w:rsidR="001B2E9D">
              <w:rPr>
                <w:rFonts w:cs="Calibri"/>
                <w:color w:val="000000"/>
                <w:sz w:val="20"/>
              </w:rPr>
              <w:t>5</w:t>
            </w:r>
            <w:r w:rsidR="001B2E9D" w:rsidRPr="00A7331E">
              <w:rPr>
                <w:rFonts w:cs="Calibri"/>
                <w:color w:val="000000"/>
                <w:sz w:val="20"/>
              </w:rPr>
              <w:t>) days</w:t>
            </w:r>
          </w:p>
        </w:tc>
        <w:tc>
          <w:tcPr>
            <w:tcW w:w="3363" w:type="dxa"/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2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days (0 - </w:t>
            </w:r>
            <w:r w:rsidR="001B2E9D">
              <w:rPr>
                <w:rFonts w:cs="Calibri"/>
                <w:color w:val="000000"/>
                <w:sz w:val="20"/>
              </w:rPr>
              <w:t>8</w:t>
            </w:r>
            <w:r w:rsidR="001B2E9D" w:rsidRPr="00A7331E">
              <w:rPr>
                <w:rFonts w:cs="Calibri"/>
                <w:color w:val="000000"/>
                <w:sz w:val="20"/>
              </w:rPr>
              <w:t>) days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>10c. Percent of cases with complete demographic data</w:t>
            </w:r>
          </w:p>
        </w:tc>
        <w:tc>
          <w:tcPr>
            <w:tcW w:w="3445" w:type="dxa"/>
            <w:vAlign w:val="bottom"/>
          </w:tcPr>
          <w:p w:rsidR="001B2E9D" w:rsidRPr="00A7331E" w:rsidRDefault="001B2E9D" w:rsidP="00007502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8</w:t>
            </w:r>
            <w:r w:rsidR="00007502">
              <w:rPr>
                <w:rFonts w:cs="Calibri"/>
                <w:color w:val="000000"/>
                <w:sz w:val="20"/>
              </w:rPr>
              <w:t>6</w:t>
            </w:r>
            <w:r w:rsidRPr="00A7331E">
              <w:rPr>
                <w:rFonts w:cs="Calibri"/>
                <w:color w:val="000000"/>
                <w:sz w:val="20"/>
              </w:rPr>
              <w:t>% (71 - 93%)</w:t>
            </w:r>
          </w:p>
        </w:tc>
        <w:tc>
          <w:tcPr>
            <w:tcW w:w="3258" w:type="dxa"/>
          </w:tcPr>
          <w:p w:rsidR="001B2E9D" w:rsidRPr="00A7331E" w:rsidRDefault="001B2E9D" w:rsidP="00007502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9</w:t>
            </w:r>
            <w:r w:rsidR="00007502">
              <w:rPr>
                <w:rFonts w:cs="Calibri"/>
                <w:color w:val="000000"/>
                <w:sz w:val="20"/>
              </w:rPr>
              <w:t>2</w:t>
            </w:r>
            <w:r w:rsidRPr="00A7331E">
              <w:rPr>
                <w:rFonts w:cs="Calibri"/>
                <w:color w:val="000000"/>
                <w:sz w:val="20"/>
              </w:rPr>
              <w:t>% (</w:t>
            </w:r>
            <w:r>
              <w:rPr>
                <w:rFonts w:cs="Calibri"/>
                <w:color w:val="000000"/>
                <w:sz w:val="20"/>
              </w:rPr>
              <w:t>81</w:t>
            </w:r>
            <w:r w:rsidRPr="00A7331E">
              <w:rPr>
                <w:rFonts w:cs="Calibri"/>
                <w:color w:val="000000"/>
                <w:sz w:val="20"/>
              </w:rPr>
              <w:t xml:space="preserve"> - 100%)</w:t>
            </w:r>
          </w:p>
        </w:tc>
        <w:tc>
          <w:tcPr>
            <w:tcW w:w="3363" w:type="dxa"/>
          </w:tcPr>
          <w:p w:rsidR="001B2E9D" w:rsidRPr="00A7331E" w:rsidRDefault="001B2E9D" w:rsidP="00007502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9</w:t>
            </w:r>
            <w:r w:rsidR="00007502">
              <w:rPr>
                <w:rFonts w:cs="Calibri"/>
                <w:color w:val="000000"/>
                <w:sz w:val="20"/>
              </w:rPr>
              <w:t>7</w:t>
            </w:r>
            <w:r w:rsidRPr="00A7331E">
              <w:rPr>
                <w:rFonts w:cs="Calibri"/>
                <w:color w:val="000000"/>
                <w:sz w:val="20"/>
              </w:rPr>
              <w:t>% (8</w:t>
            </w:r>
            <w:r>
              <w:rPr>
                <w:rFonts w:cs="Calibri"/>
                <w:color w:val="000000"/>
                <w:sz w:val="20"/>
              </w:rPr>
              <w:t>8</w:t>
            </w:r>
            <w:r w:rsidRPr="00A7331E">
              <w:rPr>
                <w:rFonts w:cs="Calibri"/>
                <w:color w:val="000000"/>
                <w:sz w:val="20"/>
              </w:rPr>
              <w:t xml:space="preserve"> - 100%)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sz w:val="20"/>
                <w:szCs w:val="20"/>
              </w:rPr>
              <w:t>10d. Percent of cases with exposure history</w:t>
            </w:r>
          </w:p>
        </w:tc>
        <w:tc>
          <w:tcPr>
            <w:tcW w:w="3445" w:type="dxa"/>
            <w:vAlign w:val="bottom"/>
          </w:tcPr>
          <w:p w:rsidR="001B2E9D" w:rsidRPr="00A7331E" w:rsidRDefault="00007502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84</w:t>
            </w:r>
            <w:r w:rsidR="001B2E9D" w:rsidRPr="00A7331E">
              <w:rPr>
                <w:rFonts w:cs="Calibri"/>
                <w:color w:val="000000"/>
                <w:sz w:val="20"/>
              </w:rPr>
              <w:t>% (66 - 93%)</w:t>
            </w:r>
          </w:p>
        </w:tc>
        <w:tc>
          <w:tcPr>
            <w:tcW w:w="3258" w:type="dxa"/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86</w:t>
            </w:r>
            <w:r w:rsidR="001B2E9D" w:rsidRPr="00A7331E">
              <w:rPr>
                <w:rFonts w:cs="Calibri"/>
                <w:color w:val="000000"/>
                <w:sz w:val="20"/>
              </w:rPr>
              <w:t>% (</w:t>
            </w:r>
            <w:r w:rsidR="001B2E9D">
              <w:rPr>
                <w:rFonts w:cs="Calibri"/>
                <w:color w:val="000000"/>
                <w:sz w:val="20"/>
              </w:rPr>
              <w:t>73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- </w:t>
            </w:r>
            <w:r w:rsidR="001B2E9D">
              <w:rPr>
                <w:rFonts w:cs="Calibri"/>
                <w:color w:val="000000"/>
                <w:sz w:val="20"/>
              </w:rPr>
              <w:t>96</w:t>
            </w:r>
            <w:r w:rsidR="001B2E9D" w:rsidRPr="00A7331E">
              <w:rPr>
                <w:rFonts w:cs="Calibri"/>
                <w:color w:val="000000"/>
                <w:sz w:val="20"/>
              </w:rPr>
              <w:t>%)</w:t>
            </w:r>
          </w:p>
        </w:tc>
        <w:tc>
          <w:tcPr>
            <w:tcW w:w="3363" w:type="dxa"/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86</w:t>
            </w:r>
            <w:r w:rsidR="001B2E9D" w:rsidRPr="00A7331E">
              <w:rPr>
                <w:rFonts w:cs="Calibri"/>
                <w:color w:val="000000"/>
                <w:sz w:val="20"/>
              </w:rPr>
              <w:t>% (</w:t>
            </w:r>
            <w:r w:rsidR="001B2E9D">
              <w:rPr>
                <w:rFonts w:cs="Calibri"/>
                <w:color w:val="000000"/>
                <w:sz w:val="20"/>
              </w:rPr>
              <w:t>75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- 100%)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 xml:space="preserve">10d-i. </w:t>
            </w:r>
            <w:r w:rsidRPr="005646E4">
              <w:rPr>
                <w:sz w:val="20"/>
                <w:szCs w:val="20"/>
              </w:rPr>
              <w:t>Percent of SSL cases with full shotgun or case exposure completed</w:t>
            </w:r>
          </w:p>
        </w:tc>
        <w:tc>
          <w:tcPr>
            <w:tcW w:w="3445" w:type="dxa"/>
            <w:vAlign w:val="bottom"/>
          </w:tcPr>
          <w:p w:rsidR="001B2E9D" w:rsidRPr="00A7331E" w:rsidRDefault="00007502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78</w:t>
            </w:r>
            <w:r w:rsidR="001B2E9D" w:rsidRPr="00A7331E">
              <w:rPr>
                <w:rFonts w:cs="Calibri"/>
                <w:color w:val="000000"/>
                <w:sz w:val="20"/>
              </w:rPr>
              <w:t>% (64 - 93%)</w:t>
            </w:r>
          </w:p>
        </w:tc>
        <w:tc>
          <w:tcPr>
            <w:tcW w:w="3258" w:type="dxa"/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vertAlign w:val="superscript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78</w:t>
            </w:r>
            <w:r w:rsidR="001B2E9D">
              <w:rPr>
                <w:rFonts w:eastAsiaTheme="minorEastAsia" w:cs="Calibri"/>
                <w:color w:val="000000"/>
                <w:sz w:val="20"/>
              </w:rPr>
              <w:t>% (54 - 88</w:t>
            </w:r>
            <w:r w:rsidR="001B2E9D" w:rsidRPr="00A7331E">
              <w:rPr>
                <w:rFonts w:eastAsiaTheme="minorEastAsia" w:cs="Calibri"/>
                <w:color w:val="000000"/>
                <w:sz w:val="20"/>
              </w:rPr>
              <w:t>%)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:rsidR="001B2E9D" w:rsidRPr="00A7331E" w:rsidRDefault="00007502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73</w:t>
            </w:r>
            <w:r w:rsidR="001B2E9D">
              <w:rPr>
                <w:rFonts w:eastAsiaTheme="minorEastAsia" w:cs="Calibri"/>
                <w:color w:val="000000"/>
                <w:sz w:val="20"/>
              </w:rPr>
              <w:t>% (44 - 100</w:t>
            </w:r>
            <w:r w:rsidR="001B2E9D" w:rsidRPr="00A7331E">
              <w:rPr>
                <w:rFonts w:eastAsiaTheme="minorEastAsia" w:cs="Calibri"/>
                <w:color w:val="000000"/>
                <w:sz w:val="20"/>
              </w:rPr>
              <w:t>%)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>10e. Percent of cases with serotype information</w:t>
            </w:r>
          </w:p>
        </w:tc>
        <w:tc>
          <w:tcPr>
            <w:tcW w:w="3445" w:type="dxa"/>
            <w:vAlign w:val="bottom"/>
          </w:tcPr>
          <w:p w:rsidR="001B2E9D" w:rsidRPr="00A7331E" w:rsidRDefault="001B2E9D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94% (78 - 100%)</w:t>
            </w:r>
          </w:p>
        </w:tc>
        <w:tc>
          <w:tcPr>
            <w:tcW w:w="3258" w:type="dxa"/>
          </w:tcPr>
          <w:p w:rsidR="001B2E9D" w:rsidRPr="00A7331E" w:rsidRDefault="00007502" w:rsidP="00007502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93</w:t>
            </w:r>
            <w:r w:rsidR="001B2E9D" w:rsidRPr="00A7331E">
              <w:rPr>
                <w:rFonts w:cs="Calibri"/>
                <w:color w:val="000000"/>
                <w:sz w:val="20"/>
              </w:rPr>
              <w:t>% (</w:t>
            </w:r>
            <w:r w:rsidR="001B2E9D">
              <w:rPr>
                <w:rFonts w:cs="Calibri"/>
                <w:color w:val="000000"/>
                <w:sz w:val="20"/>
              </w:rPr>
              <w:t>77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- 100%)</w:t>
            </w:r>
          </w:p>
        </w:tc>
        <w:tc>
          <w:tcPr>
            <w:tcW w:w="3363" w:type="dxa"/>
            <w:shd w:val="clear" w:color="auto" w:fill="A6A6A6" w:themeFill="background1" w:themeFillShade="A6"/>
          </w:tcPr>
          <w:p w:rsidR="001B2E9D" w:rsidRPr="00A7331E" w:rsidRDefault="001B2E9D" w:rsidP="001B2E9D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</w:tr>
      <w:tr w:rsidR="00FE3D98" w:rsidRPr="00A7331E" w:rsidTr="00FE3D98">
        <w:trPr>
          <w:trHeight w:val="413"/>
        </w:trPr>
        <w:tc>
          <w:tcPr>
            <w:tcW w:w="5238" w:type="dxa"/>
            <w:vMerge w:val="restart"/>
            <w:tcBorders>
              <w:top w:val="single" w:sz="4" w:space="0" w:color="auto"/>
            </w:tcBorders>
            <w:vAlign w:val="center"/>
          </w:tcPr>
          <w:p w:rsidR="00FE3D98" w:rsidRPr="005646E4" w:rsidRDefault="00FE3D98" w:rsidP="00FE3D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lastRenderedPageBreak/>
              <w:t>Performance Metrics:</w:t>
            </w:r>
          </w:p>
          <w:p w:rsidR="00FE3D98" w:rsidRPr="005646E4" w:rsidRDefault="00FE3D98" w:rsidP="00FE3D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(See </w:t>
            </w:r>
            <w:hyperlink r:id="rId10" w:history="1">
              <w:r w:rsidRPr="00387ACC">
                <w:rPr>
                  <w:rStyle w:val="Hyperlink"/>
                  <w:rFonts w:eastAsiaTheme="minorEastAsia" w:cs="Calibri"/>
                  <w:b/>
                  <w:bCs/>
                  <w:sz w:val="20"/>
                  <w:szCs w:val="20"/>
                </w:rPr>
                <w:t>http://www.cdc.gov/foodcore/ssl-metrics.html</w:t>
              </w:r>
            </w:hyperlink>
            <w:r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for current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language and definitions)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FE3D98" w:rsidRPr="005646E4" w:rsidRDefault="00FE3D98" w:rsidP="00FE3D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i/>
                <w:color w:val="000000"/>
                <w:sz w:val="20"/>
                <w:szCs w:val="20"/>
              </w:rPr>
              <w:t>Salmonella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Measures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FE3D98" w:rsidRPr="005646E4" w:rsidRDefault="00FE3D98" w:rsidP="00FE3D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>STEC Measures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FE3D98" w:rsidRPr="005646E4" w:rsidRDefault="00FE3D98" w:rsidP="00FE3D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i/>
                <w:color w:val="000000"/>
                <w:sz w:val="20"/>
                <w:szCs w:val="20"/>
              </w:rPr>
              <w:t>Listeria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Measures</w:t>
            </w:r>
          </w:p>
        </w:tc>
      </w:tr>
      <w:tr w:rsidR="00FE3D98" w:rsidRPr="00A7331E" w:rsidTr="00FE3D98">
        <w:trPr>
          <w:trHeight w:val="323"/>
        </w:trPr>
        <w:tc>
          <w:tcPr>
            <w:tcW w:w="5238" w:type="dxa"/>
            <w:vMerge/>
            <w:vAlign w:val="center"/>
          </w:tcPr>
          <w:p w:rsidR="00FE3D98" w:rsidRPr="005646E4" w:rsidRDefault="00FE3D98" w:rsidP="00FE3D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3445" w:type="dxa"/>
            <w:vAlign w:val="center"/>
          </w:tcPr>
          <w:p w:rsidR="00FE3D98" w:rsidRPr="005646E4" w:rsidRDefault="00FE3D98" w:rsidP="00FE3D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color w:val="000000"/>
                <w:sz w:val="20"/>
                <w:szCs w:val="20"/>
              </w:rPr>
              <w:t>Mean (Range)</w:t>
            </w:r>
          </w:p>
        </w:tc>
        <w:tc>
          <w:tcPr>
            <w:tcW w:w="3258" w:type="dxa"/>
            <w:vAlign w:val="center"/>
          </w:tcPr>
          <w:p w:rsidR="00FE3D98" w:rsidRPr="005646E4" w:rsidRDefault="00FE3D98" w:rsidP="00FE3D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color w:val="000000"/>
                <w:sz w:val="20"/>
                <w:szCs w:val="20"/>
              </w:rPr>
              <w:t>Mean (Range)</w:t>
            </w:r>
          </w:p>
        </w:tc>
        <w:tc>
          <w:tcPr>
            <w:tcW w:w="3363" w:type="dxa"/>
            <w:vAlign w:val="center"/>
          </w:tcPr>
          <w:p w:rsidR="00FE3D98" w:rsidRPr="005646E4" w:rsidRDefault="00FE3D98" w:rsidP="00FE3D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color w:val="000000"/>
                <w:sz w:val="20"/>
                <w:szCs w:val="20"/>
              </w:rPr>
              <w:t>Mean (Range)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>10f. Percent of cases with PFGE information</w:t>
            </w:r>
          </w:p>
        </w:tc>
        <w:tc>
          <w:tcPr>
            <w:tcW w:w="3445" w:type="dxa"/>
            <w:vAlign w:val="bottom"/>
          </w:tcPr>
          <w:p w:rsidR="001B2E9D" w:rsidRPr="00A7331E" w:rsidRDefault="001B2E9D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92% (78 - 100%)</w:t>
            </w:r>
          </w:p>
        </w:tc>
        <w:tc>
          <w:tcPr>
            <w:tcW w:w="3258" w:type="dxa"/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93</w:t>
            </w:r>
            <w:r w:rsidR="001B2E9D" w:rsidRPr="00A7331E">
              <w:rPr>
                <w:rFonts w:cs="Calibri"/>
                <w:color w:val="000000"/>
                <w:sz w:val="20"/>
              </w:rPr>
              <w:t>% (</w:t>
            </w:r>
            <w:r w:rsidR="001B2E9D">
              <w:rPr>
                <w:rFonts w:cs="Calibri"/>
                <w:color w:val="000000"/>
                <w:sz w:val="20"/>
              </w:rPr>
              <w:t>78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- 100%)</w:t>
            </w:r>
          </w:p>
        </w:tc>
        <w:tc>
          <w:tcPr>
            <w:tcW w:w="3363" w:type="dxa"/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95</w:t>
            </w:r>
            <w:r w:rsidR="001B2E9D">
              <w:rPr>
                <w:rFonts w:cs="Calibri"/>
                <w:color w:val="000000"/>
                <w:sz w:val="20"/>
              </w:rPr>
              <w:t>% (87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- 100%)</w:t>
            </w:r>
          </w:p>
        </w:tc>
      </w:tr>
      <w:tr w:rsidR="001B2E9D" w:rsidRPr="00A7331E" w:rsidTr="001B2E9D"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eastAsiaTheme="minorEastAsia" w:cs="Calibri"/>
                <w:b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sz w:val="20"/>
                <w:szCs w:val="20"/>
              </w:rPr>
              <w:t>10f-i. Percent of cases with PFGE with complete epi data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vAlign w:val="bottom"/>
          </w:tcPr>
          <w:p w:rsidR="001B2E9D" w:rsidRPr="00A7331E" w:rsidRDefault="001B2E9D" w:rsidP="001B2E9D">
            <w:pPr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65% (42 - 87%)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77</w:t>
            </w:r>
            <w:r w:rsidR="001B2E9D" w:rsidRPr="00A7331E">
              <w:rPr>
                <w:rFonts w:cs="Calibri"/>
                <w:color w:val="000000"/>
                <w:sz w:val="20"/>
              </w:rPr>
              <w:t>% (</w:t>
            </w:r>
            <w:r w:rsidR="001B2E9D">
              <w:rPr>
                <w:rFonts w:cs="Calibri"/>
                <w:color w:val="000000"/>
                <w:sz w:val="20"/>
              </w:rPr>
              <w:t>57 - 92</w:t>
            </w:r>
            <w:r w:rsidR="001B2E9D" w:rsidRPr="00A7331E">
              <w:rPr>
                <w:rFonts w:cs="Calibri"/>
                <w:color w:val="000000"/>
                <w:sz w:val="20"/>
              </w:rPr>
              <w:t>%)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:rsidR="001B2E9D" w:rsidRPr="00A7331E" w:rsidRDefault="00007502" w:rsidP="001B2E9D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75</w:t>
            </w:r>
            <w:r w:rsidR="001B2E9D" w:rsidRPr="00A7331E">
              <w:rPr>
                <w:rFonts w:cs="Calibri"/>
                <w:color w:val="000000"/>
                <w:sz w:val="20"/>
              </w:rPr>
              <w:t>% (</w:t>
            </w:r>
            <w:r w:rsidR="001B2E9D">
              <w:rPr>
                <w:rFonts w:cs="Calibri"/>
                <w:color w:val="000000"/>
                <w:sz w:val="20"/>
              </w:rPr>
              <w:t>65</w:t>
            </w:r>
            <w:r w:rsidR="001B2E9D" w:rsidRPr="00A7331E">
              <w:rPr>
                <w:rFonts w:cs="Calibri"/>
                <w:color w:val="000000"/>
                <w:sz w:val="20"/>
              </w:rPr>
              <w:t xml:space="preserve"> - </w:t>
            </w:r>
            <w:r w:rsidR="001B2E9D">
              <w:rPr>
                <w:rFonts w:cs="Calibri"/>
                <w:color w:val="000000"/>
                <w:sz w:val="20"/>
              </w:rPr>
              <w:t>88</w:t>
            </w:r>
            <w:r w:rsidR="001B2E9D" w:rsidRPr="00A7331E">
              <w:rPr>
                <w:rFonts w:cs="Calibri"/>
                <w:color w:val="000000"/>
                <w:sz w:val="20"/>
              </w:rPr>
              <w:t>%)</w:t>
            </w:r>
          </w:p>
        </w:tc>
      </w:tr>
      <w:tr w:rsidR="001B2E9D" w:rsidRPr="00A7331E" w:rsidTr="001B2E9D">
        <w:trPr>
          <w:trHeight w:hRule="exact" w:val="250"/>
        </w:trPr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>10g. Reasons for not interviewing cases</w:t>
            </w:r>
          </w:p>
        </w:tc>
        <w:tc>
          <w:tcPr>
            <w:tcW w:w="3445" w:type="dxa"/>
          </w:tcPr>
          <w:p w:rsidR="001B2E9D" w:rsidRPr="00A7331E" w:rsidRDefault="001B2E9D" w:rsidP="00963E6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rPr>
                <w:rFonts w:eastAsiaTheme="minorEastAsia" w:cs="Calibri"/>
                <w:sz w:val="20"/>
              </w:rPr>
            </w:pPr>
          </w:p>
        </w:tc>
        <w:tc>
          <w:tcPr>
            <w:tcW w:w="3258" w:type="dxa"/>
          </w:tcPr>
          <w:p w:rsidR="001B2E9D" w:rsidRPr="00A7331E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sz w:val="20"/>
              </w:rPr>
            </w:pPr>
          </w:p>
        </w:tc>
        <w:tc>
          <w:tcPr>
            <w:tcW w:w="3363" w:type="dxa"/>
          </w:tcPr>
          <w:p w:rsidR="001B2E9D" w:rsidRPr="00A7331E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sz w:val="20"/>
              </w:rPr>
            </w:pPr>
          </w:p>
        </w:tc>
      </w:tr>
      <w:tr w:rsidR="001B2E9D" w:rsidRPr="00A7331E" w:rsidTr="001B2E9D">
        <w:trPr>
          <w:trHeight w:hRule="exact" w:val="360"/>
        </w:trPr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>i. Lost to Follow-up: Number; Percent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</w:tcPr>
          <w:p w:rsidR="001B2E9D" w:rsidRPr="00007502" w:rsidRDefault="00007502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</w:rPr>
            </w:pPr>
            <w:r w:rsidRPr="00007502">
              <w:rPr>
                <w:rFonts w:cs="Calibri"/>
                <w:color w:val="000000"/>
                <w:sz w:val="20"/>
              </w:rPr>
              <w:t>85 (11 – 282); 68</w:t>
            </w:r>
            <w:r w:rsidR="001B2E9D" w:rsidRPr="00007502">
              <w:rPr>
                <w:rFonts w:cs="Calibri"/>
                <w:color w:val="000000"/>
                <w:sz w:val="20"/>
              </w:rPr>
              <w:t>% (24 - 90%)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1B2E9D" w:rsidRPr="00007502" w:rsidRDefault="00007502" w:rsidP="0000750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</w:rPr>
            </w:pPr>
            <w:r w:rsidRPr="00007502">
              <w:rPr>
                <w:rFonts w:cs="Calibri"/>
                <w:color w:val="000000"/>
                <w:sz w:val="20"/>
              </w:rPr>
              <w:t>8</w:t>
            </w:r>
            <w:r w:rsidR="001B2E9D" w:rsidRPr="00007502">
              <w:rPr>
                <w:rFonts w:cs="Calibri"/>
                <w:color w:val="000000"/>
                <w:sz w:val="20"/>
              </w:rPr>
              <w:t xml:space="preserve"> (0 - 20); </w:t>
            </w:r>
            <w:r w:rsidRPr="00007502">
              <w:rPr>
                <w:rFonts w:cs="Calibri"/>
                <w:color w:val="000000"/>
                <w:sz w:val="20"/>
              </w:rPr>
              <w:t>49</w:t>
            </w:r>
            <w:r w:rsidR="001B2E9D" w:rsidRPr="00007502">
              <w:rPr>
                <w:rFonts w:cs="Calibri"/>
                <w:color w:val="000000"/>
                <w:sz w:val="20"/>
              </w:rPr>
              <w:t>% (0 - 91%)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1B2E9D" w:rsidRPr="00007502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</w:rPr>
            </w:pPr>
            <w:r w:rsidRPr="00007502">
              <w:rPr>
                <w:rFonts w:cs="Calibri"/>
                <w:color w:val="000000"/>
                <w:sz w:val="20"/>
              </w:rPr>
              <w:t xml:space="preserve">1 (0 - 3); </w:t>
            </w:r>
            <w:r w:rsidR="00007502" w:rsidRPr="00007502">
              <w:rPr>
                <w:rFonts w:cs="Calibri"/>
                <w:color w:val="000000"/>
                <w:sz w:val="20"/>
              </w:rPr>
              <w:t>34</w:t>
            </w:r>
            <w:r w:rsidRPr="00007502">
              <w:rPr>
                <w:rFonts w:cs="Calibri"/>
                <w:color w:val="000000"/>
                <w:sz w:val="20"/>
              </w:rPr>
              <w:t>% (0 - 100%)</w:t>
            </w:r>
          </w:p>
        </w:tc>
      </w:tr>
      <w:tr w:rsidR="001B2E9D" w:rsidRPr="00A7331E" w:rsidTr="001B2E9D">
        <w:trPr>
          <w:trHeight w:hRule="exact" w:val="360"/>
        </w:trPr>
        <w:tc>
          <w:tcPr>
            <w:tcW w:w="5238" w:type="dxa"/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>ii. Refused: Number; Percent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</w:tcPr>
          <w:p w:rsidR="001B2E9D" w:rsidRPr="00007502" w:rsidRDefault="00007502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10</w:t>
            </w:r>
            <w:r w:rsidR="001B2E9D" w:rsidRPr="00007502">
              <w:rPr>
                <w:rFonts w:eastAsiaTheme="minorEastAsia" w:cs="Calibri"/>
                <w:color w:val="000000"/>
                <w:sz w:val="20"/>
              </w:rPr>
              <w:t xml:space="preserve"> (0 - 22); 6% (0 - 12%)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1B2E9D" w:rsidRPr="00007502" w:rsidRDefault="00007502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2</w:t>
            </w:r>
            <w:r w:rsidR="001B2E9D" w:rsidRPr="00007502">
              <w:rPr>
                <w:rFonts w:cs="Calibri"/>
                <w:color w:val="000000"/>
                <w:sz w:val="20"/>
              </w:rPr>
              <w:t xml:space="preserve"> (0 - 7); </w:t>
            </w:r>
            <w:r>
              <w:rPr>
                <w:rFonts w:cs="Calibri"/>
                <w:color w:val="000000"/>
                <w:sz w:val="20"/>
              </w:rPr>
              <w:t>20</w:t>
            </w:r>
            <w:r w:rsidR="001B2E9D" w:rsidRPr="00007502">
              <w:rPr>
                <w:rFonts w:cs="Calibri"/>
                <w:color w:val="000000"/>
                <w:sz w:val="20"/>
              </w:rPr>
              <w:t>% (0 - 70%)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1B2E9D" w:rsidRPr="00007502" w:rsidRDefault="00007502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0.8 (0 - 3); 13</w:t>
            </w:r>
            <w:r w:rsidR="001B2E9D" w:rsidRPr="00007502">
              <w:rPr>
                <w:rFonts w:cs="Calibri"/>
                <w:color w:val="000000"/>
                <w:sz w:val="20"/>
              </w:rPr>
              <w:t>% (0 - 50%)</w:t>
            </w:r>
          </w:p>
        </w:tc>
      </w:tr>
      <w:tr w:rsidR="001B2E9D" w:rsidRPr="00A7331E" w:rsidTr="001B2E9D">
        <w:trPr>
          <w:trHeight w:hRule="exact" w:val="360"/>
        </w:trPr>
        <w:tc>
          <w:tcPr>
            <w:tcW w:w="5238" w:type="dxa"/>
            <w:tcBorders>
              <w:bottom w:val="single" w:sz="4" w:space="0" w:color="auto"/>
            </w:tcBorders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>iii. Time lag too long: Number(Percent)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</w:tcPr>
          <w:p w:rsidR="001B2E9D" w:rsidRPr="00007502" w:rsidRDefault="00007502" w:rsidP="0000750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vertAlign w:val="superscript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2</w:t>
            </w:r>
            <w:r w:rsidR="001B2E9D" w:rsidRPr="00007502">
              <w:rPr>
                <w:rFonts w:eastAsiaTheme="minorEastAsia" w:cs="Calibri"/>
                <w:color w:val="000000"/>
                <w:sz w:val="20"/>
              </w:rPr>
              <w:t xml:space="preserve"> (0 - 4); </w:t>
            </w:r>
            <w:r>
              <w:rPr>
                <w:rFonts w:eastAsiaTheme="minorEastAsia" w:cs="Calibri"/>
                <w:color w:val="000000"/>
                <w:sz w:val="20"/>
              </w:rPr>
              <w:t>3</w:t>
            </w:r>
            <w:r w:rsidR="001B2E9D" w:rsidRPr="00007502">
              <w:rPr>
                <w:rFonts w:eastAsiaTheme="minorEastAsia" w:cs="Calibri"/>
                <w:color w:val="000000"/>
                <w:sz w:val="20"/>
              </w:rPr>
              <w:t>% (0 - 4%)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1B2E9D" w:rsidRPr="00007502" w:rsidRDefault="001B2E9D" w:rsidP="0000750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 w:rsidRPr="00007502">
              <w:rPr>
                <w:rFonts w:cs="Calibri"/>
                <w:color w:val="000000"/>
                <w:sz w:val="20"/>
              </w:rPr>
              <w:t xml:space="preserve">0.4 (0 - 2); </w:t>
            </w:r>
            <w:r w:rsidR="00007502">
              <w:rPr>
                <w:rFonts w:cs="Calibri"/>
                <w:color w:val="000000"/>
                <w:sz w:val="20"/>
              </w:rPr>
              <w:t>2</w:t>
            </w:r>
            <w:r w:rsidRPr="00007502">
              <w:rPr>
                <w:rFonts w:cs="Calibri"/>
                <w:color w:val="000000"/>
                <w:sz w:val="20"/>
              </w:rPr>
              <w:t>% (0 - 8%)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1B2E9D" w:rsidRPr="00007502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 w:rsidRPr="00007502">
              <w:rPr>
                <w:rFonts w:cs="Calibri"/>
                <w:color w:val="000000"/>
                <w:sz w:val="20"/>
              </w:rPr>
              <w:t>0 (0 - 0); 0% (0 - 0%)</w:t>
            </w:r>
          </w:p>
        </w:tc>
      </w:tr>
      <w:tr w:rsidR="001B2E9D" w:rsidRPr="00A7331E" w:rsidTr="001B2E9D">
        <w:trPr>
          <w:trHeight w:hRule="exact" w:val="360"/>
        </w:trPr>
        <w:tc>
          <w:tcPr>
            <w:tcW w:w="5238" w:type="dxa"/>
            <w:tcBorders>
              <w:bottom w:val="single" w:sz="4" w:space="0" w:color="auto"/>
            </w:tcBorders>
          </w:tcPr>
          <w:p w:rsidR="001B2E9D" w:rsidRPr="005646E4" w:rsidRDefault="001B2E9D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  <w:szCs w:val="20"/>
              </w:rPr>
            </w:pPr>
            <w:r w:rsidRPr="005646E4">
              <w:rPr>
                <w:rFonts w:eastAsiaTheme="minorEastAsia" w:cs="Calibri"/>
                <w:sz w:val="20"/>
                <w:szCs w:val="20"/>
              </w:rPr>
              <w:t xml:space="preserve">              iv. Other: Number; Percent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</w:tcPr>
          <w:p w:rsidR="001B2E9D" w:rsidRPr="00007502" w:rsidRDefault="001B2E9D" w:rsidP="00FE3D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 w:rsidRPr="00007502">
              <w:rPr>
                <w:rFonts w:eastAsiaTheme="minorEastAsia" w:cs="Calibri"/>
                <w:color w:val="000000"/>
                <w:sz w:val="20"/>
              </w:rPr>
              <w:t>4</w:t>
            </w:r>
            <w:r w:rsidR="00FE3D98">
              <w:rPr>
                <w:rFonts w:eastAsiaTheme="minorEastAsia" w:cs="Calibri"/>
                <w:color w:val="000000"/>
                <w:sz w:val="20"/>
              </w:rPr>
              <w:t>2</w:t>
            </w:r>
            <w:r w:rsidRPr="00007502">
              <w:rPr>
                <w:rFonts w:eastAsiaTheme="minorEastAsia" w:cs="Calibri"/>
                <w:color w:val="000000"/>
                <w:sz w:val="20"/>
              </w:rPr>
              <w:t xml:space="preserve"> (1 - 130); 22% (4 - 65%)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1B2E9D" w:rsidRPr="00007502" w:rsidRDefault="00FE3D98" w:rsidP="001B2E9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 (0 - 3); 14</w:t>
            </w:r>
            <w:r w:rsidR="001B2E9D" w:rsidRPr="00007502">
              <w:rPr>
                <w:rFonts w:cs="Calibri"/>
                <w:color w:val="000000"/>
                <w:sz w:val="20"/>
              </w:rPr>
              <w:t>% (0 - 30%)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1B2E9D" w:rsidRPr="00007502" w:rsidRDefault="00FE3D98" w:rsidP="00FE3D9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4</w:t>
            </w:r>
            <w:r w:rsidR="001B2E9D" w:rsidRPr="00007502">
              <w:rPr>
                <w:rFonts w:cs="Calibri"/>
                <w:color w:val="000000"/>
                <w:sz w:val="20"/>
              </w:rPr>
              <w:t xml:space="preserve"> (0 - 10); 5</w:t>
            </w:r>
            <w:r>
              <w:rPr>
                <w:rFonts w:cs="Calibri"/>
                <w:color w:val="000000"/>
                <w:sz w:val="20"/>
              </w:rPr>
              <w:t>2</w:t>
            </w:r>
            <w:r w:rsidR="001B2E9D" w:rsidRPr="00007502">
              <w:rPr>
                <w:rFonts w:cs="Calibri"/>
                <w:color w:val="000000"/>
                <w:sz w:val="20"/>
              </w:rPr>
              <w:t>% (0 - 100%)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spacing w:after="0" w:line="240" w:lineRule="auto"/>
              <w:rPr>
                <w:rFonts w:eastAsiaTheme="minorEastAsia" w:cstheme="minorHAnsi"/>
                <w:b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sz w:val="20"/>
                <w:szCs w:val="20"/>
              </w:rPr>
              <w:t>11. Number of clusters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69</w:t>
            </w:r>
            <w:r w:rsidR="002F3394">
              <w:rPr>
                <w:rFonts w:eastAsiaTheme="minorEastAsia" w:cs="Calibri"/>
                <w:color w:val="000000"/>
                <w:sz w:val="20"/>
                <w:szCs w:val="20"/>
              </w:rPr>
              <w:t xml:space="preserve"> (11 - 101)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 xml:space="preserve"> (1 - 35)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 xml:space="preserve"> (0 - 13)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spacing w:after="0" w:line="240" w:lineRule="auto"/>
              <w:rPr>
                <w:rFonts w:eastAsiaTheme="minorEastAsia" w:cstheme="minorHAnsi"/>
                <w:b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sz w:val="20"/>
                <w:szCs w:val="20"/>
              </w:rPr>
              <w:t>11a. Median and  range of cluster size(primary cases only)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Median size 2</w:t>
            </w:r>
            <w:r w:rsidR="002F3394" w:rsidRPr="002F3394">
              <w:rPr>
                <w:rFonts w:eastAsiaTheme="minorEastAsia" w:cs="Calibri"/>
                <w:color w:val="000000"/>
                <w:sz w:val="20"/>
                <w:szCs w:val="20"/>
              </w:rPr>
              <w:t xml:space="preserve"> (2 – 3)</w:t>
            </w:r>
          </w:p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Minimum size 1</w:t>
            </w:r>
            <w:r w:rsidR="002F3394" w:rsidRPr="002F3394">
              <w:rPr>
                <w:rFonts w:eastAsiaTheme="minorEastAsia" w:cs="Calibri"/>
                <w:color w:val="000000"/>
                <w:sz w:val="20"/>
                <w:szCs w:val="20"/>
              </w:rPr>
              <w:t xml:space="preserve"> (1 – 2)</w:t>
            </w:r>
          </w:p>
          <w:p w:rsidR="002F3394" w:rsidRPr="002F339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 w:rsidRPr="002F3394">
              <w:rPr>
                <w:rFonts w:eastAsiaTheme="minorEastAsia" w:cs="Calibri"/>
                <w:color w:val="000000"/>
                <w:sz w:val="20"/>
                <w:szCs w:val="20"/>
              </w:rPr>
              <w:t>Maximum size 26 (11 – 42)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Median size 2</w:t>
            </w:r>
            <w:r w:rsidR="002F3394" w:rsidRPr="002F3394">
              <w:rPr>
                <w:rFonts w:eastAsiaTheme="minorEastAsia" w:cs="Calibri"/>
                <w:color w:val="000000"/>
                <w:sz w:val="20"/>
                <w:szCs w:val="20"/>
              </w:rPr>
              <w:t xml:space="preserve"> (2 – 6)</w:t>
            </w:r>
          </w:p>
          <w:p w:rsidR="002F3394" w:rsidRPr="002F339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 w:rsidRPr="002F3394">
              <w:rPr>
                <w:rFonts w:eastAsiaTheme="minorEastAsia" w:cs="Calibri"/>
                <w:color w:val="000000"/>
                <w:sz w:val="20"/>
                <w:szCs w:val="20"/>
              </w:rPr>
              <w:t xml:space="preserve">Minimum size </w:t>
            </w:r>
            <w:r w:rsidR="007E5054">
              <w:rPr>
                <w:rFonts w:eastAsiaTheme="minorEastAsia" w:cs="Calibri"/>
                <w:color w:val="000000"/>
                <w:sz w:val="20"/>
                <w:szCs w:val="20"/>
              </w:rPr>
              <w:t>2</w:t>
            </w:r>
            <w:r w:rsidRPr="002F3394">
              <w:rPr>
                <w:rFonts w:eastAsiaTheme="minorEastAsia" w:cs="Calibri"/>
                <w:color w:val="000000"/>
                <w:sz w:val="20"/>
                <w:szCs w:val="20"/>
              </w:rPr>
              <w:t xml:space="preserve"> (1 – 2)</w:t>
            </w:r>
          </w:p>
          <w:p w:rsidR="002F3394" w:rsidRPr="002F3394" w:rsidRDefault="002F3394" w:rsidP="007E505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 w:rsidRPr="002F3394">
              <w:rPr>
                <w:rFonts w:eastAsiaTheme="minorEastAsia" w:cs="Calibri"/>
                <w:color w:val="000000"/>
                <w:sz w:val="20"/>
                <w:szCs w:val="20"/>
              </w:rPr>
              <w:t>Maximum size 2</w:t>
            </w:r>
            <w:r w:rsidR="007E5054">
              <w:rPr>
                <w:rFonts w:eastAsiaTheme="minorEastAsia" w:cs="Calibri"/>
                <w:color w:val="000000"/>
                <w:sz w:val="20"/>
                <w:szCs w:val="20"/>
              </w:rPr>
              <w:t>3</w:t>
            </w:r>
            <w:r w:rsidRPr="002F3394">
              <w:rPr>
                <w:rFonts w:eastAsiaTheme="minorEastAsia" w:cs="Calibri"/>
                <w:color w:val="000000"/>
                <w:sz w:val="20"/>
                <w:szCs w:val="20"/>
              </w:rPr>
              <w:t xml:space="preserve"> (2 – 79)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Median size 1</w:t>
            </w:r>
            <w:r w:rsidR="002F3394" w:rsidRPr="002F3394">
              <w:rPr>
                <w:rFonts w:eastAsiaTheme="minorEastAsia" w:cs="Calibri"/>
                <w:color w:val="000000"/>
                <w:sz w:val="20"/>
                <w:szCs w:val="20"/>
              </w:rPr>
              <w:t xml:space="preserve"> (1 – 1)</w:t>
            </w:r>
          </w:p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Minimum size 1</w:t>
            </w:r>
            <w:r w:rsidR="002F3394" w:rsidRPr="002F3394">
              <w:rPr>
                <w:rFonts w:eastAsiaTheme="minorEastAsia" w:cs="Calibri"/>
                <w:color w:val="000000"/>
                <w:sz w:val="20"/>
                <w:szCs w:val="20"/>
              </w:rPr>
              <w:t xml:space="preserve"> (1 – 1)</w:t>
            </w:r>
          </w:p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Maximum size 1</w:t>
            </w:r>
            <w:r w:rsidR="002F3394" w:rsidRPr="002F3394">
              <w:rPr>
                <w:rFonts w:eastAsiaTheme="minorEastAsia" w:cs="Calibri"/>
                <w:color w:val="000000"/>
                <w:sz w:val="20"/>
                <w:szCs w:val="20"/>
              </w:rPr>
              <w:t xml:space="preserve"> (1 –2)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spacing w:after="0" w:line="240" w:lineRule="auto"/>
              <w:rPr>
                <w:rFonts w:eastAsiaTheme="minorEastAsia" w:cstheme="minorHAnsi"/>
                <w:b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sz w:val="20"/>
                <w:szCs w:val="20"/>
              </w:rPr>
              <w:t>12. Number; Percent of clusters with cases in multiple states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28 (6 - 52); 41</w:t>
            </w:r>
            <w:r w:rsidR="002F3394">
              <w:rPr>
                <w:rFonts w:eastAsiaTheme="minorEastAsia" w:cs="Calibri"/>
                <w:color w:val="000000"/>
                <w:sz w:val="20"/>
                <w:szCs w:val="20"/>
              </w:rPr>
              <w:t>% (7 - 69%)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</w:t>
            </w:r>
            <w:r w:rsidR="002F3394" w:rsidRPr="002F3394">
              <w:rPr>
                <w:rFonts w:cs="Calibri"/>
                <w:color w:val="000000"/>
                <w:sz w:val="20"/>
                <w:szCs w:val="20"/>
              </w:rPr>
              <w:t xml:space="preserve"> (</w:t>
            </w:r>
            <w:r>
              <w:rPr>
                <w:rFonts w:cs="Calibri"/>
                <w:color w:val="000000"/>
                <w:sz w:val="20"/>
                <w:szCs w:val="20"/>
              </w:rPr>
              <w:t>0 - 14); 40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% (0 - 60%)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 (1 - 8); 86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% (62 - 100%)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b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b/>
                <w:sz w:val="20"/>
                <w:szCs w:val="20"/>
              </w:rPr>
              <w:t>13a. Number; Percent of clusters with routine interview of cases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F3394" w:rsidRPr="002F339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 w:rsidRPr="002F3394">
              <w:rPr>
                <w:rFonts w:eastAsiaTheme="minorEastAsia" w:cs="Calibri"/>
                <w:color w:val="000000"/>
                <w:sz w:val="20"/>
                <w:szCs w:val="20"/>
              </w:rPr>
              <w:t>6</w:t>
            </w:r>
            <w:r w:rsidR="007E5054">
              <w:rPr>
                <w:rFonts w:eastAsiaTheme="minorEastAsia" w:cs="Calibri"/>
                <w:color w:val="000000"/>
                <w:sz w:val="20"/>
                <w:szCs w:val="20"/>
              </w:rPr>
              <w:t>2 (11 - 101); 91</w:t>
            </w:r>
            <w:r>
              <w:rPr>
                <w:rFonts w:eastAsiaTheme="minorEastAsia" w:cs="Calibri"/>
                <w:color w:val="000000"/>
                <w:sz w:val="20"/>
                <w:szCs w:val="20"/>
              </w:rPr>
              <w:t>% (61 - 100%)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F3394" w:rsidRPr="002F339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2F3394">
              <w:rPr>
                <w:rFonts w:cs="Calibri"/>
                <w:color w:val="000000"/>
                <w:sz w:val="20"/>
                <w:szCs w:val="20"/>
              </w:rPr>
              <w:t>1</w:t>
            </w:r>
            <w:r w:rsidR="007E5054">
              <w:rPr>
                <w:rFonts w:cs="Calibri"/>
                <w:color w:val="000000"/>
                <w:sz w:val="20"/>
                <w:szCs w:val="20"/>
              </w:rPr>
              <w:t>1 (1 - 32); 95</w:t>
            </w:r>
            <w:r>
              <w:rPr>
                <w:rFonts w:cs="Calibri"/>
                <w:color w:val="000000"/>
                <w:sz w:val="20"/>
                <w:szCs w:val="20"/>
              </w:rPr>
              <w:t>% (88 - 100%)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 (1 - 13); 93</w:t>
            </w:r>
            <w:r w:rsidR="002F3394" w:rsidRPr="002F3394">
              <w:rPr>
                <w:rFonts w:cs="Calibri"/>
                <w:color w:val="000000"/>
                <w:sz w:val="20"/>
                <w:szCs w:val="20"/>
              </w:rPr>
              <w:t>% (67 - 100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%)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sz w:val="20"/>
                <w:szCs w:val="20"/>
              </w:rPr>
              <w:t>13b. Number; Percent of clusters with supplemental/targeted interviewing of cases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15 (6 - 30); 26</w:t>
            </w:r>
            <w:r w:rsidR="002F3394">
              <w:rPr>
                <w:rFonts w:eastAsiaTheme="minorEastAsia" w:cs="Calibri"/>
                <w:color w:val="000000"/>
                <w:sz w:val="20"/>
                <w:szCs w:val="20"/>
              </w:rPr>
              <w:t>% (7 - 54%)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 (1 - 22); 70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% (20 - 100%)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F3394" w:rsidRPr="002F339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0.6 (0 - 1)</w:t>
            </w:r>
            <w:r w:rsidR="007E5054">
              <w:rPr>
                <w:rFonts w:cs="Calibri"/>
                <w:color w:val="000000"/>
                <w:sz w:val="20"/>
                <w:szCs w:val="20"/>
              </w:rPr>
              <w:t>; 32</w:t>
            </w:r>
            <w:r>
              <w:rPr>
                <w:rFonts w:cs="Calibri"/>
                <w:color w:val="000000"/>
                <w:sz w:val="20"/>
                <w:szCs w:val="20"/>
              </w:rPr>
              <w:t>% (0 - 100%)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b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b/>
                <w:sz w:val="20"/>
                <w:szCs w:val="20"/>
              </w:rPr>
              <w:t xml:space="preserve">13c. Number; Percent of clusters where an analytic epidemiologic study conducted (&gt;10 </w:t>
            </w:r>
            <w:r w:rsidRPr="005646E4">
              <w:rPr>
                <w:rFonts w:eastAsiaTheme="minorEastAsia" w:cstheme="minorHAnsi"/>
                <w:b/>
                <w:i/>
                <w:sz w:val="20"/>
                <w:szCs w:val="20"/>
              </w:rPr>
              <w:t>Salmonella</w:t>
            </w:r>
            <w:r w:rsidRPr="005646E4">
              <w:rPr>
                <w:rFonts w:eastAsiaTheme="minorEastAsia" w:cstheme="minorHAnsi"/>
                <w:b/>
                <w:sz w:val="20"/>
                <w:szCs w:val="20"/>
              </w:rPr>
              <w:t xml:space="preserve"> or STEC cases, &gt;5 </w:t>
            </w:r>
            <w:r w:rsidRPr="005646E4">
              <w:rPr>
                <w:rFonts w:eastAsiaTheme="minorEastAsia" w:cstheme="minorHAnsi"/>
                <w:b/>
                <w:i/>
                <w:sz w:val="20"/>
                <w:szCs w:val="20"/>
              </w:rPr>
              <w:t xml:space="preserve">Listeria </w:t>
            </w:r>
            <w:r w:rsidRPr="005646E4">
              <w:rPr>
                <w:rFonts w:eastAsiaTheme="minorEastAsia" w:cstheme="minorHAnsi"/>
                <w:b/>
                <w:sz w:val="20"/>
                <w:szCs w:val="20"/>
              </w:rPr>
              <w:t>cases)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4 (1 - 8); 14</w:t>
            </w:r>
            <w:r w:rsidR="002F3394">
              <w:rPr>
                <w:rFonts w:eastAsiaTheme="minorEastAsia" w:cs="Calibri"/>
                <w:color w:val="000000"/>
                <w:sz w:val="20"/>
                <w:szCs w:val="20"/>
              </w:rPr>
              <w:t>% (3 - 50%)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 (0 - 14); 31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% (0 - 100%)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0.4 (0 - 1); 12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% (0 - 50%)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sz w:val="20"/>
                <w:szCs w:val="20"/>
              </w:rPr>
              <w:t>13d. Median duration ( in days) of epidemiologic investigation, from cluster notification to end of investigation/close-out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35</w:t>
            </w:r>
            <w:r w:rsidR="002F3394" w:rsidRPr="002F3394">
              <w:rPr>
                <w:rFonts w:cs="Calibri"/>
                <w:color w:val="000000"/>
                <w:sz w:val="20"/>
                <w:szCs w:val="20"/>
              </w:rPr>
              <w:t xml:space="preserve"> days (7 - 60)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34</w:t>
            </w:r>
            <w:r w:rsidR="002F3394" w:rsidRPr="002F3394">
              <w:rPr>
                <w:rFonts w:cs="Calibri"/>
                <w:color w:val="000000"/>
                <w:sz w:val="20"/>
                <w:szCs w:val="20"/>
              </w:rPr>
              <w:t xml:space="preserve"> days (10 - 60)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106</w:t>
            </w:r>
            <w:r w:rsidR="002F3394" w:rsidRPr="002F3394">
              <w:rPr>
                <w:rFonts w:cs="Calibri"/>
                <w:color w:val="000000"/>
                <w:sz w:val="20"/>
                <w:szCs w:val="20"/>
              </w:rPr>
              <w:t xml:space="preserve"> days (54 - 204)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b/>
                <w:sz w:val="20"/>
                <w:szCs w:val="20"/>
              </w:rPr>
              <w:t>14. Number; Percent of clusters with suspect vehicle/source identified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F3394" w:rsidRPr="002F339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 xml:space="preserve">7 (3 - 15); </w:t>
            </w:r>
            <w:r w:rsidR="007E5054">
              <w:rPr>
                <w:rFonts w:eastAsiaTheme="minorEastAsia" w:cs="Calibri"/>
                <w:color w:val="000000"/>
                <w:sz w:val="20"/>
                <w:szCs w:val="20"/>
              </w:rPr>
              <w:t>13</w:t>
            </w:r>
            <w:r>
              <w:rPr>
                <w:rFonts w:eastAsiaTheme="minorEastAsia" w:cs="Calibri"/>
                <w:color w:val="000000"/>
                <w:sz w:val="20"/>
                <w:szCs w:val="20"/>
              </w:rPr>
              <w:t>% (3 - 36%)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 (0 - 22); 38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% (0 - 75%)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 (0 - 0); 0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% (0 - 0%)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b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b/>
                <w:sz w:val="20"/>
                <w:szCs w:val="20"/>
              </w:rPr>
              <w:t>15. Number; Percent of clusters with confirmed vehicle/source identified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6 (1 - 12); 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9% (2 - 18%)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 (0 - 4); 17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% (0 - 50%)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0.8 (0 - 3); 15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% (0 - 50%)</w:t>
            </w:r>
          </w:p>
        </w:tc>
      </w:tr>
      <w:tr w:rsidR="002F3394" w:rsidRPr="00A7331E" w:rsidTr="00E001DA">
        <w:tc>
          <w:tcPr>
            <w:tcW w:w="5238" w:type="dxa"/>
            <w:shd w:val="clear" w:color="auto" w:fill="auto"/>
          </w:tcPr>
          <w:p w:rsidR="002F3394" w:rsidRPr="005646E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sz w:val="20"/>
                <w:szCs w:val="20"/>
              </w:rPr>
              <w:t xml:space="preserve">16a. Number; Percent of clusters with identified vehicle/source with control measure 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394" w:rsidRPr="002F3394" w:rsidRDefault="002F3394" w:rsidP="002F3394">
            <w:pPr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394" w:rsidRPr="002F339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</w:p>
        </w:tc>
        <w:tc>
          <w:tcPr>
            <w:tcW w:w="33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394" w:rsidRPr="002F339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</w:p>
        </w:tc>
      </w:tr>
      <w:tr w:rsidR="002F3394" w:rsidRPr="00A7331E" w:rsidTr="00E001DA">
        <w:tc>
          <w:tcPr>
            <w:tcW w:w="5238" w:type="dxa"/>
            <w:shd w:val="clear" w:color="auto" w:fill="auto"/>
          </w:tcPr>
          <w:p w:rsidR="002F3394" w:rsidRPr="005646E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sz w:val="20"/>
                <w:szCs w:val="20"/>
              </w:rPr>
              <w:t xml:space="preserve">16b. Number; Percent of clusters with identified vehicle/source with public health action 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394" w:rsidRPr="002F3394" w:rsidRDefault="007E5054" w:rsidP="002F3394">
            <w:pPr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0.5 (0 – 1); 3</w:t>
            </w:r>
            <w:r w:rsidR="002F3394" w:rsidRPr="002F3394">
              <w:rPr>
                <w:rFonts w:eastAsiaTheme="minorEastAsia" w:cs="Calibri"/>
                <w:color w:val="000000"/>
                <w:sz w:val="20"/>
                <w:szCs w:val="20"/>
              </w:rPr>
              <w:t>% (0 - 9%)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394" w:rsidRPr="002F3394" w:rsidRDefault="007E5054" w:rsidP="002F3394">
            <w:pPr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2 (0 - 8); 20</w:t>
            </w:r>
            <w:r w:rsidR="002F3394" w:rsidRPr="002F3394">
              <w:rPr>
                <w:rFonts w:eastAsiaTheme="minorEastAsia" w:cs="Calibri"/>
                <w:color w:val="000000"/>
                <w:sz w:val="20"/>
                <w:szCs w:val="20"/>
              </w:rPr>
              <w:t>% (0 - 50%)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394" w:rsidRPr="002F339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  <w:vertAlign w:val="superscript"/>
              </w:rPr>
            </w:pPr>
            <w:r w:rsidRPr="002F3394">
              <w:rPr>
                <w:rFonts w:cs="Calibri"/>
                <w:color w:val="000000"/>
                <w:sz w:val="20"/>
                <w:szCs w:val="20"/>
              </w:rPr>
              <w:t>No cumulative data available</w:t>
            </w:r>
            <w:r w:rsidRPr="002F3394">
              <w:rPr>
                <w:rFonts w:cs="Calibri"/>
                <w:color w:val="000000"/>
                <w:sz w:val="20"/>
                <w:szCs w:val="20"/>
                <w:vertAlign w:val="superscript"/>
              </w:rPr>
              <w:t>1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b/>
                <w:sz w:val="20"/>
                <w:szCs w:val="20"/>
              </w:rPr>
              <w:lastRenderedPageBreak/>
              <w:t>17. Number; Percent of clusters linked to a restaurant/food establishment with EHA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F3394" w:rsidRPr="002F3394" w:rsidRDefault="002F3394" w:rsidP="002F3394">
            <w:pPr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0 (0 - 0); 0% (0 - 0%)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2 (0 - 5); 24</w:t>
            </w:r>
            <w:r w:rsidR="002F3394">
              <w:rPr>
                <w:rFonts w:eastAsiaTheme="minorEastAsia" w:cs="Calibri"/>
                <w:color w:val="000000"/>
                <w:sz w:val="20"/>
                <w:szCs w:val="20"/>
              </w:rPr>
              <w:t>% (0 - 50%)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F3394" w:rsidRPr="002F339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  <w:vertAlign w:val="superscript"/>
              </w:rPr>
            </w:pPr>
            <w:r w:rsidRPr="002F3394">
              <w:rPr>
                <w:rFonts w:cs="Calibri"/>
                <w:color w:val="000000"/>
                <w:sz w:val="20"/>
                <w:szCs w:val="20"/>
              </w:rPr>
              <w:t>No cumulative data available</w:t>
            </w:r>
            <w:r w:rsidRPr="002F3394">
              <w:rPr>
                <w:rFonts w:cs="Calibri"/>
                <w:color w:val="000000"/>
                <w:sz w:val="20"/>
                <w:szCs w:val="20"/>
                <w:vertAlign w:val="superscript"/>
              </w:rPr>
              <w:t>1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b/>
                <w:sz w:val="20"/>
                <w:szCs w:val="20"/>
              </w:rPr>
              <w:t xml:space="preserve">18. Number; Percent of clusters with food/environmental sample collected for testing  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1</w:t>
            </w:r>
            <w:r w:rsidR="002F3394" w:rsidRPr="002F3394">
              <w:rPr>
                <w:rFonts w:eastAsiaTheme="minorEastAsia" w:cs="Calibri"/>
                <w:color w:val="000000"/>
                <w:sz w:val="20"/>
                <w:szCs w:val="20"/>
              </w:rPr>
              <w:t xml:space="preserve"> (0 - 3); 15</w:t>
            </w:r>
            <w:r w:rsidR="002F3394">
              <w:rPr>
                <w:rFonts w:eastAsiaTheme="minorEastAsia" w:cs="Calibri"/>
                <w:color w:val="000000"/>
                <w:sz w:val="20"/>
                <w:szCs w:val="20"/>
              </w:rPr>
              <w:t>% (0 - 43%)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2 (0 - 8); 14</w:t>
            </w:r>
            <w:r w:rsidR="002F3394">
              <w:rPr>
                <w:rFonts w:eastAsiaTheme="minorEastAsia" w:cs="Calibri"/>
                <w:color w:val="000000"/>
                <w:sz w:val="20"/>
                <w:szCs w:val="20"/>
              </w:rPr>
              <w:t>% (0 - 31%)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F3394" w:rsidRPr="002F339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  <w:vertAlign w:val="superscript"/>
              </w:rPr>
            </w:pPr>
            <w:r w:rsidRPr="002F3394">
              <w:rPr>
                <w:rFonts w:cs="Calibri"/>
                <w:color w:val="000000"/>
                <w:sz w:val="20"/>
                <w:szCs w:val="20"/>
              </w:rPr>
              <w:t>No cumulative data available</w:t>
            </w:r>
            <w:r w:rsidRPr="002F3394">
              <w:rPr>
                <w:rFonts w:cs="Calibri"/>
                <w:color w:val="000000"/>
                <w:sz w:val="20"/>
                <w:szCs w:val="20"/>
                <w:vertAlign w:val="superscript"/>
              </w:rPr>
              <w:t>1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b/>
                <w:sz w:val="20"/>
                <w:szCs w:val="20"/>
              </w:rPr>
              <w:t>19. Number; Percent of clusters where EH, Ag, regulatory, or food safety program staff contacted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1 (0 - 3); 7</w:t>
            </w:r>
            <w:r w:rsidR="002F3394">
              <w:rPr>
                <w:rFonts w:eastAsiaTheme="minorEastAsia" w:cs="Calibri"/>
                <w:color w:val="000000"/>
                <w:sz w:val="20"/>
                <w:szCs w:val="20"/>
              </w:rPr>
              <w:t>% (0 - 14%)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1 (0 - 3); 2</w:t>
            </w:r>
            <w:r w:rsidR="002F3394">
              <w:rPr>
                <w:rFonts w:eastAsiaTheme="minorEastAsia" w:cs="Calibri"/>
                <w:color w:val="000000"/>
                <w:sz w:val="20"/>
                <w:szCs w:val="20"/>
              </w:rPr>
              <w:t>8% (0 - 50%)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F3394" w:rsidRPr="002F339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  <w:vertAlign w:val="superscript"/>
              </w:rPr>
            </w:pPr>
            <w:r w:rsidRPr="002F3394">
              <w:rPr>
                <w:rFonts w:cs="Calibri"/>
                <w:color w:val="000000"/>
                <w:sz w:val="20"/>
                <w:szCs w:val="20"/>
              </w:rPr>
              <w:t>No cumulative data available</w:t>
            </w:r>
            <w:r w:rsidRPr="002F3394">
              <w:rPr>
                <w:rFonts w:cs="Calibri"/>
                <w:color w:val="000000"/>
                <w:sz w:val="20"/>
                <w:szCs w:val="20"/>
                <w:vertAlign w:val="superscript"/>
              </w:rPr>
              <w:t>1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20"/>
                <w:szCs w:val="20"/>
              </w:rPr>
            </w:pPr>
            <w:r w:rsidRPr="005646E4">
              <w:rPr>
                <w:rFonts w:eastAsiaTheme="minorEastAsia" w:cstheme="minorHAnsi"/>
                <w:b/>
                <w:color w:val="000000"/>
                <w:sz w:val="20"/>
                <w:szCs w:val="20"/>
              </w:rPr>
              <w:t>20. Number; Percent of outbreaks with NORS form completed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394" w:rsidRPr="002F3394" w:rsidRDefault="007E5054" w:rsidP="002F3394">
            <w:pPr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3 (0 - 5); 20</w:t>
            </w:r>
            <w:r w:rsidR="002F3394">
              <w:rPr>
                <w:rFonts w:eastAsiaTheme="minorEastAsia" w:cs="Calibri"/>
                <w:color w:val="000000"/>
                <w:sz w:val="20"/>
                <w:szCs w:val="20"/>
              </w:rPr>
              <w:t>% (0 - 71%)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394" w:rsidRPr="002F3394" w:rsidRDefault="007E5054" w:rsidP="002F3394">
            <w:pPr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0.8 (0 - 2); 1</w:t>
            </w:r>
            <w:r w:rsidR="002F3394">
              <w:rPr>
                <w:rFonts w:eastAsiaTheme="minorEastAsia" w:cs="Calibri"/>
                <w:color w:val="000000"/>
                <w:sz w:val="20"/>
                <w:szCs w:val="20"/>
              </w:rPr>
              <w:t>5% (0 - 50%)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394" w:rsidRPr="002F339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  <w:vertAlign w:val="superscript"/>
              </w:rPr>
            </w:pPr>
            <w:r w:rsidRPr="002F3394">
              <w:rPr>
                <w:rFonts w:cs="Calibri"/>
                <w:color w:val="000000"/>
                <w:sz w:val="20"/>
                <w:szCs w:val="20"/>
              </w:rPr>
              <w:t>No cumulative data available</w:t>
            </w:r>
            <w:r w:rsidRPr="002F3394">
              <w:rPr>
                <w:rFonts w:cs="Calibri"/>
                <w:color w:val="000000"/>
                <w:sz w:val="20"/>
                <w:szCs w:val="20"/>
                <w:vertAlign w:val="superscript"/>
              </w:rPr>
              <w:t>1</w:t>
            </w:r>
          </w:p>
        </w:tc>
      </w:tr>
      <w:tr w:rsidR="002F3394" w:rsidRPr="00A7331E" w:rsidTr="00E001DA">
        <w:tc>
          <w:tcPr>
            <w:tcW w:w="5238" w:type="dxa"/>
          </w:tcPr>
          <w:p w:rsidR="002F3394" w:rsidRPr="005646E4" w:rsidRDefault="002F339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Theme="minorEastAsia" w:cstheme="minorHAnsi"/>
                <w:b/>
                <w:color w:val="000000"/>
                <w:sz w:val="20"/>
                <w:szCs w:val="20"/>
              </w:rPr>
              <w:t>20a. Number; Percent of outbreaks with supplemental form completed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 (1 - 5); 21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% (2 - 100%)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2F3394" w:rsidRPr="002F3394">
              <w:rPr>
                <w:rFonts w:cs="Calibri"/>
                <w:color w:val="000000"/>
                <w:sz w:val="20"/>
                <w:szCs w:val="20"/>
              </w:rPr>
              <w:t xml:space="preserve"> (0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- 5); 38</w:t>
            </w:r>
            <w:r w:rsidR="002F3394" w:rsidRPr="002F3394">
              <w:rPr>
                <w:rFonts w:cs="Calibri"/>
                <w:color w:val="000000"/>
                <w:sz w:val="20"/>
                <w:szCs w:val="20"/>
              </w:rPr>
              <w:t>% (0 - 100%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F3394" w:rsidRPr="002F3394" w:rsidRDefault="007E5054" w:rsidP="002F339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0.6 (0 - 2); 13</w:t>
            </w:r>
            <w:r w:rsidR="002F3394">
              <w:rPr>
                <w:rFonts w:cs="Calibri"/>
                <w:color w:val="000000"/>
                <w:sz w:val="20"/>
                <w:szCs w:val="20"/>
              </w:rPr>
              <w:t>% (0 - 50%)</w:t>
            </w:r>
          </w:p>
        </w:tc>
      </w:tr>
    </w:tbl>
    <w:p w:rsidR="002238E1" w:rsidRDefault="00E001DA" w:rsidP="002F3394">
      <w:pPr>
        <w:rPr>
          <w:rFonts w:cstheme="minorHAnsi"/>
          <w:sz w:val="20"/>
        </w:rPr>
      </w:pPr>
      <w:r w:rsidRPr="000C2077">
        <w:rPr>
          <w:rFonts w:cstheme="minorHAnsi"/>
          <w:sz w:val="20"/>
          <w:vertAlign w:val="superscript"/>
        </w:rPr>
        <w:t>1</w:t>
      </w:r>
      <w:r w:rsidRPr="000C2077">
        <w:rPr>
          <w:rFonts w:cstheme="minorHAnsi"/>
          <w:sz w:val="20"/>
        </w:rPr>
        <w:t>Cumulative data for this metric were not reported from 3 or more centers</w:t>
      </w:r>
      <w:bookmarkStart w:id="0" w:name="_GoBack"/>
      <w:bookmarkEnd w:id="0"/>
    </w:p>
    <w:tbl>
      <w:tblPr>
        <w:tblpPr w:leftFromText="180" w:rightFromText="180" w:vertAnchor="text" w:horzAnchor="margin" w:tblpXSpec="center" w:tblpY="121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3445"/>
        <w:gridCol w:w="3258"/>
        <w:gridCol w:w="3363"/>
      </w:tblGrid>
      <w:tr w:rsidR="002238E1" w:rsidRPr="00A7331E" w:rsidTr="0026755C">
        <w:trPr>
          <w:trHeight w:val="413"/>
        </w:trPr>
        <w:tc>
          <w:tcPr>
            <w:tcW w:w="1530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szCs w:val="24"/>
              </w:rPr>
              <w:t xml:space="preserve">Metrics </w:t>
            </w:r>
            <w:r w:rsidRPr="009934B6">
              <w:rPr>
                <w:rFonts w:cs="Times New Roman"/>
                <w:b/>
                <w:szCs w:val="24"/>
              </w:rPr>
              <w:t xml:space="preserve">Table </w:t>
            </w:r>
            <w:r>
              <w:rPr>
                <w:rFonts w:cs="Times New Roman"/>
                <w:b/>
                <w:szCs w:val="24"/>
              </w:rPr>
              <w:t>2</w:t>
            </w:r>
            <w:r w:rsidRPr="009934B6">
              <w:rPr>
                <w:rFonts w:cs="Times New Roman"/>
                <w:b/>
                <w:szCs w:val="24"/>
              </w:rPr>
              <w:t xml:space="preserve">. </w:t>
            </w:r>
            <w:r w:rsidRPr="009934B6">
              <w:rPr>
                <w:rFonts w:cs="Times New Roman"/>
                <w:szCs w:val="24"/>
              </w:rPr>
              <w:t>FoodCORE Year Two (Y2</w:t>
            </w:r>
            <w:r>
              <w:rPr>
                <w:rFonts w:cs="Times New Roman"/>
                <w:szCs w:val="24"/>
              </w:rPr>
              <w:t xml:space="preserve">) </w:t>
            </w:r>
            <w:r>
              <w:t xml:space="preserve">Norovirus, Other Etiologies, </w:t>
            </w:r>
            <w:r w:rsidRPr="00B23550">
              <w:t xml:space="preserve">and </w:t>
            </w:r>
            <w:r>
              <w:t>U</w:t>
            </w:r>
            <w:r w:rsidRPr="00B23550">
              <w:t xml:space="preserve">nknown </w:t>
            </w:r>
            <w:r>
              <w:t>E</w:t>
            </w:r>
            <w:r w:rsidRPr="00B23550">
              <w:t>tiologies</w:t>
            </w:r>
            <w:r>
              <w:t xml:space="preserve"> (NOU)</w:t>
            </w:r>
            <w:r w:rsidRPr="009934B6">
              <w:rPr>
                <w:rFonts w:cs="Times New Roman"/>
                <w:szCs w:val="24"/>
              </w:rPr>
              <w:t xml:space="preserve"> Metrics Data</w:t>
            </w:r>
            <w:r>
              <w:rPr>
                <w:rFonts w:cs="Times New Roman"/>
                <w:szCs w:val="24"/>
              </w:rPr>
              <w:t xml:space="preserve"> (</w:t>
            </w:r>
            <w:r w:rsidRPr="009934B6">
              <w:rPr>
                <w:rFonts w:cs="Times New Roman"/>
                <w:szCs w:val="24"/>
              </w:rPr>
              <w:t>October 1, 2011 to December 30, 2012).</w:t>
            </w:r>
          </w:p>
        </w:tc>
      </w:tr>
      <w:tr w:rsidR="002238E1" w:rsidRPr="00A7331E" w:rsidTr="0026755C">
        <w:trPr>
          <w:trHeight w:val="413"/>
        </w:trPr>
        <w:tc>
          <w:tcPr>
            <w:tcW w:w="5238" w:type="dxa"/>
            <w:vMerge w:val="restart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>Performance Metrics:</w:t>
            </w:r>
          </w:p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(See </w:t>
            </w:r>
            <w:hyperlink r:id="rId11" w:history="1">
              <w:r w:rsidRPr="006821BE">
                <w:rPr>
                  <w:rStyle w:val="Hyperlink"/>
                  <w:rFonts w:eastAsiaTheme="minorEastAsia" w:cs="Calibri"/>
                  <w:b/>
                  <w:bCs/>
                  <w:sz w:val="20"/>
                  <w:szCs w:val="20"/>
                </w:rPr>
                <w:t>http://www.cdc.gov/foodcore/nou-metrics.html</w:t>
              </w:r>
            </w:hyperlink>
            <w:r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for current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language and definitions)</w:t>
            </w:r>
          </w:p>
        </w:tc>
        <w:tc>
          <w:tcPr>
            <w:tcW w:w="3445" w:type="dxa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 w:rsidRPr="009934B6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>Norovirus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Measures</w:t>
            </w:r>
          </w:p>
        </w:tc>
        <w:tc>
          <w:tcPr>
            <w:tcW w:w="3258" w:type="dxa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>Other Etiology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Measures</w:t>
            </w:r>
          </w:p>
        </w:tc>
        <w:tc>
          <w:tcPr>
            <w:tcW w:w="3363" w:type="dxa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>Unknown Etiology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Measures</w:t>
            </w:r>
          </w:p>
        </w:tc>
      </w:tr>
      <w:tr w:rsidR="002238E1" w:rsidRPr="00A7331E" w:rsidTr="0026755C">
        <w:trPr>
          <w:trHeight w:val="323"/>
        </w:trPr>
        <w:tc>
          <w:tcPr>
            <w:tcW w:w="5238" w:type="dxa"/>
            <w:vMerge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3445" w:type="dxa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color w:val="000000"/>
                <w:sz w:val="20"/>
                <w:szCs w:val="20"/>
              </w:rPr>
              <w:t>Mean (Range)</w:t>
            </w:r>
          </w:p>
        </w:tc>
        <w:tc>
          <w:tcPr>
            <w:tcW w:w="3258" w:type="dxa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color w:val="000000"/>
                <w:sz w:val="20"/>
                <w:szCs w:val="20"/>
              </w:rPr>
              <w:t>Mean (Range)</w:t>
            </w:r>
          </w:p>
        </w:tc>
        <w:tc>
          <w:tcPr>
            <w:tcW w:w="3363" w:type="dxa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color w:val="000000"/>
                <w:sz w:val="20"/>
                <w:szCs w:val="20"/>
              </w:rPr>
              <w:t>Mean (Range)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71591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</w:rPr>
            </w:pPr>
            <w:r w:rsidRPr="00715912">
              <w:rPr>
                <w:rFonts w:eastAsiaTheme="minorEastAsia" w:cs="Calibri"/>
                <w:b/>
              </w:rPr>
              <w:t>1. Number of  investigations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37 (6 – 185)</w:t>
            </w:r>
          </w:p>
        </w:tc>
        <w:tc>
          <w:tcPr>
            <w:tcW w:w="3258" w:type="dxa"/>
            <w:vAlign w:val="center"/>
          </w:tcPr>
          <w:p w:rsidR="002238E1" w:rsidRPr="00966DEC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16 (0 – 69)</w:t>
            </w:r>
          </w:p>
        </w:tc>
        <w:tc>
          <w:tcPr>
            <w:tcW w:w="3363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 (3 – 31)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</w:rPr>
            </w:pPr>
            <w:r w:rsidRPr="002144E9">
              <w:rPr>
                <w:rFonts w:eastAsiaTheme="minorEastAsia" w:cs="Calibri"/>
              </w:rPr>
              <w:t>2a</w:t>
            </w:r>
            <w:r>
              <w:rPr>
                <w:rFonts w:eastAsiaTheme="minorEastAsia" w:cs="Calibri"/>
              </w:rPr>
              <w:t xml:space="preserve">. Number; Percent of </w:t>
            </w:r>
            <w:r w:rsidRPr="00124BC5">
              <w:rPr>
                <w:rFonts w:eastAsiaTheme="minorEastAsia" w:cs="Calibri"/>
              </w:rPr>
              <w:t xml:space="preserve">investigations with clinical specimens collected and submitted to </w:t>
            </w:r>
            <w:r>
              <w:rPr>
                <w:rFonts w:eastAsiaTheme="minorEastAsia" w:cs="Calibri"/>
              </w:rPr>
              <w:t xml:space="preserve">PHL </w:t>
            </w:r>
            <w:r w:rsidRPr="00124BC5">
              <w:rPr>
                <w:rFonts w:eastAsiaTheme="minorEastAsia" w:cs="Calibri"/>
              </w:rPr>
              <w:t xml:space="preserve">from </w:t>
            </w:r>
            <w:r>
              <w:rPr>
                <w:rFonts w:eastAsiaTheme="minorEastAsia" w:cstheme="minorHAnsi"/>
              </w:rPr>
              <w:t>≥</w:t>
            </w:r>
            <w:r w:rsidRPr="00124BC5">
              <w:rPr>
                <w:rFonts w:eastAsiaTheme="minorEastAsia" w:cs="Calibri"/>
              </w:rPr>
              <w:t>2 people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23 (4-100); 74% (50 – 100%)</w:t>
            </w:r>
          </w:p>
        </w:tc>
        <w:tc>
          <w:tcPr>
            <w:tcW w:w="3258" w:type="dxa"/>
            <w:tcBorders>
              <w:bottom w:val="single" w:sz="4" w:space="0" w:color="auto"/>
            </w:tcBorders>
            <w:vAlign w:val="center"/>
          </w:tcPr>
          <w:p w:rsidR="002238E1" w:rsidRPr="00966DEC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11 (2 – 28); 80% (41 – 100%)</w:t>
            </w:r>
          </w:p>
        </w:tc>
        <w:tc>
          <w:tcPr>
            <w:tcW w:w="3363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 (0 – 5); 30% (0 – 100%)</w:t>
            </w:r>
          </w:p>
        </w:tc>
      </w:tr>
      <w:tr w:rsidR="002238E1" w:rsidRPr="00A7331E" w:rsidTr="0026755C">
        <w:trPr>
          <w:trHeight w:val="347"/>
        </w:trPr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</w:rPr>
            </w:pPr>
            <w:r>
              <w:rPr>
                <w:rFonts w:eastAsiaTheme="minorEastAsia" w:cs="Calibri"/>
                <w:b/>
              </w:rPr>
              <w:t>2b. Number; Percent</w:t>
            </w:r>
            <w:r w:rsidRPr="00124BC5">
              <w:rPr>
                <w:rFonts w:eastAsiaTheme="minorEastAsia" w:cs="Calibri"/>
                <w:b/>
              </w:rPr>
              <w:t xml:space="preserve"> of investigations where clinical specimens  were tested for GI viruses at PHL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2238E1" w:rsidRPr="003D63D6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 w:rsidRPr="003D63D6">
              <w:rPr>
                <w:rFonts w:eastAsiaTheme="minorEastAsia" w:cs="Calibri"/>
                <w:color w:val="000000"/>
                <w:sz w:val="20"/>
              </w:rPr>
              <w:t>2</w:t>
            </w:r>
            <w:r>
              <w:rPr>
                <w:rFonts w:eastAsiaTheme="minorEastAsia" w:cs="Calibri"/>
                <w:color w:val="000000"/>
                <w:sz w:val="20"/>
              </w:rPr>
              <w:t>4</w:t>
            </w:r>
            <w:r w:rsidRPr="003D63D6">
              <w:rPr>
                <w:rFonts w:eastAsiaTheme="minorEastAsia" w:cs="Calibri"/>
                <w:color w:val="000000"/>
                <w:sz w:val="20"/>
              </w:rPr>
              <w:t xml:space="preserve"> (4 –</w:t>
            </w:r>
            <w:r>
              <w:rPr>
                <w:rFonts w:eastAsiaTheme="minorEastAsia" w:cs="Calibri"/>
                <w:color w:val="000000"/>
                <w:sz w:val="20"/>
              </w:rPr>
              <w:t xml:space="preserve"> 107</w:t>
            </w:r>
            <w:r w:rsidRPr="003D63D6">
              <w:rPr>
                <w:rFonts w:eastAsiaTheme="minorEastAsia" w:cs="Calibri"/>
                <w:color w:val="000000"/>
                <w:sz w:val="20"/>
              </w:rPr>
              <w:t>); 8</w:t>
            </w:r>
            <w:r>
              <w:rPr>
                <w:rFonts w:eastAsiaTheme="minorEastAsia" w:cs="Calibri"/>
                <w:color w:val="000000"/>
                <w:sz w:val="20"/>
              </w:rPr>
              <w:t>7% (50 – 100%)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 (0 – 4); 31% (0 – 80%)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2 (0 -5); 33% (0 – 100%)</w:t>
            </w:r>
          </w:p>
        </w:tc>
      </w:tr>
      <w:tr w:rsidR="002238E1" w:rsidRPr="00A7331E" w:rsidTr="0026755C">
        <w:trPr>
          <w:trHeight w:val="347"/>
        </w:trPr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</w:rPr>
            </w:pPr>
            <w:r w:rsidRPr="00124BC5">
              <w:rPr>
                <w:rFonts w:eastAsiaTheme="minorEastAsia" w:cs="Calibri"/>
                <w:b/>
              </w:rPr>
              <w:t xml:space="preserve">2b-i. </w:t>
            </w:r>
            <w:r>
              <w:rPr>
                <w:rFonts w:eastAsiaTheme="minorEastAsia" w:cs="Calibri"/>
                <w:b/>
              </w:rPr>
              <w:t xml:space="preserve"> Number; Percent</w:t>
            </w:r>
            <w:r w:rsidRPr="00124BC5">
              <w:rPr>
                <w:rFonts w:eastAsiaTheme="minorEastAsia" w:cs="Calibri"/>
                <w:b/>
              </w:rPr>
              <w:t xml:space="preserve"> of investigation where specimens were tested for norovirus by RT-PCR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2238E1" w:rsidRPr="003D63D6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 w:rsidRPr="003D63D6">
              <w:rPr>
                <w:rFonts w:eastAsiaTheme="minorEastAsia" w:cs="Calibri"/>
                <w:color w:val="000000"/>
                <w:sz w:val="20"/>
              </w:rPr>
              <w:t>2</w:t>
            </w:r>
            <w:r>
              <w:rPr>
                <w:rFonts w:eastAsiaTheme="minorEastAsia" w:cs="Calibri"/>
                <w:color w:val="000000"/>
                <w:sz w:val="20"/>
              </w:rPr>
              <w:t>4</w:t>
            </w:r>
            <w:r w:rsidRPr="003D63D6">
              <w:rPr>
                <w:rFonts w:eastAsiaTheme="minorEastAsia" w:cs="Calibri"/>
                <w:color w:val="000000"/>
                <w:sz w:val="20"/>
              </w:rPr>
              <w:t xml:space="preserve"> (2 – 107); 8</w:t>
            </w:r>
            <w:r>
              <w:rPr>
                <w:rFonts w:eastAsiaTheme="minorEastAsia" w:cs="Calibri"/>
                <w:color w:val="000000"/>
                <w:sz w:val="20"/>
              </w:rPr>
              <w:t>3% (25 – 100%)</w:t>
            </w:r>
          </w:p>
        </w:tc>
        <w:tc>
          <w:tcPr>
            <w:tcW w:w="3258" w:type="dxa"/>
            <w:shd w:val="clear" w:color="auto" w:fill="A6A6A6" w:themeFill="background1" w:themeFillShade="A6"/>
            <w:vAlign w:val="center"/>
          </w:tcPr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</w:p>
        </w:tc>
        <w:tc>
          <w:tcPr>
            <w:tcW w:w="3363" w:type="dxa"/>
            <w:shd w:val="clear" w:color="auto" w:fill="A6A6A6" w:themeFill="background1" w:themeFillShade="A6"/>
            <w:vAlign w:val="center"/>
          </w:tcPr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  <w:highlight w:val="darkGray"/>
              </w:rPr>
            </w:pP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</w:rPr>
            </w:pPr>
            <w:r w:rsidRPr="00124BC5">
              <w:rPr>
                <w:rFonts w:eastAsiaTheme="minorEastAsia" w:cs="Calibri"/>
                <w:b/>
              </w:rPr>
              <w:t xml:space="preserve">2b-i-1. </w:t>
            </w:r>
            <w:r>
              <w:rPr>
                <w:rFonts w:eastAsiaTheme="minorEastAsia" w:cs="Calibri"/>
                <w:b/>
              </w:rPr>
              <w:t xml:space="preserve"> Number; Percent</w:t>
            </w:r>
            <w:r w:rsidRPr="00124BC5">
              <w:rPr>
                <w:rFonts w:eastAsiaTheme="minorEastAsia" w:cs="Calibri"/>
                <w:b/>
              </w:rPr>
              <w:t xml:space="preserve"> of norovirus investigations with </w:t>
            </w:r>
            <w:r w:rsidRPr="00124BC5">
              <w:rPr>
                <w:rFonts w:eastAsiaTheme="minorEastAsia" w:cstheme="minorHAnsi"/>
                <w:b/>
              </w:rPr>
              <w:t>≥</w:t>
            </w:r>
            <w:r w:rsidRPr="00124BC5">
              <w:rPr>
                <w:rFonts w:eastAsiaTheme="minorEastAsia" w:cs="Calibri"/>
                <w:b/>
              </w:rPr>
              <w:t xml:space="preserve"> 1 positive specimens with sequencing &amp; upload to CaliciNet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33 (2 – 100); 78% (25 – 100%)</w:t>
            </w:r>
          </w:p>
        </w:tc>
        <w:tc>
          <w:tcPr>
            <w:tcW w:w="3258" w:type="dxa"/>
            <w:shd w:val="clear" w:color="auto" w:fill="A6A6A6" w:themeFill="background1" w:themeFillShade="A6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363" w:type="dxa"/>
            <w:shd w:val="clear" w:color="auto" w:fill="A6A6A6" w:themeFill="background1" w:themeFillShade="A6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</w:rPr>
            </w:pPr>
            <w:r w:rsidRPr="00124BC5">
              <w:rPr>
                <w:rFonts w:eastAsiaTheme="minorEastAsia" w:cs="Calibri"/>
                <w:b/>
              </w:rPr>
              <w:t>2b-i-1</w:t>
            </w:r>
            <w:r>
              <w:rPr>
                <w:rFonts w:eastAsiaTheme="minorEastAsia" w:cs="Calibri"/>
                <w:b/>
              </w:rPr>
              <w:t>a</w:t>
            </w:r>
            <w:r w:rsidRPr="00124BC5">
              <w:rPr>
                <w:rFonts w:eastAsiaTheme="minorEastAsia" w:cs="Calibri"/>
                <w:b/>
              </w:rPr>
              <w:t xml:space="preserve">. </w:t>
            </w:r>
            <w:r>
              <w:rPr>
                <w:rFonts w:eastAsiaTheme="minorEastAsia" w:cs="Calibri"/>
                <w:b/>
              </w:rPr>
              <w:t>M</w:t>
            </w:r>
            <w:r w:rsidRPr="00124BC5">
              <w:rPr>
                <w:rFonts w:eastAsiaTheme="minorEastAsia" w:cs="Calibri"/>
                <w:b/>
              </w:rPr>
              <w:t>edian days from first norovirus detection via RT-PCR to upload to CaliciNet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19 days (3-45)</w:t>
            </w:r>
          </w:p>
        </w:tc>
        <w:tc>
          <w:tcPr>
            <w:tcW w:w="3258" w:type="dxa"/>
            <w:shd w:val="clear" w:color="auto" w:fill="A6A6A6" w:themeFill="background1" w:themeFillShade="A6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36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</w:rPr>
            </w:pPr>
            <w:r w:rsidRPr="00124BC5">
              <w:rPr>
                <w:rFonts w:eastAsiaTheme="minorEastAsia" w:cs="Calibri"/>
              </w:rPr>
              <w:t>2b-i</w:t>
            </w:r>
            <w:r>
              <w:rPr>
                <w:rFonts w:eastAsiaTheme="minorEastAsia" w:cs="Calibri"/>
              </w:rPr>
              <w:t>i.  Number; Percent</w:t>
            </w:r>
            <w:r w:rsidRPr="00124BC5">
              <w:rPr>
                <w:rFonts w:eastAsiaTheme="minorEastAsia" w:cs="Calibri"/>
              </w:rPr>
              <w:t xml:space="preserve"> of investigation where specimens were tested for other viruses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0 (0 – 0); 0% (0 – 0%)</w:t>
            </w:r>
          </w:p>
        </w:tc>
        <w:tc>
          <w:tcPr>
            <w:tcW w:w="3258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0.4 (0 – 2); 10% (0 – 50%)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2238E1" w:rsidRPr="00407052" w:rsidRDefault="002238E1" w:rsidP="0026755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0.3 (0 – 2); 6% (0 – 33%)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</w:rPr>
            </w:pPr>
            <w:r w:rsidRPr="00F35E95">
              <w:rPr>
                <w:rFonts w:eastAsiaTheme="minorEastAsia" w:cs="Calibri"/>
                <w:b/>
              </w:rPr>
              <w:t>2c. # (%) of investigations where clinical specimens  were tested for pathogenic bacteria or their toxins, antigens, or specific antibodies at PHL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21 (0 – 89); 52% (0 – 100%)</w:t>
            </w:r>
          </w:p>
        </w:tc>
        <w:tc>
          <w:tcPr>
            <w:tcW w:w="3258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 (1 – 19); 69% (28 – 100%)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2238E1" w:rsidRPr="00407052" w:rsidRDefault="002238E1" w:rsidP="0026755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 (0 – 6); 39% (0 – 100%)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</w:rPr>
            </w:pPr>
            <w:r>
              <w:rPr>
                <w:rFonts w:eastAsiaTheme="minorEastAsia" w:cs="Calibri"/>
              </w:rPr>
              <w:lastRenderedPageBreak/>
              <w:t>2c</w:t>
            </w:r>
            <w:r w:rsidRPr="00124BC5">
              <w:rPr>
                <w:rFonts w:eastAsiaTheme="minorEastAsia" w:cs="Calibri"/>
              </w:rPr>
              <w:t>-i</w:t>
            </w:r>
            <w:r>
              <w:rPr>
                <w:rFonts w:eastAsiaTheme="minorEastAsia" w:cs="Calibri"/>
              </w:rPr>
              <w:t xml:space="preserve">. </w:t>
            </w:r>
            <w:r w:rsidRPr="00124BC5">
              <w:rPr>
                <w:rFonts w:eastAsiaTheme="minorEastAsia" w:cs="Calibri"/>
              </w:rPr>
              <w:t xml:space="preserve"># (%) of investigation </w:t>
            </w:r>
            <w:r w:rsidRPr="00F35E95">
              <w:rPr>
                <w:rFonts w:eastAsiaTheme="minorEastAsia" w:cs="Calibri"/>
              </w:rPr>
              <w:t>where clinical specimens were tested using culture-based diagnostics at PHL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33 (2 – 89); 58% (25 – 100%)</w:t>
            </w:r>
          </w:p>
        </w:tc>
        <w:tc>
          <w:tcPr>
            <w:tcW w:w="3258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 (1 – 19); 65% (28 – 100%)</w:t>
            </w:r>
          </w:p>
        </w:tc>
        <w:tc>
          <w:tcPr>
            <w:tcW w:w="3363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 (2 – 5); 48% (16 – 100%)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</w:rPr>
            </w:pPr>
            <w:r>
              <w:rPr>
                <w:rFonts w:eastAsiaTheme="minorEastAsia" w:cs="Calibri"/>
              </w:rPr>
              <w:t>2c</w:t>
            </w:r>
            <w:r w:rsidRPr="00124BC5">
              <w:rPr>
                <w:rFonts w:eastAsiaTheme="minorEastAsia" w:cs="Calibri"/>
              </w:rPr>
              <w:t>-i</w:t>
            </w:r>
            <w:r>
              <w:rPr>
                <w:rFonts w:eastAsiaTheme="minorEastAsia" w:cs="Calibri"/>
              </w:rPr>
              <w:t xml:space="preserve">i. </w:t>
            </w:r>
            <w:r w:rsidRPr="00124BC5">
              <w:rPr>
                <w:rFonts w:eastAsiaTheme="minorEastAsia" w:cs="Calibri"/>
              </w:rPr>
              <w:t xml:space="preserve"># (%) of investigation </w:t>
            </w:r>
            <w:r w:rsidRPr="00F35E95">
              <w:rPr>
                <w:rFonts w:eastAsiaTheme="minorEastAsia" w:cs="Calibri"/>
              </w:rPr>
              <w:t>where clinical specimens were tested using non-culture-based diagnostics at PHL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 (0 – 3); 7% (0 – 25%)</w:t>
            </w:r>
          </w:p>
        </w:tc>
        <w:tc>
          <w:tcPr>
            <w:tcW w:w="3258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0.2 (0 – 1); 7% (0 – 33%)</w:t>
            </w:r>
          </w:p>
        </w:tc>
        <w:tc>
          <w:tcPr>
            <w:tcW w:w="3363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0.5 (0 – 2); 7.5% (0 – 33%)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</w:rPr>
            </w:pPr>
            <w:r w:rsidRPr="002144E9">
              <w:rPr>
                <w:rFonts w:eastAsiaTheme="minorEastAsia" w:cs="Calibri"/>
              </w:rPr>
              <w:t xml:space="preserve">2d. # (%) of </w:t>
            </w:r>
            <w:r w:rsidRPr="00F35E95">
              <w:rPr>
                <w:rFonts w:eastAsiaTheme="minorEastAsia" w:cs="Calibri"/>
              </w:rPr>
              <w:t>investigations where clinical specimens  were tested for parasites at PHL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0.7 (0 – 2); 6 % (0 – 25%)</w:t>
            </w:r>
          </w:p>
        </w:tc>
        <w:tc>
          <w:tcPr>
            <w:tcW w:w="3258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0.4 (0 – 1); 7% (0 -33%)</w:t>
            </w:r>
          </w:p>
        </w:tc>
        <w:tc>
          <w:tcPr>
            <w:tcW w:w="3363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0.1 (0 – 1); 0.4% (0 – 3%)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</w:rPr>
            </w:pPr>
            <w:r w:rsidRPr="002144E9">
              <w:rPr>
                <w:rFonts w:eastAsiaTheme="minorEastAsia" w:cs="Calibri"/>
              </w:rPr>
              <w:t xml:space="preserve">2d-i. </w:t>
            </w:r>
            <w:r w:rsidRPr="00F35E95">
              <w:rPr>
                <w:rFonts w:eastAsiaTheme="minorEastAsia" w:cs="Calibri"/>
              </w:rPr>
              <w:t># (%) of O/P positive clinical specimens referred to DPDx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No cumulative data available</w:t>
            </w:r>
            <w:r w:rsidRPr="00A7331E">
              <w:rPr>
                <w:rFonts w:cs="Calibri"/>
                <w:color w:val="000000"/>
                <w:sz w:val="20"/>
                <w:vertAlign w:val="superscript"/>
              </w:rPr>
              <w:t>1</w:t>
            </w:r>
          </w:p>
        </w:tc>
        <w:tc>
          <w:tcPr>
            <w:tcW w:w="3258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No cumulative data available</w:t>
            </w:r>
            <w:r w:rsidRPr="00A7331E">
              <w:rPr>
                <w:rFonts w:cs="Calibri"/>
                <w:color w:val="000000"/>
                <w:sz w:val="20"/>
                <w:vertAlign w:val="superscript"/>
              </w:rPr>
              <w:t>1</w:t>
            </w:r>
          </w:p>
        </w:tc>
        <w:tc>
          <w:tcPr>
            <w:tcW w:w="3363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A7331E">
              <w:rPr>
                <w:rFonts w:cs="Calibri"/>
                <w:color w:val="000000"/>
                <w:sz w:val="20"/>
              </w:rPr>
              <w:t>No cumulative data available</w:t>
            </w:r>
            <w:r w:rsidRPr="00A7331E">
              <w:rPr>
                <w:rFonts w:cs="Calibri"/>
                <w:color w:val="000000"/>
                <w:sz w:val="20"/>
                <w:vertAlign w:val="superscript"/>
              </w:rPr>
              <w:t>1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</w:rPr>
            </w:pPr>
            <w:r w:rsidRPr="00F35E95">
              <w:rPr>
                <w:rFonts w:eastAsiaTheme="minorEastAsia" w:cs="Calibri"/>
                <w:b/>
              </w:rPr>
              <w:t>3a. #(%) of investigations with exposure assessments conducted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30 (6 – 141); 92% (76 – 100%)</w:t>
            </w:r>
          </w:p>
        </w:tc>
        <w:tc>
          <w:tcPr>
            <w:tcW w:w="3258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 (3 – 40); 88% (58 – 100%)</w:t>
            </w:r>
          </w:p>
        </w:tc>
        <w:tc>
          <w:tcPr>
            <w:tcW w:w="3363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 (1 – 14); 66% (12 – 100%)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</w:rPr>
            </w:pPr>
            <w:r w:rsidRPr="00F35E95">
              <w:rPr>
                <w:rFonts w:eastAsiaTheme="minorEastAsia" w:cs="Calibri"/>
                <w:b/>
              </w:rPr>
              <w:t>3b. #(%) of investigations where an analytic epidemiologic study was conducted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6 (0 – 17); 29% (0 – 69%)</w:t>
            </w:r>
          </w:p>
        </w:tc>
        <w:tc>
          <w:tcPr>
            <w:tcW w:w="3258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 (1 – 4); 35% (6 – 100%)</w:t>
            </w:r>
          </w:p>
        </w:tc>
        <w:tc>
          <w:tcPr>
            <w:tcW w:w="3363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 (0 – 5); 30% (0 – 100%)</w:t>
            </w:r>
          </w:p>
        </w:tc>
      </w:tr>
      <w:tr w:rsidR="002238E1" w:rsidRPr="00A7331E" w:rsidTr="0026755C">
        <w:trPr>
          <w:trHeight w:val="413"/>
        </w:trPr>
        <w:tc>
          <w:tcPr>
            <w:tcW w:w="5238" w:type="dxa"/>
            <w:vMerge w:val="restart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>Performance Metrics:</w:t>
            </w:r>
          </w:p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(See </w:t>
            </w:r>
            <w:hyperlink r:id="rId12" w:history="1">
              <w:r w:rsidRPr="006821BE">
                <w:rPr>
                  <w:rStyle w:val="Hyperlink"/>
                  <w:rFonts w:eastAsiaTheme="minorEastAsia" w:cs="Calibri"/>
                  <w:b/>
                  <w:bCs/>
                  <w:sz w:val="20"/>
                  <w:szCs w:val="20"/>
                </w:rPr>
                <w:t>http://www.cdc.gov/foodcore/nou-metrics.html</w:t>
              </w:r>
            </w:hyperlink>
            <w:r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for current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language and definitions)</w:t>
            </w:r>
          </w:p>
        </w:tc>
        <w:tc>
          <w:tcPr>
            <w:tcW w:w="3445" w:type="dxa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 w:rsidRPr="009934B6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>Norovirus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Measures</w:t>
            </w:r>
          </w:p>
        </w:tc>
        <w:tc>
          <w:tcPr>
            <w:tcW w:w="3258" w:type="dxa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>Other Etiology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Measures</w:t>
            </w:r>
          </w:p>
        </w:tc>
        <w:tc>
          <w:tcPr>
            <w:tcW w:w="3363" w:type="dxa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>Unknown Etiology</w:t>
            </w:r>
            <w:r w:rsidRPr="005646E4">
              <w:rPr>
                <w:rFonts w:eastAsiaTheme="minorEastAsia" w:cs="Calibri"/>
                <w:b/>
                <w:bCs/>
                <w:color w:val="000000"/>
                <w:sz w:val="20"/>
                <w:szCs w:val="20"/>
              </w:rPr>
              <w:t xml:space="preserve"> Measures</w:t>
            </w:r>
          </w:p>
        </w:tc>
      </w:tr>
      <w:tr w:rsidR="002238E1" w:rsidRPr="00A7331E" w:rsidTr="0026755C">
        <w:trPr>
          <w:trHeight w:val="323"/>
        </w:trPr>
        <w:tc>
          <w:tcPr>
            <w:tcW w:w="5238" w:type="dxa"/>
            <w:vMerge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3445" w:type="dxa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color w:val="000000"/>
                <w:sz w:val="20"/>
                <w:szCs w:val="20"/>
              </w:rPr>
              <w:t>Mean (Range)</w:t>
            </w:r>
          </w:p>
        </w:tc>
        <w:tc>
          <w:tcPr>
            <w:tcW w:w="3258" w:type="dxa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color w:val="000000"/>
                <w:sz w:val="20"/>
                <w:szCs w:val="20"/>
              </w:rPr>
              <w:t>Mean (Range)</w:t>
            </w:r>
          </w:p>
        </w:tc>
        <w:tc>
          <w:tcPr>
            <w:tcW w:w="3363" w:type="dxa"/>
            <w:vAlign w:val="center"/>
          </w:tcPr>
          <w:p w:rsidR="002238E1" w:rsidRPr="005646E4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color w:val="000000"/>
                <w:sz w:val="20"/>
                <w:szCs w:val="20"/>
              </w:rPr>
            </w:pPr>
            <w:r w:rsidRPr="005646E4">
              <w:rPr>
                <w:rFonts w:eastAsiaTheme="minorEastAsia" w:cs="Calibri"/>
                <w:b/>
                <w:color w:val="000000"/>
                <w:sz w:val="20"/>
                <w:szCs w:val="20"/>
              </w:rPr>
              <w:t>Mean (Range)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  <w:sz w:val="20"/>
              </w:rPr>
            </w:pPr>
            <w:r w:rsidRPr="00F35E95">
              <w:rPr>
                <w:rFonts w:eastAsiaTheme="minorEastAsia" w:cs="Calibri"/>
                <w:b/>
              </w:rPr>
              <w:t>4. # (%) of investigations with suspect vehicle/source identified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18 (0 – 108); 31% (0 – 58%)</w:t>
            </w:r>
          </w:p>
        </w:tc>
        <w:tc>
          <w:tcPr>
            <w:tcW w:w="3258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 (0 – 22); 40% (0 – 75%)</w:t>
            </w:r>
          </w:p>
        </w:tc>
        <w:tc>
          <w:tcPr>
            <w:tcW w:w="3363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 (0 – 18); 29% (0 – 58%)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</w:rPr>
            </w:pPr>
            <w:r w:rsidRPr="00F35E95">
              <w:rPr>
                <w:rFonts w:eastAsiaTheme="minorEastAsia" w:cs="Calibri"/>
                <w:b/>
              </w:rPr>
              <w:t>5. # (%) of investigations with confirmed vehicle/source identified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6 (0 – 27); 14% (0 – 39%)</w:t>
            </w:r>
          </w:p>
        </w:tc>
        <w:tc>
          <w:tcPr>
            <w:tcW w:w="3258" w:type="dxa"/>
            <w:vAlign w:val="center"/>
          </w:tcPr>
          <w:p w:rsidR="002238E1" w:rsidRPr="00407052" w:rsidRDefault="002238E1" w:rsidP="0026755C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 (2 – 21); 39% (13 – 75%)</w:t>
            </w:r>
          </w:p>
        </w:tc>
        <w:tc>
          <w:tcPr>
            <w:tcW w:w="3363" w:type="dxa"/>
            <w:tcBorders>
              <w:bottom w:val="single" w:sz="4" w:space="0" w:color="auto"/>
            </w:tcBorders>
            <w:vAlign w:val="center"/>
          </w:tcPr>
          <w:p w:rsidR="002238E1" w:rsidRPr="00407052" w:rsidRDefault="002238E1" w:rsidP="0026755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0.3 (0 – 1); 9% (0 – 33%)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1C5680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/>
              </w:rPr>
              <w:t>6</w:t>
            </w:r>
            <w:r w:rsidRPr="001C5680">
              <w:rPr>
                <w:rFonts w:ascii="Calibri" w:eastAsiaTheme="minorEastAsia" w:hAnsi="Calibri" w:cs="Calibri"/>
              </w:rPr>
              <w:t xml:space="preserve">. </w:t>
            </w:r>
            <w:r>
              <w:rPr>
                <w:rFonts w:ascii="Calibri" w:eastAsiaTheme="minorEastAsia" w:hAnsi="Calibri" w:cs="Calibri"/>
              </w:rPr>
              <w:t>Number; Percent of clusters with identified vehicle/source with: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6 (2 – 13); 36% (25 – 46%)</w:t>
            </w:r>
          </w:p>
        </w:tc>
        <w:tc>
          <w:tcPr>
            <w:tcW w:w="3258" w:type="dxa"/>
            <w:vAlign w:val="center"/>
          </w:tcPr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0.5 (0 – 2); 8% (0 – 33%)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0.3 (0 – 1); 5% (0 – 16%)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/>
              </w:rPr>
              <w:t>a. E</w:t>
            </w:r>
            <w:r w:rsidRPr="001C5680">
              <w:rPr>
                <w:rFonts w:ascii="Calibri" w:eastAsiaTheme="minorEastAsia" w:hAnsi="Calibri" w:cs="Calibri"/>
              </w:rPr>
              <w:t>xclusion of ill person</w:t>
            </w:r>
            <w:r>
              <w:rPr>
                <w:rFonts w:ascii="Calibri" w:eastAsiaTheme="minorEastAsia" w:hAnsi="Calibri" w:cs="Calibri"/>
              </w:rPr>
              <w:t>(s)</w:t>
            </w:r>
          </w:p>
        </w:tc>
        <w:tc>
          <w:tcPr>
            <w:tcW w:w="3445" w:type="dxa"/>
            <w:vAlign w:val="center"/>
          </w:tcPr>
          <w:p w:rsidR="002238E1" w:rsidRPr="00A7331E" w:rsidRDefault="002238E1" w:rsidP="0026755C">
            <w:pPr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0.7 (0 – 2); 2% (0 – 7%)</w:t>
            </w:r>
          </w:p>
        </w:tc>
        <w:tc>
          <w:tcPr>
            <w:tcW w:w="3258" w:type="dxa"/>
            <w:vAlign w:val="center"/>
          </w:tcPr>
          <w:p w:rsidR="002238E1" w:rsidRPr="00A261F2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0 (0 – 0); 0% (0 – 0%)</w:t>
            </w:r>
          </w:p>
        </w:tc>
        <w:tc>
          <w:tcPr>
            <w:tcW w:w="3363" w:type="dxa"/>
            <w:vAlign w:val="center"/>
          </w:tcPr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0.3 (0 – 1); 11% (0 – 33%)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1C5680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alibri" w:eastAsiaTheme="minorEastAsia" w:hAnsi="Calibri" w:cs="Calibri"/>
              </w:rPr>
            </w:pPr>
            <w:r w:rsidRPr="001C5680">
              <w:rPr>
                <w:rFonts w:ascii="Calibri" w:eastAsiaTheme="minorEastAsia" w:hAnsi="Calibri" w:cs="Calibri"/>
              </w:rPr>
              <w:t xml:space="preserve">b. </w:t>
            </w:r>
            <w:r>
              <w:rPr>
                <w:rFonts w:ascii="Calibri" w:eastAsiaTheme="minorEastAsia" w:hAnsi="Calibri" w:cs="Calibri"/>
              </w:rPr>
              <w:t>R</w:t>
            </w:r>
            <w:r w:rsidRPr="001C5680">
              <w:rPr>
                <w:rFonts w:ascii="Calibri" w:eastAsiaTheme="minorEastAsia" w:hAnsi="Calibri" w:cs="Calibri"/>
              </w:rPr>
              <w:t>emediation or closure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vAlign w:val="center"/>
          </w:tcPr>
          <w:p w:rsidR="002238E1" w:rsidRPr="00A7331E" w:rsidRDefault="002238E1" w:rsidP="0026755C">
            <w:pPr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7 (5 – 9); 56% (32 – 75%)</w:t>
            </w:r>
          </w:p>
        </w:tc>
        <w:tc>
          <w:tcPr>
            <w:tcW w:w="3258" w:type="dxa"/>
            <w:tcBorders>
              <w:bottom w:val="single" w:sz="4" w:space="0" w:color="auto"/>
            </w:tcBorders>
            <w:vAlign w:val="center"/>
          </w:tcPr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2 (0 – 3); 33% (0 – 75%)</w:t>
            </w:r>
          </w:p>
        </w:tc>
        <w:tc>
          <w:tcPr>
            <w:tcW w:w="3363" w:type="dxa"/>
            <w:tcBorders>
              <w:bottom w:val="single" w:sz="4" w:space="0" w:color="auto"/>
            </w:tcBorders>
            <w:vAlign w:val="center"/>
          </w:tcPr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0.3 (0 – 1); 11% (0 – 33%)</w:t>
            </w:r>
          </w:p>
        </w:tc>
      </w:tr>
      <w:tr w:rsidR="002238E1" w:rsidRPr="00A7331E" w:rsidTr="0026755C">
        <w:trPr>
          <w:trHeight w:hRule="exact" w:val="353"/>
        </w:trPr>
        <w:tc>
          <w:tcPr>
            <w:tcW w:w="5238" w:type="dxa"/>
            <w:vAlign w:val="center"/>
          </w:tcPr>
          <w:p w:rsidR="002238E1" w:rsidRPr="001C5680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/>
              </w:rPr>
              <w:t>c. E</w:t>
            </w:r>
            <w:r w:rsidRPr="001C5680">
              <w:rPr>
                <w:rFonts w:ascii="Calibri" w:eastAsiaTheme="minorEastAsia" w:hAnsi="Calibri" w:cs="Calibri"/>
              </w:rPr>
              <w:t>ducational campaign</w:t>
            </w:r>
          </w:p>
        </w:tc>
        <w:tc>
          <w:tcPr>
            <w:tcW w:w="3445" w:type="dxa"/>
            <w:vAlign w:val="center"/>
          </w:tcPr>
          <w:p w:rsidR="002238E1" w:rsidRDefault="002238E1" w:rsidP="0026755C">
            <w:pPr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2 (0 -3); 15% (0 – 38%)</w:t>
            </w:r>
          </w:p>
          <w:p w:rsidR="002238E1" w:rsidRPr="00A7331E" w:rsidRDefault="002238E1" w:rsidP="0026755C">
            <w:pPr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Sum = 5</w:t>
            </w:r>
          </w:p>
        </w:tc>
        <w:tc>
          <w:tcPr>
            <w:tcW w:w="3258" w:type="dxa"/>
            <w:vAlign w:val="center"/>
          </w:tcPr>
          <w:p w:rsidR="002238E1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0 (0 – 0); 0% (0 – 0%)</w:t>
            </w:r>
          </w:p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</w:rPr>
              <w:t>Sum = 0</w:t>
            </w:r>
          </w:p>
        </w:tc>
        <w:tc>
          <w:tcPr>
            <w:tcW w:w="3363" w:type="dxa"/>
            <w:vAlign w:val="center"/>
          </w:tcPr>
          <w:p w:rsidR="002238E1" w:rsidRDefault="002238E1" w:rsidP="0026755C">
            <w:pPr>
              <w:jc w:val="center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 w:val="20"/>
              </w:rPr>
              <w:t>0 (0 – 0); 0% (0 – 0%)</w:t>
            </w:r>
          </w:p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</w:rPr>
              <w:t>Sum = 0</w:t>
            </w:r>
          </w:p>
        </w:tc>
      </w:tr>
      <w:tr w:rsidR="002238E1" w:rsidRPr="00A7331E" w:rsidTr="0026755C">
        <w:trPr>
          <w:trHeight w:hRule="exact" w:val="360"/>
        </w:trPr>
        <w:tc>
          <w:tcPr>
            <w:tcW w:w="5238" w:type="dxa"/>
            <w:vAlign w:val="center"/>
          </w:tcPr>
          <w:p w:rsidR="002238E1" w:rsidRPr="001C5680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alibri" w:eastAsiaTheme="minorEastAsia" w:hAnsi="Calibri" w:cs="Calibri"/>
              </w:rPr>
            </w:pPr>
            <w:r>
              <w:rPr>
                <w:rFonts w:ascii="Calibri" w:eastAsiaTheme="minorEastAsia" w:hAnsi="Calibri" w:cs="Calibri"/>
              </w:rPr>
              <w:t>d. M</w:t>
            </w:r>
            <w:r w:rsidRPr="001C5680">
              <w:rPr>
                <w:rFonts w:ascii="Calibri" w:eastAsiaTheme="minorEastAsia" w:hAnsi="Calibri" w:cs="Calibri"/>
              </w:rPr>
              <w:t>edia/public messaging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8E1" w:rsidRDefault="002238E1" w:rsidP="0026755C">
            <w:pPr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0.3 (0 – 1); 1% (0 – 4%)</w:t>
            </w:r>
          </w:p>
          <w:p w:rsidR="002238E1" w:rsidRPr="00A7331E" w:rsidRDefault="002238E1" w:rsidP="0026755C">
            <w:pPr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Sum = 1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8E1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0.3 (0 – 1); 2% (0 – 7%)</w:t>
            </w:r>
          </w:p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Sum = 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8E1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0.3 (0 – 1); 5% (0 – 16%)</w:t>
            </w:r>
          </w:p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Sum = 1</w:t>
            </w:r>
          </w:p>
        </w:tc>
      </w:tr>
      <w:tr w:rsidR="002238E1" w:rsidRPr="00A7331E" w:rsidTr="0026755C">
        <w:trPr>
          <w:trHeight w:hRule="exact" w:val="360"/>
        </w:trPr>
        <w:tc>
          <w:tcPr>
            <w:tcW w:w="5238" w:type="dxa"/>
            <w:vAlign w:val="center"/>
          </w:tcPr>
          <w:p w:rsidR="002238E1" w:rsidRPr="001C5680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eastAsiaTheme="minorEastAsia" w:cstheme="minorHAnsi"/>
                <w:sz w:val="20"/>
              </w:rPr>
            </w:pPr>
            <w:r w:rsidRPr="001C5680">
              <w:rPr>
                <w:rFonts w:ascii="Calibri" w:eastAsiaTheme="minorEastAsia" w:hAnsi="Calibri" w:cs="Calibri"/>
              </w:rPr>
              <w:t xml:space="preserve">e. </w:t>
            </w:r>
            <w:r>
              <w:rPr>
                <w:rFonts w:ascii="Calibri" w:eastAsiaTheme="minorEastAsia" w:hAnsi="Calibri" w:cs="Calibri"/>
              </w:rPr>
              <w:t>R</w:t>
            </w:r>
            <w:r w:rsidRPr="001C5680">
              <w:rPr>
                <w:rFonts w:ascii="Calibri" w:eastAsiaTheme="minorEastAsia" w:hAnsi="Calibri" w:cs="Calibri"/>
              </w:rPr>
              <w:t>egulatory action (recall, hold)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8E1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12 (5 – 30); 86% (62 – 100)</w:t>
            </w:r>
          </w:p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Sum = 86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8E1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5 (2 – 13); 65% (25 – 100%)</w:t>
            </w:r>
          </w:p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Sum = 31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8E1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4 (1 – 11); 82% (12 – 100%)</w:t>
            </w:r>
          </w:p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Sum = 29</w:t>
            </w:r>
          </w:p>
        </w:tc>
      </w:tr>
      <w:tr w:rsidR="002238E1" w:rsidRPr="00A7331E" w:rsidTr="0026755C">
        <w:trPr>
          <w:trHeight w:hRule="exact" w:val="360"/>
        </w:trPr>
        <w:tc>
          <w:tcPr>
            <w:tcW w:w="5238" w:type="dxa"/>
            <w:tcBorders>
              <w:bottom w:val="single" w:sz="4" w:space="0" w:color="auto"/>
            </w:tcBorders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</w:rPr>
            </w:pPr>
            <w:r w:rsidRPr="00D4374A">
              <w:rPr>
                <w:rFonts w:eastAsiaTheme="minorEastAsia" w:cs="Calibri"/>
                <w:b/>
              </w:rPr>
              <w:t xml:space="preserve">7. #(%) of investigations with link to a </w:t>
            </w:r>
            <w:r>
              <w:rPr>
                <w:rFonts w:eastAsiaTheme="minorEastAsia" w:cs="Calibri"/>
                <w:b/>
              </w:rPr>
              <w:t>common location</w:t>
            </w:r>
            <w:r w:rsidRPr="00D4374A">
              <w:rPr>
                <w:rFonts w:eastAsiaTheme="minorEastAsia" w:cs="Calibri"/>
                <w:b/>
              </w:rPr>
              <w:t xml:space="preserve"> where an on-site environmental health assessment was conducted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8E1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3 (0 – 14); 5% (0 – 23%)</w:t>
            </w:r>
          </w:p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Sum = 19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8E1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3 (0 – 10); 28% (0 – 75%)</w:t>
            </w:r>
          </w:p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Sum = 20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8E1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2 (0 – 7); 14% (0 – 33%)</w:t>
            </w:r>
          </w:p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Sum = 12</w:t>
            </w:r>
          </w:p>
        </w:tc>
      </w:tr>
      <w:tr w:rsidR="002238E1" w:rsidRPr="00A7331E" w:rsidTr="0026755C">
        <w:trPr>
          <w:trHeight w:hRule="exact" w:val="360"/>
        </w:trPr>
        <w:tc>
          <w:tcPr>
            <w:tcW w:w="5238" w:type="dxa"/>
            <w:tcBorders>
              <w:bottom w:val="single" w:sz="4" w:space="0" w:color="auto"/>
            </w:tcBorders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</w:rPr>
            </w:pPr>
            <w:r w:rsidRPr="00D4374A">
              <w:rPr>
                <w:rFonts w:eastAsiaTheme="minorEastAsia" w:cs="Calibri"/>
                <w:b/>
              </w:rPr>
              <w:t xml:space="preserve">8. # (%) of investigations where food or environmental sample collected for testing  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8E1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16 (0 – 59); 67% (0 – 100%)</w:t>
            </w:r>
          </w:p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Sum = 115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8E1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8 (0 – 28); 53% (0 – 100%)</w:t>
            </w:r>
          </w:p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Sum = 49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38E1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6 (0 – 14); 63% (0 – 100%)</w:t>
            </w:r>
          </w:p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Sum = 39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A7331E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sz w:val="20"/>
              </w:rPr>
            </w:pPr>
            <w:r w:rsidRPr="002144E9">
              <w:rPr>
                <w:rFonts w:eastAsiaTheme="minorEastAsia" w:cs="Calibri"/>
              </w:rPr>
              <w:t xml:space="preserve">9. #(%) of investigations </w:t>
            </w:r>
            <w:r w:rsidRPr="00D4374A">
              <w:rPr>
                <w:rFonts w:eastAsiaTheme="minorEastAsia" w:cs="Calibri"/>
              </w:rPr>
              <w:t>where environmental health, agriculture, regulatory, or food safety program staff were contacted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238E1" w:rsidRPr="00A261F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37</w:t>
            </w:r>
            <w:r w:rsidRPr="00407052">
              <w:rPr>
                <w:rFonts w:eastAsiaTheme="minorEastAsia" w:cs="Calibri"/>
                <w:color w:val="000000"/>
                <w:sz w:val="20"/>
              </w:rPr>
              <w:t xml:space="preserve"> (6 – 183); 96% (77 – 100%)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16 (2 – 64); 73% (13 – 100%)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10 (3 – 30); 88% (29 – 100%)</w:t>
            </w:r>
          </w:p>
        </w:tc>
      </w:tr>
      <w:tr w:rsidR="002238E1" w:rsidRPr="00A7331E" w:rsidTr="0026755C">
        <w:tc>
          <w:tcPr>
            <w:tcW w:w="5238" w:type="dxa"/>
            <w:vAlign w:val="center"/>
          </w:tcPr>
          <w:p w:rsidR="002238E1" w:rsidRPr="00F34EE1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b/>
              </w:rPr>
            </w:pPr>
            <w:r w:rsidRPr="00F34EE1">
              <w:rPr>
                <w:rFonts w:eastAsiaTheme="minorEastAsia" w:cs="Calibri"/>
                <w:b/>
              </w:rPr>
              <w:t>10. #(%) of outbreaks with NORS form completed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vAlign w:val="center"/>
          </w:tcPr>
          <w:p w:rsidR="002238E1" w:rsidRPr="00A7331E" w:rsidRDefault="002238E1" w:rsidP="0026755C">
            <w:pPr>
              <w:jc w:val="center"/>
              <w:rPr>
                <w:rFonts w:eastAsiaTheme="minorEastAsia" w:cs="Calibri"/>
                <w:color w:val="000000"/>
                <w:sz w:val="20"/>
              </w:rPr>
            </w:pPr>
            <w:r>
              <w:rPr>
                <w:rFonts w:eastAsiaTheme="minorEastAsia" w:cs="Calibri"/>
                <w:color w:val="000000"/>
                <w:sz w:val="20"/>
              </w:rPr>
              <w:t>6 (2 – 13); 36% (25 – 46%)</w:t>
            </w:r>
          </w:p>
        </w:tc>
        <w:tc>
          <w:tcPr>
            <w:tcW w:w="3258" w:type="dxa"/>
            <w:tcBorders>
              <w:top w:val="single" w:sz="4" w:space="0" w:color="auto"/>
            </w:tcBorders>
            <w:vAlign w:val="center"/>
          </w:tcPr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eastAsiaTheme="minorEastAsia" w:cs="Calibri"/>
                <w:color w:val="000000"/>
                <w:sz w:val="20"/>
                <w:szCs w:val="20"/>
              </w:rPr>
            </w:pPr>
            <w:r>
              <w:rPr>
                <w:rFonts w:eastAsiaTheme="minorEastAsia" w:cs="Calibri"/>
                <w:color w:val="000000"/>
                <w:sz w:val="20"/>
                <w:szCs w:val="20"/>
              </w:rPr>
              <w:t>0.5 (0 – 2); 8% (0 – 33%)</w:t>
            </w:r>
          </w:p>
        </w:tc>
        <w:tc>
          <w:tcPr>
            <w:tcW w:w="3363" w:type="dxa"/>
            <w:tcBorders>
              <w:top w:val="single" w:sz="4" w:space="0" w:color="auto"/>
            </w:tcBorders>
            <w:vAlign w:val="center"/>
          </w:tcPr>
          <w:p w:rsidR="002238E1" w:rsidRPr="00407052" w:rsidRDefault="002238E1" w:rsidP="0026755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before="31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0.3 (0 – 1); 5% (0 – 16%)</w:t>
            </w:r>
          </w:p>
        </w:tc>
      </w:tr>
    </w:tbl>
    <w:p w:rsidR="002238E1" w:rsidRPr="00E001DA" w:rsidRDefault="002238E1" w:rsidP="002238E1">
      <w:pPr>
        <w:rPr>
          <w:rFonts w:cstheme="minorHAnsi"/>
          <w:sz w:val="20"/>
        </w:rPr>
      </w:pPr>
      <w:r w:rsidRPr="000C2077">
        <w:rPr>
          <w:rFonts w:cstheme="minorHAnsi"/>
          <w:sz w:val="20"/>
          <w:vertAlign w:val="superscript"/>
        </w:rPr>
        <w:lastRenderedPageBreak/>
        <w:t>1</w:t>
      </w:r>
      <w:r w:rsidRPr="000C2077">
        <w:rPr>
          <w:rFonts w:cstheme="minorHAnsi"/>
          <w:sz w:val="20"/>
        </w:rPr>
        <w:t>Cumulative data for this metric were not reported from 3 or more centers</w:t>
      </w:r>
      <w:r>
        <w:rPr>
          <w:rFonts w:cstheme="minorHAnsi"/>
          <w:sz w:val="20"/>
        </w:rPr>
        <w:fldChar w:fldCharType="begin"/>
      </w:r>
      <w:r>
        <w:rPr>
          <w:rFonts w:cstheme="minorHAnsi"/>
          <w:sz w:val="20"/>
        </w:rPr>
        <w:instrText xml:space="preserve"> ADDIN </w:instrText>
      </w:r>
      <w:r>
        <w:rPr>
          <w:rFonts w:cstheme="minorHAnsi"/>
          <w:sz w:val="20"/>
        </w:rPr>
        <w:fldChar w:fldCharType="end"/>
      </w:r>
    </w:p>
    <w:p w:rsidR="00E001DA" w:rsidRPr="00E001DA" w:rsidRDefault="00A53695" w:rsidP="002238E1">
      <w:pPr>
        <w:rPr>
          <w:rFonts w:cstheme="minorHAnsi"/>
          <w:sz w:val="20"/>
        </w:rPr>
      </w:pPr>
      <w:r>
        <w:rPr>
          <w:rFonts w:cstheme="minorHAnsi"/>
          <w:sz w:val="20"/>
        </w:rPr>
        <w:fldChar w:fldCharType="begin"/>
      </w:r>
      <w:r>
        <w:rPr>
          <w:rFonts w:cstheme="minorHAnsi"/>
          <w:sz w:val="20"/>
        </w:rPr>
        <w:instrText xml:space="preserve"> ADDIN </w:instrText>
      </w:r>
      <w:r>
        <w:rPr>
          <w:rFonts w:cstheme="minorHAnsi"/>
          <w:sz w:val="20"/>
        </w:rPr>
        <w:fldChar w:fldCharType="end"/>
      </w:r>
    </w:p>
    <w:sectPr w:rsidR="00E001DA" w:rsidRPr="00E001DA" w:rsidSect="00E001DA">
      <w:footerReference w:type="default" r:id="rId13"/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054" w:rsidRDefault="007E5054" w:rsidP="00612DC0">
      <w:pPr>
        <w:spacing w:after="0" w:line="240" w:lineRule="auto"/>
      </w:pPr>
      <w:r>
        <w:separator/>
      </w:r>
    </w:p>
  </w:endnote>
  <w:endnote w:type="continuationSeparator" w:id="0">
    <w:p w:rsidR="007E5054" w:rsidRDefault="007E5054" w:rsidP="00612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47898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5054" w:rsidRDefault="007E50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38E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E5054" w:rsidRDefault="007E5054" w:rsidP="006B633E">
    <w:pPr>
      <w:pStyle w:val="Footer"/>
      <w:tabs>
        <w:tab w:val="clear" w:pos="4680"/>
        <w:tab w:val="clear" w:pos="9360"/>
        <w:tab w:val="left" w:pos="231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054" w:rsidRDefault="007E5054" w:rsidP="00612DC0">
      <w:pPr>
        <w:spacing w:after="0" w:line="240" w:lineRule="auto"/>
      </w:pPr>
      <w:r>
        <w:separator/>
      </w:r>
    </w:p>
  </w:footnote>
  <w:footnote w:type="continuationSeparator" w:id="0">
    <w:p w:rsidR="007E5054" w:rsidRDefault="007E5054" w:rsidP="00612D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C5E73"/>
    <w:multiLevelType w:val="hybridMultilevel"/>
    <w:tmpl w:val="A4700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ublic Health Report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772EE9"/>
    <w:rsid w:val="00005E41"/>
    <w:rsid w:val="000073C0"/>
    <w:rsid w:val="00007502"/>
    <w:rsid w:val="000115AD"/>
    <w:rsid w:val="000136F9"/>
    <w:rsid w:val="000140D7"/>
    <w:rsid w:val="00057835"/>
    <w:rsid w:val="0007145A"/>
    <w:rsid w:val="0007347B"/>
    <w:rsid w:val="000902AD"/>
    <w:rsid w:val="00091064"/>
    <w:rsid w:val="00091563"/>
    <w:rsid w:val="00091946"/>
    <w:rsid w:val="00091A34"/>
    <w:rsid w:val="000934CA"/>
    <w:rsid w:val="0009722F"/>
    <w:rsid w:val="000A50FF"/>
    <w:rsid w:val="000A6F59"/>
    <w:rsid w:val="000B34C1"/>
    <w:rsid w:val="000B680E"/>
    <w:rsid w:val="000C6764"/>
    <w:rsid w:val="000E3204"/>
    <w:rsid w:val="000E41FB"/>
    <w:rsid w:val="000E5D6A"/>
    <w:rsid w:val="000F0CF7"/>
    <w:rsid w:val="000F2BAE"/>
    <w:rsid w:val="001006A9"/>
    <w:rsid w:val="001028BF"/>
    <w:rsid w:val="00107BB0"/>
    <w:rsid w:val="00116410"/>
    <w:rsid w:val="00140C62"/>
    <w:rsid w:val="00143432"/>
    <w:rsid w:val="00147F30"/>
    <w:rsid w:val="001772DD"/>
    <w:rsid w:val="00177512"/>
    <w:rsid w:val="001B2E9D"/>
    <w:rsid w:val="001B5E13"/>
    <w:rsid w:val="001C5EF3"/>
    <w:rsid w:val="001D45B5"/>
    <w:rsid w:val="001D5F7A"/>
    <w:rsid w:val="001F1A8A"/>
    <w:rsid w:val="001F2CBE"/>
    <w:rsid w:val="001F54C1"/>
    <w:rsid w:val="001F61AA"/>
    <w:rsid w:val="0020798B"/>
    <w:rsid w:val="00221342"/>
    <w:rsid w:val="002236C4"/>
    <w:rsid w:val="002238E1"/>
    <w:rsid w:val="0022622E"/>
    <w:rsid w:val="00262585"/>
    <w:rsid w:val="00263B2C"/>
    <w:rsid w:val="00280D3A"/>
    <w:rsid w:val="00286D5E"/>
    <w:rsid w:val="00297131"/>
    <w:rsid w:val="00297F66"/>
    <w:rsid w:val="002A21D8"/>
    <w:rsid w:val="002A53EF"/>
    <w:rsid w:val="002A62D2"/>
    <w:rsid w:val="002C36D0"/>
    <w:rsid w:val="002D2BC6"/>
    <w:rsid w:val="002D4DC1"/>
    <w:rsid w:val="002E2A3D"/>
    <w:rsid w:val="002E633D"/>
    <w:rsid w:val="002F0BB7"/>
    <w:rsid w:val="002F3394"/>
    <w:rsid w:val="00304D50"/>
    <w:rsid w:val="00311E30"/>
    <w:rsid w:val="00327405"/>
    <w:rsid w:val="0033316B"/>
    <w:rsid w:val="00342F55"/>
    <w:rsid w:val="003448E7"/>
    <w:rsid w:val="00347737"/>
    <w:rsid w:val="003507F6"/>
    <w:rsid w:val="00361EE9"/>
    <w:rsid w:val="0036735A"/>
    <w:rsid w:val="00396817"/>
    <w:rsid w:val="003A1A5F"/>
    <w:rsid w:val="003A26AB"/>
    <w:rsid w:val="003A5C66"/>
    <w:rsid w:val="003A64FA"/>
    <w:rsid w:val="003B271C"/>
    <w:rsid w:val="003B49F6"/>
    <w:rsid w:val="003B5DB3"/>
    <w:rsid w:val="003C2D9F"/>
    <w:rsid w:val="003D71FD"/>
    <w:rsid w:val="003E4C68"/>
    <w:rsid w:val="003F1EF0"/>
    <w:rsid w:val="003F456E"/>
    <w:rsid w:val="004061D3"/>
    <w:rsid w:val="00407A91"/>
    <w:rsid w:val="00422D1B"/>
    <w:rsid w:val="004233B8"/>
    <w:rsid w:val="004365AD"/>
    <w:rsid w:val="00451BEE"/>
    <w:rsid w:val="004646F6"/>
    <w:rsid w:val="00473CE0"/>
    <w:rsid w:val="0048129F"/>
    <w:rsid w:val="004B0F81"/>
    <w:rsid w:val="004B6533"/>
    <w:rsid w:val="004C072E"/>
    <w:rsid w:val="004C4105"/>
    <w:rsid w:val="004E4489"/>
    <w:rsid w:val="004E72DA"/>
    <w:rsid w:val="004E761B"/>
    <w:rsid w:val="004F340A"/>
    <w:rsid w:val="004F7584"/>
    <w:rsid w:val="00503811"/>
    <w:rsid w:val="00505A1A"/>
    <w:rsid w:val="0051102D"/>
    <w:rsid w:val="00511513"/>
    <w:rsid w:val="0052073F"/>
    <w:rsid w:val="00521939"/>
    <w:rsid w:val="00524AD5"/>
    <w:rsid w:val="005251D7"/>
    <w:rsid w:val="005368A5"/>
    <w:rsid w:val="00546BF4"/>
    <w:rsid w:val="0055074E"/>
    <w:rsid w:val="00562328"/>
    <w:rsid w:val="00566092"/>
    <w:rsid w:val="00566F21"/>
    <w:rsid w:val="0057582C"/>
    <w:rsid w:val="00575C3D"/>
    <w:rsid w:val="0058182E"/>
    <w:rsid w:val="005835E5"/>
    <w:rsid w:val="00594FE7"/>
    <w:rsid w:val="005952DA"/>
    <w:rsid w:val="005B3D16"/>
    <w:rsid w:val="005C2C4D"/>
    <w:rsid w:val="005D291F"/>
    <w:rsid w:val="005D33F1"/>
    <w:rsid w:val="005D3F7F"/>
    <w:rsid w:val="005E3DB4"/>
    <w:rsid w:val="005F2FB5"/>
    <w:rsid w:val="005F3B8C"/>
    <w:rsid w:val="005F445D"/>
    <w:rsid w:val="00604C47"/>
    <w:rsid w:val="00612DC0"/>
    <w:rsid w:val="00621529"/>
    <w:rsid w:val="0062197A"/>
    <w:rsid w:val="00623B9D"/>
    <w:rsid w:val="00630BBA"/>
    <w:rsid w:val="00632790"/>
    <w:rsid w:val="0064266C"/>
    <w:rsid w:val="006441A4"/>
    <w:rsid w:val="00656853"/>
    <w:rsid w:val="006648FD"/>
    <w:rsid w:val="006743E9"/>
    <w:rsid w:val="0067559E"/>
    <w:rsid w:val="00675609"/>
    <w:rsid w:val="006874BE"/>
    <w:rsid w:val="006879A8"/>
    <w:rsid w:val="00690BD4"/>
    <w:rsid w:val="0069106F"/>
    <w:rsid w:val="00692B69"/>
    <w:rsid w:val="00693076"/>
    <w:rsid w:val="0069328A"/>
    <w:rsid w:val="006962C2"/>
    <w:rsid w:val="006A10C4"/>
    <w:rsid w:val="006B0B6F"/>
    <w:rsid w:val="006B633E"/>
    <w:rsid w:val="006C38B3"/>
    <w:rsid w:val="006D07CD"/>
    <w:rsid w:val="006D1CB1"/>
    <w:rsid w:val="006E42C7"/>
    <w:rsid w:val="006F111D"/>
    <w:rsid w:val="00702F3E"/>
    <w:rsid w:val="0070658C"/>
    <w:rsid w:val="00707BBB"/>
    <w:rsid w:val="00710877"/>
    <w:rsid w:val="00712BBF"/>
    <w:rsid w:val="0072452F"/>
    <w:rsid w:val="00733543"/>
    <w:rsid w:val="00734FC5"/>
    <w:rsid w:val="007357F8"/>
    <w:rsid w:val="00737985"/>
    <w:rsid w:val="00742B76"/>
    <w:rsid w:val="00752908"/>
    <w:rsid w:val="007614B2"/>
    <w:rsid w:val="00766050"/>
    <w:rsid w:val="00770FDC"/>
    <w:rsid w:val="00772EE9"/>
    <w:rsid w:val="0077336B"/>
    <w:rsid w:val="00781EEB"/>
    <w:rsid w:val="0078399E"/>
    <w:rsid w:val="00791621"/>
    <w:rsid w:val="007931CC"/>
    <w:rsid w:val="00797421"/>
    <w:rsid w:val="007A1617"/>
    <w:rsid w:val="007A1682"/>
    <w:rsid w:val="007B62D1"/>
    <w:rsid w:val="007B6D91"/>
    <w:rsid w:val="007D524C"/>
    <w:rsid w:val="007E0156"/>
    <w:rsid w:val="007E5054"/>
    <w:rsid w:val="007E5223"/>
    <w:rsid w:val="007E655F"/>
    <w:rsid w:val="007F0897"/>
    <w:rsid w:val="007F3BAC"/>
    <w:rsid w:val="007F77B9"/>
    <w:rsid w:val="00812ACB"/>
    <w:rsid w:val="00815DD6"/>
    <w:rsid w:val="00816520"/>
    <w:rsid w:val="00831B3E"/>
    <w:rsid w:val="0083500B"/>
    <w:rsid w:val="00837C0A"/>
    <w:rsid w:val="00841E03"/>
    <w:rsid w:val="00856691"/>
    <w:rsid w:val="00866030"/>
    <w:rsid w:val="008762F6"/>
    <w:rsid w:val="0088289B"/>
    <w:rsid w:val="00891411"/>
    <w:rsid w:val="00895DC5"/>
    <w:rsid w:val="008A001F"/>
    <w:rsid w:val="008A0894"/>
    <w:rsid w:val="008B0578"/>
    <w:rsid w:val="008B22D5"/>
    <w:rsid w:val="008B5FD0"/>
    <w:rsid w:val="008C088C"/>
    <w:rsid w:val="008C4095"/>
    <w:rsid w:val="008C65D3"/>
    <w:rsid w:val="008E0B1D"/>
    <w:rsid w:val="008E2C00"/>
    <w:rsid w:val="008E5700"/>
    <w:rsid w:val="008F0B3D"/>
    <w:rsid w:val="008F1154"/>
    <w:rsid w:val="008F2472"/>
    <w:rsid w:val="0090244D"/>
    <w:rsid w:val="0090360F"/>
    <w:rsid w:val="00904064"/>
    <w:rsid w:val="00915670"/>
    <w:rsid w:val="00916266"/>
    <w:rsid w:val="00925AC4"/>
    <w:rsid w:val="00927397"/>
    <w:rsid w:val="009366A7"/>
    <w:rsid w:val="00951FD0"/>
    <w:rsid w:val="0096149B"/>
    <w:rsid w:val="00963E6A"/>
    <w:rsid w:val="00967E99"/>
    <w:rsid w:val="00974794"/>
    <w:rsid w:val="00983653"/>
    <w:rsid w:val="00991B9E"/>
    <w:rsid w:val="00993CD5"/>
    <w:rsid w:val="009A6218"/>
    <w:rsid w:val="009B288E"/>
    <w:rsid w:val="009B708B"/>
    <w:rsid w:val="009B79E6"/>
    <w:rsid w:val="009B7B5E"/>
    <w:rsid w:val="009C37F8"/>
    <w:rsid w:val="009C60BE"/>
    <w:rsid w:val="009D3C32"/>
    <w:rsid w:val="009D42CD"/>
    <w:rsid w:val="009D7A91"/>
    <w:rsid w:val="009E1C64"/>
    <w:rsid w:val="009F0907"/>
    <w:rsid w:val="009F1E30"/>
    <w:rsid w:val="00A02106"/>
    <w:rsid w:val="00A14805"/>
    <w:rsid w:val="00A21553"/>
    <w:rsid w:val="00A2200C"/>
    <w:rsid w:val="00A343D1"/>
    <w:rsid w:val="00A46294"/>
    <w:rsid w:val="00A50BE5"/>
    <w:rsid w:val="00A51F35"/>
    <w:rsid w:val="00A53695"/>
    <w:rsid w:val="00A5586A"/>
    <w:rsid w:val="00A5699E"/>
    <w:rsid w:val="00A56DFC"/>
    <w:rsid w:val="00A6429F"/>
    <w:rsid w:val="00A70B9C"/>
    <w:rsid w:val="00A812AE"/>
    <w:rsid w:val="00AA1A36"/>
    <w:rsid w:val="00AB339E"/>
    <w:rsid w:val="00AB5C84"/>
    <w:rsid w:val="00AD58AA"/>
    <w:rsid w:val="00AE59CB"/>
    <w:rsid w:val="00AE6299"/>
    <w:rsid w:val="00B02C2F"/>
    <w:rsid w:val="00B03CE8"/>
    <w:rsid w:val="00B050FD"/>
    <w:rsid w:val="00B06134"/>
    <w:rsid w:val="00B23BE4"/>
    <w:rsid w:val="00B358F7"/>
    <w:rsid w:val="00B37FF7"/>
    <w:rsid w:val="00B42A4B"/>
    <w:rsid w:val="00B509E0"/>
    <w:rsid w:val="00B54ACC"/>
    <w:rsid w:val="00B6054C"/>
    <w:rsid w:val="00B621E8"/>
    <w:rsid w:val="00B62DBB"/>
    <w:rsid w:val="00B6595B"/>
    <w:rsid w:val="00B660D6"/>
    <w:rsid w:val="00B71176"/>
    <w:rsid w:val="00B72BFF"/>
    <w:rsid w:val="00B72D42"/>
    <w:rsid w:val="00B8279B"/>
    <w:rsid w:val="00B9391F"/>
    <w:rsid w:val="00BB60B6"/>
    <w:rsid w:val="00BB73A3"/>
    <w:rsid w:val="00BB75CD"/>
    <w:rsid w:val="00BB768B"/>
    <w:rsid w:val="00BC70A6"/>
    <w:rsid w:val="00BD12C8"/>
    <w:rsid w:val="00BD28B2"/>
    <w:rsid w:val="00BD415B"/>
    <w:rsid w:val="00BD50EC"/>
    <w:rsid w:val="00BE5F8A"/>
    <w:rsid w:val="00BF1B2C"/>
    <w:rsid w:val="00BF402D"/>
    <w:rsid w:val="00C027C9"/>
    <w:rsid w:val="00C0498F"/>
    <w:rsid w:val="00C062FF"/>
    <w:rsid w:val="00C07FBD"/>
    <w:rsid w:val="00C24FB8"/>
    <w:rsid w:val="00C34C12"/>
    <w:rsid w:val="00C37134"/>
    <w:rsid w:val="00C417B6"/>
    <w:rsid w:val="00C42F9B"/>
    <w:rsid w:val="00C5221D"/>
    <w:rsid w:val="00C52944"/>
    <w:rsid w:val="00C54B10"/>
    <w:rsid w:val="00C651D7"/>
    <w:rsid w:val="00C838F4"/>
    <w:rsid w:val="00C95BDF"/>
    <w:rsid w:val="00CB2755"/>
    <w:rsid w:val="00CB2760"/>
    <w:rsid w:val="00CC62AF"/>
    <w:rsid w:val="00CD1AD1"/>
    <w:rsid w:val="00CD43AD"/>
    <w:rsid w:val="00CD5AE0"/>
    <w:rsid w:val="00CD6476"/>
    <w:rsid w:val="00CD7092"/>
    <w:rsid w:val="00CE23B7"/>
    <w:rsid w:val="00CE517F"/>
    <w:rsid w:val="00CE7A14"/>
    <w:rsid w:val="00CF04E6"/>
    <w:rsid w:val="00CF4432"/>
    <w:rsid w:val="00D04F43"/>
    <w:rsid w:val="00D14BED"/>
    <w:rsid w:val="00D34666"/>
    <w:rsid w:val="00D37C90"/>
    <w:rsid w:val="00D43394"/>
    <w:rsid w:val="00D55811"/>
    <w:rsid w:val="00D57947"/>
    <w:rsid w:val="00D60AD3"/>
    <w:rsid w:val="00D653F9"/>
    <w:rsid w:val="00D72F2B"/>
    <w:rsid w:val="00D7581B"/>
    <w:rsid w:val="00D838A6"/>
    <w:rsid w:val="00D83B07"/>
    <w:rsid w:val="00D84D61"/>
    <w:rsid w:val="00D936E8"/>
    <w:rsid w:val="00D975B5"/>
    <w:rsid w:val="00DA58C5"/>
    <w:rsid w:val="00DC4285"/>
    <w:rsid w:val="00DD0E03"/>
    <w:rsid w:val="00DD1DA0"/>
    <w:rsid w:val="00DE0B39"/>
    <w:rsid w:val="00DF6A51"/>
    <w:rsid w:val="00E001DA"/>
    <w:rsid w:val="00E05D70"/>
    <w:rsid w:val="00E15396"/>
    <w:rsid w:val="00E23892"/>
    <w:rsid w:val="00E33C67"/>
    <w:rsid w:val="00E429DA"/>
    <w:rsid w:val="00E47480"/>
    <w:rsid w:val="00E51FA9"/>
    <w:rsid w:val="00E52885"/>
    <w:rsid w:val="00E606A2"/>
    <w:rsid w:val="00E62294"/>
    <w:rsid w:val="00E67CD8"/>
    <w:rsid w:val="00E76839"/>
    <w:rsid w:val="00E852E3"/>
    <w:rsid w:val="00E876E1"/>
    <w:rsid w:val="00E95575"/>
    <w:rsid w:val="00E966EA"/>
    <w:rsid w:val="00E97D8C"/>
    <w:rsid w:val="00EA024A"/>
    <w:rsid w:val="00EB4CB0"/>
    <w:rsid w:val="00EB6A85"/>
    <w:rsid w:val="00EC1679"/>
    <w:rsid w:val="00EC3A99"/>
    <w:rsid w:val="00EC4D77"/>
    <w:rsid w:val="00ED5AA6"/>
    <w:rsid w:val="00ED77D7"/>
    <w:rsid w:val="00EF3A24"/>
    <w:rsid w:val="00F000F0"/>
    <w:rsid w:val="00F04353"/>
    <w:rsid w:val="00F1655F"/>
    <w:rsid w:val="00F376B0"/>
    <w:rsid w:val="00F87F34"/>
    <w:rsid w:val="00F944BF"/>
    <w:rsid w:val="00F951B0"/>
    <w:rsid w:val="00F95B06"/>
    <w:rsid w:val="00F97979"/>
    <w:rsid w:val="00FA2BBF"/>
    <w:rsid w:val="00FB2112"/>
    <w:rsid w:val="00FB4DBA"/>
    <w:rsid w:val="00FB6BE3"/>
    <w:rsid w:val="00FC6B0B"/>
    <w:rsid w:val="00FC6C92"/>
    <w:rsid w:val="00FD3C75"/>
    <w:rsid w:val="00FD74D7"/>
    <w:rsid w:val="00FE3D98"/>
    <w:rsid w:val="00FE4B83"/>
    <w:rsid w:val="00FF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2EE9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579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9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9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9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9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94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D5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7D524C"/>
    <w:rPr>
      <w:color w:val="0000FF" w:themeColor="hyperlink"/>
      <w:u w:val="single"/>
    </w:rPr>
  </w:style>
  <w:style w:type="paragraph" w:customStyle="1" w:styleId="Default">
    <w:name w:val="Default"/>
    <w:rsid w:val="00770F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A64FA"/>
    <w:pPr>
      <w:spacing w:after="0" w:line="240" w:lineRule="auto"/>
    </w:pPr>
    <w:rPr>
      <w:rFonts w:ascii="Calibri" w:eastAsia="Times New Roman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7145A"/>
    <w:pPr>
      <w:spacing w:after="0" w:line="240" w:lineRule="auto"/>
    </w:pPr>
    <w:rPr>
      <w:rFonts w:ascii="Calibri" w:eastAsia="Times New Roman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2D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DC0"/>
  </w:style>
  <w:style w:type="paragraph" w:styleId="Footer">
    <w:name w:val="footer"/>
    <w:basedOn w:val="Normal"/>
    <w:link w:val="FooterChar"/>
    <w:uiPriority w:val="99"/>
    <w:unhideWhenUsed/>
    <w:rsid w:val="00612D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DC0"/>
  </w:style>
  <w:style w:type="paragraph" w:styleId="ListParagraph">
    <w:name w:val="List Paragraph"/>
    <w:basedOn w:val="Normal"/>
    <w:uiPriority w:val="34"/>
    <w:qFormat/>
    <w:rsid w:val="003D71FD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566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2EE9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579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9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9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9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9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94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D5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7D524C"/>
    <w:rPr>
      <w:color w:val="0000FF" w:themeColor="hyperlink"/>
      <w:u w:val="single"/>
    </w:rPr>
  </w:style>
  <w:style w:type="paragraph" w:customStyle="1" w:styleId="Default">
    <w:name w:val="Default"/>
    <w:rsid w:val="00770F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A64FA"/>
    <w:pPr>
      <w:spacing w:after="0" w:line="240" w:lineRule="auto"/>
    </w:pPr>
    <w:rPr>
      <w:rFonts w:ascii="Calibri" w:eastAsia="Times New Roman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7145A"/>
    <w:pPr>
      <w:spacing w:after="0" w:line="240" w:lineRule="auto"/>
    </w:pPr>
    <w:rPr>
      <w:rFonts w:ascii="Calibri" w:eastAsia="Times New Roman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2D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DC0"/>
  </w:style>
  <w:style w:type="paragraph" w:styleId="Footer">
    <w:name w:val="footer"/>
    <w:basedOn w:val="Normal"/>
    <w:link w:val="FooterChar"/>
    <w:uiPriority w:val="99"/>
    <w:unhideWhenUsed/>
    <w:rsid w:val="00612D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DC0"/>
  </w:style>
  <w:style w:type="paragraph" w:styleId="ListParagraph">
    <w:name w:val="List Paragraph"/>
    <w:basedOn w:val="Normal"/>
    <w:uiPriority w:val="34"/>
    <w:qFormat/>
    <w:rsid w:val="003D71FD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56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545">
      <w:bodyDiv w:val="1"/>
      <w:marLeft w:val="4"/>
      <w:marRight w:val="4"/>
      <w:marTop w:val="4"/>
      <w:marBottom w:val="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8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1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3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9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3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1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4969">
      <w:bodyDiv w:val="1"/>
      <w:marLeft w:val="4"/>
      <w:marRight w:val="4"/>
      <w:marTop w:val="4"/>
      <w:marBottom w:val="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4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602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83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09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64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66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23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2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8364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7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07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9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506296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324">
      <w:bodyDiv w:val="1"/>
      <w:marLeft w:val="4"/>
      <w:marRight w:val="4"/>
      <w:marTop w:val="4"/>
      <w:marBottom w:val="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120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7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34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14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973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34818">
                                          <w:marLeft w:val="0"/>
                                          <w:marRight w:val="0"/>
                                          <w:marTop w:val="18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20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642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4554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438">
      <w:bodyDiv w:val="1"/>
      <w:marLeft w:val="4"/>
      <w:marRight w:val="4"/>
      <w:marTop w:val="4"/>
      <w:marBottom w:val="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1706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9277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9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2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0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614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5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16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16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2293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1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dc.gov/foodcore/nou-metrics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dc.gov/foodcore/nou-metrics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dc.gov/foodcore/ssl-metrics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dc.gov/foodcore/ssl-metric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DD678-F92D-4565-9BED-C318E1DE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1599</Words>
  <Characters>9116</Characters>
  <Application>Microsoft Office Word</Application>
  <DocSecurity>4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10694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 User</dc:creator>
  <cp:lastModifiedBy>CDC User</cp:lastModifiedBy>
  <cp:revision>2</cp:revision>
  <cp:lastPrinted>2013-07-11T13:30:00Z</cp:lastPrinted>
  <dcterms:created xsi:type="dcterms:W3CDTF">2014-06-18T13:28:00Z</dcterms:created>
  <dcterms:modified xsi:type="dcterms:W3CDTF">2014-06-18T13:28:00Z</dcterms:modified>
</cp:coreProperties>
</file>