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7" w:rsidRDefault="00004297" w:rsidP="00004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97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5F48F3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</w:p>
    <w:p w:rsidR="005F48F3" w:rsidRPr="005F48F3" w:rsidRDefault="005F48F3" w:rsidP="005F4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Text S1.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E05">
        <w:rPr>
          <w:rFonts w:ascii="Times New Roman" w:hAnsi="Times New Roman" w:cs="Times New Roman"/>
          <w:b/>
          <w:sz w:val="24"/>
          <w:szCs w:val="24"/>
        </w:rPr>
        <w:t xml:space="preserve">Full description of methods used to characterize CNT particles used in this study.  </w:t>
      </w:r>
    </w:p>
    <w:p w:rsidR="00DC6E6C" w:rsidRDefault="00DC6E6C" w:rsidP="00DC6E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Gross Particle Size Distribution, Dry As-Supplied Form</w:t>
      </w:r>
    </w:p>
    <w:p w:rsidR="00DC6E6C" w:rsidRPr="00DC6E6C" w:rsidRDefault="00DC6E6C" w:rsidP="00DC6E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6C">
        <w:rPr>
          <w:rFonts w:ascii="Times New Roman" w:eastAsia="Times New Roman" w:hAnsi="Times New Roman" w:cs="Times New Roman"/>
          <w:sz w:val="24"/>
          <w:szCs w:val="24"/>
        </w:rPr>
        <w:t>An acoustically pulsed aerosol generator was used to aerosolize the MWCNTs into a 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chamber, and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8-stage</w:t>
      </w:r>
      <w:r w:rsidRPr="00DC6E6C">
        <w:rPr>
          <w:rFonts w:ascii="Times New Roman" w:eastAsia="Times New Roman" w:hAnsi="Times New Roman" w:cs="Times New Roman"/>
          <w:sz w:val="24"/>
          <w:szCs w:val="24"/>
        </w:rPr>
        <w:t xml:space="preserve"> personal cascade </w:t>
      </w:r>
      <w:proofErr w:type="spellStart"/>
      <w:r w:rsidRPr="00DC6E6C">
        <w:rPr>
          <w:rFonts w:ascii="Times New Roman" w:eastAsia="Times New Roman" w:hAnsi="Times New Roman" w:cs="Times New Roman"/>
          <w:sz w:val="24"/>
          <w:szCs w:val="24"/>
        </w:rPr>
        <w:t>impactor</w:t>
      </w:r>
      <w:proofErr w:type="spellEnd"/>
      <w:r w:rsidRPr="00DC6E6C">
        <w:rPr>
          <w:rFonts w:ascii="Times New Roman" w:eastAsia="Times New Roman" w:hAnsi="Times New Roman" w:cs="Times New Roman"/>
          <w:sz w:val="24"/>
          <w:szCs w:val="24"/>
        </w:rPr>
        <w:t xml:space="preserve"> in the chamber was used to determine the differential particle size distribution of the dispersed material. After sample collection, each of 8 quartz impaction substrates (and the after filter) in the </w:t>
      </w:r>
      <w:proofErr w:type="spellStart"/>
      <w:r w:rsidRPr="00DC6E6C">
        <w:rPr>
          <w:rFonts w:ascii="Times New Roman" w:eastAsia="Times New Roman" w:hAnsi="Times New Roman" w:cs="Times New Roman"/>
          <w:sz w:val="24"/>
          <w:szCs w:val="24"/>
        </w:rPr>
        <w:t>impactor</w:t>
      </w:r>
      <w:proofErr w:type="spellEnd"/>
      <w:r w:rsidRPr="00DC6E6C">
        <w:rPr>
          <w:rFonts w:ascii="Times New Roman" w:eastAsia="Times New Roman" w:hAnsi="Times New Roman" w:cs="Times New Roman"/>
          <w:sz w:val="24"/>
          <w:szCs w:val="24"/>
        </w:rPr>
        <w:t xml:space="preserve"> was analyzed for elemental carbon (EC) to determine the MWCNT mass on the stage. The MWCNT masses and size </w:t>
      </w:r>
      <w:proofErr w:type="spellStart"/>
      <w:r w:rsidRPr="00DC6E6C">
        <w:rPr>
          <w:rFonts w:ascii="Times New Roman" w:eastAsia="Times New Roman" w:hAnsi="Times New Roman" w:cs="Times New Roman"/>
          <w:sz w:val="24"/>
          <w:szCs w:val="24"/>
        </w:rPr>
        <w:t>cutpoints</w:t>
      </w:r>
      <w:proofErr w:type="spellEnd"/>
      <w:r w:rsidRPr="00DC6E6C">
        <w:rPr>
          <w:rFonts w:ascii="Times New Roman" w:eastAsia="Times New Roman" w:hAnsi="Times New Roman" w:cs="Times New Roman"/>
          <w:sz w:val="24"/>
          <w:szCs w:val="24"/>
        </w:rPr>
        <w:t xml:space="preserve"> for each stage were then used to calculat</w:t>
      </w:r>
      <w:r>
        <w:rPr>
          <w:rFonts w:ascii="Times New Roman" w:eastAsia="Times New Roman" w:hAnsi="Times New Roman" w:cs="Times New Roman"/>
          <w:sz w:val="24"/>
          <w:szCs w:val="24"/>
        </w:rPr>
        <w:t>e the size distribution MMAD of the dry</w:t>
      </w:r>
      <w:r w:rsidRPr="00DC6E6C">
        <w:rPr>
          <w:rFonts w:ascii="Times New Roman" w:eastAsia="Times New Roman" w:hAnsi="Times New Roman" w:cs="Times New Roman"/>
          <w:sz w:val="24"/>
          <w:szCs w:val="24"/>
        </w:rPr>
        <w:t xml:space="preserve"> material.  </w:t>
      </w:r>
    </w:p>
    <w:p w:rsidR="00EC5812" w:rsidRPr="00211DAE" w:rsidRDefault="00EC5812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97">
        <w:rPr>
          <w:rFonts w:ascii="Times New Roman" w:eastAsia="Times New Roman" w:hAnsi="Times New Roman" w:cs="Times New Roman"/>
          <w:sz w:val="24"/>
          <w:szCs w:val="24"/>
        </w:rPr>
        <w:t>Transmission Electron Microscopy</w:t>
      </w:r>
      <w:r w:rsidR="00176400">
        <w:rPr>
          <w:rFonts w:ascii="Times New Roman" w:eastAsia="Times New Roman" w:hAnsi="Times New Roman" w:cs="Times New Roman"/>
          <w:sz w:val="24"/>
          <w:szCs w:val="24"/>
        </w:rPr>
        <w:t xml:space="preserve"> (TEM)</w:t>
      </w:r>
    </w:p>
    <w:p w:rsidR="00EC5812" w:rsidRPr="00004297" w:rsidRDefault="00EC5812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>A methyl cellulose ester (MCE)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filter was prepared </w:t>
      </w:r>
      <w:r w:rsidR="004B5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TEM analysis according to 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procedure outlined in Method 7402 </w:t>
      </w:r>
      <w:r w:rsidR="004B5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NIOSH Manual of Analytical Methods (NMAM). Briefly, a filter wedge was removed and collapsed with hot acetone vapor. The filter was then carbon coated in a vacuum evaporator. A </w:t>
      </w:r>
      <w:proofErr w:type="spellStart"/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>petri</w:t>
      </w:r>
      <w:proofErr w:type="spellEnd"/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dish was prepared as a Jaffe wick washer with a lens paper wick</w:t>
      </w:r>
      <w:r w:rsid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 substrate. </w:t>
      </w:r>
      <w:r w:rsidR="00004297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>3mm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copper TEM grids were placed on the substrate and small sections from the filter wedge were excised and placed on the grids. A mixture of acetone and </w:t>
      </w:r>
      <w:proofErr w:type="spellStart"/>
      <w:r w:rsidR="00176400">
        <w:rPr>
          <w:rFonts w:ascii="Times New Roman" w:hAnsi="Times New Roman" w:cs="Times New Roman"/>
          <w:sz w:val="24"/>
          <w:szCs w:val="24"/>
          <w:shd w:val="clear" w:color="auto" w:fill="FFFFFF"/>
        </w:rPr>
        <w:t>dimethylformamide</w:t>
      </w:r>
      <w:proofErr w:type="spellEnd"/>
      <w:r w:rsidR="00176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>DMF</w:t>
      </w:r>
      <w:r w:rsidR="001764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11DAE"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added to the dish, and the dish was covered and allowed to sit for several hours to complete clearing of the filter.</w:t>
      </w:r>
      <w:r w:rsidRPr="00004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>A 200-</w:t>
      </w:r>
      <w:r w:rsidR="00176400">
        <w:rPr>
          <w:rFonts w:ascii="Times New Roman" w:eastAsia="Times New Roman" w:hAnsi="Times New Roman" w:cs="Times New Roman"/>
          <w:sz w:val="24"/>
          <w:szCs w:val="24"/>
        </w:rPr>
        <w:t>µ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004297">
        <w:rPr>
          <w:rFonts w:ascii="Times New Roman" w:eastAsia="Times New Roman" w:hAnsi="Times New Roman" w:cs="Times New Roman"/>
          <w:sz w:val="24"/>
          <w:szCs w:val="24"/>
        </w:rPr>
        <w:t>liquot of a diluted (25:1) CNT working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 xml:space="preserve"> suspension was appli</w:t>
      </w:r>
      <w:r w:rsidRPr="00004297">
        <w:rPr>
          <w:rFonts w:ascii="Times New Roman" w:eastAsia="Times New Roman" w:hAnsi="Times New Roman" w:cs="Times New Roman"/>
          <w:sz w:val="24"/>
          <w:szCs w:val="24"/>
        </w:rPr>
        <w:t>ed to the MCE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 xml:space="preserve"> filter, spreading </w:t>
      </w:r>
      <w:r w:rsidR="00176400">
        <w:rPr>
          <w:rFonts w:ascii="Times New Roman" w:eastAsia="Times New Roman" w:hAnsi="Times New Roman" w:cs="Times New Roman"/>
          <w:sz w:val="24"/>
          <w:szCs w:val="24"/>
        </w:rPr>
        <w:t xml:space="preserve">quickly and 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 xml:space="preserve">evenly over the filter. The filter was dried overnight in a loosely covered </w:t>
      </w:r>
      <w:proofErr w:type="spellStart"/>
      <w:r w:rsidRPr="00211DAE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Pr="00211DAE">
        <w:rPr>
          <w:rFonts w:ascii="Times New Roman" w:eastAsia="Times New Roman" w:hAnsi="Times New Roman" w:cs="Times New Roman"/>
          <w:sz w:val="24"/>
          <w:szCs w:val="24"/>
        </w:rPr>
        <w:t xml:space="preserve"> dish in an oven at 60 </w:t>
      </w:r>
      <w:r w:rsidR="004B5D31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>C. After drying, a small portion of the filter was removed and prepared for TEM analysis by treatment in acetone vapor and application of a thin carbon coating. The sample then was examined on a JEOL 2100F</w:t>
      </w:r>
      <w:r w:rsidR="00176400">
        <w:rPr>
          <w:rFonts w:ascii="Times New Roman" w:eastAsia="Times New Roman" w:hAnsi="Times New Roman" w:cs="Times New Roman"/>
          <w:sz w:val="24"/>
          <w:szCs w:val="24"/>
        </w:rPr>
        <w:t xml:space="preserve"> TEM/</w:t>
      </w:r>
      <w:r w:rsidRPr="00211DAE">
        <w:rPr>
          <w:rFonts w:ascii="Times New Roman" w:eastAsia="Times New Roman" w:hAnsi="Times New Roman" w:cs="Times New Roman"/>
          <w:sz w:val="24"/>
          <w:szCs w:val="24"/>
        </w:rPr>
        <w:t>STEM, in bright field mode, at an accelerating voltage of 200kev.</w:t>
      </w:r>
    </w:p>
    <w:p w:rsidR="00802E12" w:rsidRPr="00802E12" w:rsidRDefault="00004297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Metal Content </w:t>
      </w:r>
    </w:p>
    <w:p w:rsidR="00006939" w:rsidRDefault="00802E12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A microwave </w:t>
      </w:r>
      <w:r w:rsidR="00006939">
        <w:rPr>
          <w:rFonts w:ascii="Times New Roman" w:eastAsia="Times New Roman" w:hAnsi="Times New Roman" w:cs="Times New Roman"/>
          <w:sz w:val="24"/>
          <w:szCs w:val="24"/>
        </w:rPr>
        <w:t xml:space="preserve">acid 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digestion 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>(M</w:t>
      </w:r>
      <w:r w:rsidR="00C36399">
        <w:rPr>
          <w:rFonts w:ascii="Times New Roman" w:eastAsia="Times New Roman" w:hAnsi="Times New Roman" w:cs="Times New Roman"/>
          <w:sz w:val="24"/>
          <w:szCs w:val="24"/>
        </w:rPr>
        <w:t xml:space="preserve">ARS, </w:t>
      </w:r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>CEM</w:t>
      </w:r>
      <w:r w:rsidR="00C36399">
        <w:rPr>
          <w:rFonts w:ascii="Times New Roman" w:eastAsia="Times New Roman" w:hAnsi="Times New Roman" w:cs="Times New Roman"/>
          <w:sz w:val="24"/>
          <w:szCs w:val="24"/>
        </w:rPr>
        <w:t xml:space="preserve"> Corporation</w:t>
      </w:r>
      <w:r w:rsidR="009E1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6399">
        <w:rPr>
          <w:rFonts w:ascii="Times New Roman" w:eastAsia="Times New Roman" w:hAnsi="Times New Roman" w:cs="Times New Roman"/>
          <w:sz w:val="24"/>
          <w:szCs w:val="24"/>
        </w:rPr>
        <w:t>Weddington</w:t>
      </w:r>
      <w:proofErr w:type="spellEnd"/>
      <w:r w:rsidR="00C36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16A9">
        <w:rPr>
          <w:rFonts w:ascii="Times New Roman" w:eastAsia="Times New Roman" w:hAnsi="Times New Roman" w:cs="Times New Roman"/>
          <w:sz w:val="24"/>
          <w:szCs w:val="24"/>
        </w:rPr>
        <w:t>NC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>was used to prepare samples for metals analysis</w:t>
      </w:r>
      <w:r w:rsidR="000069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CNTs 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 xml:space="preserve">(1-10 mg) were </w:t>
      </w:r>
      <w:r w:rsidR="00C36399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>digested in sealed vessels containing 1</w:t>
      </w:r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 w:rsidR="00D36B61" w:rsidRPr="00D3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concentrated </w:t>
      </w:r>
      <w:r w:rsidR="00C36399">
        <w:rPr>
          <w:rFonts w:ascii="Times New Roman" w:eastAsia="Times New Roman" w:hAnsi="Times New Roman" w:cs="Times New Roman"/>
          <w:sz w:val="24"/>
          <w:szCs w:val="24"/>
        </w:rPr>
        <w:t xml:space="preserve">(60% - 70%) </w:t>
      </w:r>
      <w:r w:rsidR="00D36B61">
        <w:rPr>
          <w:rFonts w:ascii="Times New Roman" w:eastAsia="Times New Roman" w:hAnsi="Times New Roman" w:cs="Times New Roman"/>
          <w:sz w:val="24"/>
          <w:szCs w:val="24"/>
        </w:rPr>
        <w:t xml:space="preserve">nitric acid. </w:t>
      </w:r>
      <w:r w:rsidR="00360C07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C36399">
        <w:rPr>
          <w:rFonts w:ascii="Times New Roman" w:eastAsia="Times New Roman" w:hAnsi="Times New Roman" w:cs="Times New Roman"/>
          <w:sz w:val="24"/>
          <w:szCs w:val="24"/>
        </w:rPr>
        <w:t>icrowave conditions were as follows: maximum power at 1600 (100% power), ramp 30 minutes, 800 psi, 230 °C, hold time 60 minutes. A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 sample blank and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4DD8" w:rsidRPr="00802E12">
        <w:rPr>
          <w:rFonts w:ascii="Times New Roman" w:eastAsia="Times New Roman" w:hAnsi="Times New Roman" w:cs="Times New Roman"/>
          <w:sz w:val="24"/>
          <w:szCs w:val="24"/>
        </w:rPr>
        <w:t>tandard reference material (NIST SRM 2483) w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digested 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and analyzed </w:t>
      </w:r>
      <w:r w:rsidR="00864DD8" w:rsidRPr="00802E12">
        <w:rPr>
          <w:rFonts w:ascii="Times New Roman" w:eastAsia="Times New Roman" w:hAnsi="Times New Roman" w:cs="Times New Roman"/>
          <w:sz w:val="24"/>
          <w:szCs w:val="24"/>
        </w:rPr>
        <w:t>concurrently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 to ensure data quality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DD8" w:rsidRPr="00D3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After digestion, solutions 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were transferred to flasks and heated on a hot plate at 180 °C to near dryness.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>A d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ilute nitric acid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>solution w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as then </w:t>
      </w:r>
      <w:proofErr w:type="spellStart"/>
      <w:r w:rsidR="00864DD8">
        <w:rPr>
          <w:rFonts w:ascii="Times New Roman" w:eastAsia="Times New Roman" w:hAnsi="Times New Roman" w:cs="Times New Roman"/>
          <w:sz w:val="24"/>
          <w:szCs w:val="24"/>
        </w:rPr>
        <w:t>addred</w:t>
      </w:r>
      <w:proofErr w:type="spellEnd"/>
      <w:r w:rsidR="00864DD8">
        <w:rPr>
          <w:rFonts w:ascii="Times New Roman" w:eastAsia="Times New Roman" w:hAnsi="Times New Roman" w:cs="Times New Roman"/>
          <w:sz w:val="24"/>
          <w:szCs w:val="24"/>
        </w:rPr>
        <w:t xml:space="preserve"> to obtain a</w:t>
      </w:r>
      <w:r w:rsidR="00360C0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64DD8">
        <w:rPr>
          <w:rFonts w:ascii="Times New Roman" w:eastAsia="Times New Roman" w:hAnsi="Times New Roman" w:cs="Times New Roman"/>
          <w:sz w:val="24"/>
          <w:szCs w:val="24"/>
        </w:rPr>
        <w:t>acid concentration of 5%</w:t>
      </w:r>
      <w:r w:rsidR="00360C07">
        <w:rPr>
          <w:rFonts w:ascii="Times New Roman" w:eastAsia="Times New Roman" w:hAnsi="Times New Roman" w:cs="Times New Roman"/>
          <w:sz w:val="24"/>
          <w:szCs w:val="24"/>
        </w:rPr>
        <w:t xml:space="preserve">. The diluted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6B6A">
        <w:rPr>
          <w:rFonts w:ascii="Times New Roman" w:eastAsia="Times New Roman" w:hAnsi="Times New Roman" w:cs="Times New Roman"/>
          <w:sz w:val="24"/>
          <w:szCs w:val="24"/>
        </w:rPr>
        <w:t xml:space="preserve">olutions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360C0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analyzed </w:t>
      </w:r>
      <w:r w:rsidR="00DA6B6A">
        <w:rPr>
          <w:rFonts w:ascii="Times New Roman" w:eastAsia="Times New Roman" w:hAnsi="Times New Roman" w:cs="Times New Roman"/>
          <w:sz w:val="24"/>
          <w:szCs w:val="24"/>
        </w:rPr>
        <w:t xml:space="preserve">for metals </w:t>
      </w:r>
      <w:r w:rsidR="0013409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34097" w:rsidRPr="00802E12">
        <w:rPr>
          <w:rFonts w:ascii="Times New Roman" w:eastAsia="Times New Roman" w:hAnsi="Times New Roman" w:cs="Times New Roman"/>
          <w:sz w:val="24"/>
          <w:szCs w:val="24"/>
        </w:rPr>
        <w:t xml:space="preserve">inductively coupled plasma with atomic emission spectroscopy (ICP-AES). </w:t>
      </w:r>
      <w:r w:rsidR="00DA6B6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A6B6A" w:rsidRPr="00006939">
        <w:rPr>
          <w:rFonts w:ascii="Times New Roman" w:eastAsia="Times New Roman" w:hAnsi="Times New Roman" w:cs="Times New Roman"/>
          <w:sz w:val="24"/>
          <w:szCs w:val="24"/>
        </w:rPr>
        <w:t>Spectro</w:t>
      </w:r>
      <w:proofErr w:type="spellEnd"/>
      <w:r w:rsidR="00DA6B6A" w:rsidRPr="00006939">
        <w:rPr>
          <w:rFonts w:ascii="Times New Roman" w:eastAsia="Times New Roman" w:hAnsi="Times New Roman" w:cs="Times New Roman"/>
          <w:sz w:val="24"/>
          <w:szCs w:val="24"/>
        </w:rPr>
        <w:t xml:space="preserve"> Modula EOP</w:t>
      </w:r>
      <w:r w:rsidR="00DA6B6A" w:rsidRPr="00006939">
        <w:rPr>
          <w:rFonts w:ascii="Times New Roman" w:eastAsia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DA6B6A" w:rsidRPr="00006939">
        <w:rPr>
          <w:rFonts w:ascii="Times New Roman" w:eastAsia="Times New Roman" w:hAnsi="Times New Roman" w:cs="Times New Roman"/>
          <w:sz w:val="24"/>
          <w:szCs w:val="24"/>
        </w:rPr>
        <w:t>Spectro</w:t>
      </w:r>
      <w:proofErr w:type="spellEnd"/>
      <w:r w:rsidR="00DA6B6A" w:rsidRPr="00006939">
        <w:rPr>
          <w:rFonts w:ascii="Times New Roman" w:eastAsia="Times New Roman" w:hAnsi="Times New Roman" w:cs="Times New Roman"/>
          <w:sz w:val="24"/>
          <w:szCs w:val="24"/>
        </w:rPr>
        <w:t xml:space="preserve"> Analytical Instruments Inc., Mahwah, NJ</w:t>
      </w:r>
      <w:r w:rsidR="00DA6B6A" w:rsidRPr="00006939">
        <w:rPr>
          <w:rFonts w:ascii="Times New Roman" w:eastAsia="Times New Roman" w:hAnsi="Times New Roman" w:cs="Times New Roman" w:hint="eastAsia"/>
          <w:sz w:val="24"/>
          <w:szCs w:val="24"/>
        </w:rPr>
        <w:t>)</w:t>
      </w:r>
      <w:r w:rsidR="00DA6B6A">
        <w:rPr>
          <w:rFonts w:ascii="Times New Roman" w:eastAsia="Times New Roman" w:hAnsi="Times New Roman" w:cs="Times New Roman"/>
          <w:sz w:val="24"/>
          <w:szCs w:val="24"/>
        </w:rPr>
        <w:t xml:space="preserve"> was used for the analysis </w:t>
      </w:r>
      <w:r w:rsidR="00006939" w:rsidRPr="00006939">
        <w:rPr>
          <w:rFonts w:ascii="Times New Roman" w:eastAsia="Times New Roman" w:hAnsi="Times New Roman" w:cs="Times New Roman"/>
          <w:sz w:val="24"/>
          <w:szCs w:val="24"/>
        </w:rPr>
        <w:t>according to NIOSH Manual of Analytical Methods (NMAM) 7300</w:t>
      </w:r>
      <w:r w:rsidR="00DA6B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939" w:rsidRPr="00006939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</w:p>
    <w:p w:rsidR="00D920E8" w:rsidRDefault="00D920E8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0E8" w:rsidRPr="00006939" w:rsidRDefault="00D920E8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6C" w:rsidRDefault="00802E12" w:rsidP="00FD0AA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E12">
        <w:rPr>
          <w:rFonts w:ascii="Times New Roman" w:eastAsia="Times New Roman" w:hAnsi="Times New Roman" w:cs="Times New Roman"/>
          <w:bCs/>
          <w:sz w:val="24"/>
          <w:szCs w:val="24"/>
        </w:rPr>
        <w:t xml:space="preserve">BET Surface Area </w:t>
      </w:r>
    </w:p>
    <w:p w:rsidR="007E6ABE" w:rsidRDefault="00802E12" w:rsidP="00FD0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Samples were degassed under </w:t>
      </w:r>
      <w:r w:rsidR="00BD23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flow of ultra-high purity (UHP) grade nitrogen using a </w:t>
      </w:r>
      <w:proofErr w:type="spellStart"/>
      <w:r w:rsidRPr="00802E12">
        <w:rPr>
          <w:rFonts w:ascii="Times New Roman" w:eastAsia="Times New Roman" w:hAnsi="Times New Roman" w:cs="Times New Roman"/>
          <w:sz w:val="24"/>
          <w:szCs w:val="24"/>
        </w:rPr>
        <w:t>Micromeritics</w:t>
      </w:r>
      <w:proofErr w:type="spellEnd"/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E12">
        <w:rPr>
          <w:rFonts w:ascii="Times New Roman" w:eastAsia="Times New Roman" w:hAnsi="Times New Roman" w:cs="Times New Roman"/>
          <w:sz w:val="24"/>
          <w:szCs w:val="24"/>
        </w:rPr>
        <w:t>FlowPrep</w:t>
      </w:r>
      <w:proofErr w:type="spellEnd"/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 060</w:t>
      </w:r>
      <w:r w:rsidR="00BD2344">
        <w:rPr>
          <w:rFonts w:ascii="Times New Roman" w:eastAsia="Times New Roman" w:hAnsi="Times New Roman" w:cs="Times New Roman"/>
          <w:sz w:val="24"/>
          <w:szCs w:val="24"/>
        </w:rPr>
        <w:t xml:space="preserve"> degasser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>, with a sample mass of 200 mg or more. All samples were degassed for 30 minutes at 90 C, followed by 90 minutes at 200 C. A</w:t>
      </w:r>
      <w:r w:rsidR="00BC6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E12">
        <w:rPr>
          <w:rFonts w:ascii="Times New Roman" w:eastAsia="Times New Roman" w:hAnsi="Times New Roman" w:cs="Times New Roman"/>
          <w:sz w:val="24"/>
          <w:szCs w:val="24"/>
        </w:rPr>
        <w:t>Micromeritics</w:t>
      </w:r>
      <w:proofErr w:type="spellEnd"/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E12">
        <w:rPr>
          <w:rFonts w:ascii="Times New Roman" w:eastAsia="Times New Roman" w:hAnsi="Times New Roman" w:cs="Times New Roman"/>
          <w:sz w:val="24"/>
          <w:szCs w:val="24"/>
        </w:rPr>
        <w:t>TriStarII</w:t>
      </w:r>
      <w:proofErr w:type="spellEnd"/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 3020 instrument was used to measure the BET surface area by a 5-point BET measurement, with UHP nitrogen as the </w:t>
      </w:r>
      <w:proofErr w:type="spellStart"/>
      <w:r w:rsidRPr="00802E12">
        <w:rPr>
          <w:rFonts w:ascii="Times New Roman" w:eastAsia="Times New Roman" w:hAnsi="Times New Roman" w:cs="Times New Roman"/>
          <w:sz w:val="24"/>
          <w:szCs w:val="24"/>
        </w:rPr>
        <w:t>adsorbate</w:t>
      </w:r>
      <w:proofErr w:type="spellEnd"/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 and liquid nitrogen as the cryogen. The following relative pressures (P/P</w:t>
      </w:r>
      <w:r w:rsidRPr="00802E1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o) 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 xml:space="preserve">were used: 0.05, 0.1, 0.15, 0.2, and 0.25. The free space in the analysis tube was measured using UHP helium. The five pressure points were used to calculate the BET surface area. </w:t>
      </w:r>
      <w:r w:rsidR="00A546A6">
        <w:rPr>
          <w:rFonts w:ascii="Times New Roman" w:hAnsi="Times New Roman" w:cs="Times New Roman"/>
          <w:sz w:val="24"/>
          <w:szCs w:val="24"/>
        </w:rPr>
        <w:t>An</w:t>
      </w:r>
      <w:r w:rsidR="00A546A6" w:rsidRPr="000541C8">
        <w:rPr>
          <w:rFonts w:ascii="Times New Roman" w:hAnsi="Times New Roman" w:cs="Times New Roman"/>
          <w:sz w:val="24"/>
          <w:szCs w:val="24"/>
        </w:rPr>
        <w:t xml:space="preserve"> ASTM carbon black </w:t>
      </w:r>
      <w:r w:rsidR="00A546A6" w:rsidRPr="002449F0">
        <w:rPr>
          <w:rFonts w:ascii="Times New Roman" w:hAnsi="Times New Roman" w:cs="Times New Roman"/>
          <w:sz w:val="24"/>
          <w:szCs w:val="24"/>
        </w:rPr>
        <w:t xml:space="preserve">(ASTM D24 SRB B-8 carbon black) </w:t>
      </w:r>
      <w:r w:rsidR="00A546A6" w:rsidRPr="000541C8">
        <w:rPr>
          <w:rFonts w:ascii="Times New Roman" w:hAnsi="Times New Roman" w:cs="Times New Roman"/>
          <w:sz w:val="24"/>
          <w:szCs w:val="24"/>
        </w:rPr>
        <w:t>of known SSA was included with the sample sets</w:t>
      </w:r>
      <w:r w:rsidR="00A546A6">
        <w:rPr>
          <w:rFonts w:ascii="Times New Roman" w:hAnsi="Times New Roman" w:cs="Times New Roman"/>
          <w:sz w:val="24"/>
          <w:szCs w:val="24"/>
        </w:rPr>
        <w:t xml:space="preserve">. The </w:t>
      </w:r>
      <w:r w:rsidR="00A546A6" w:rsidRPr="002449F0">
        <w:rPr>
          <w:rFonts w:ascii="Times New Roman" w:hAnsi="Times New Roman" w:cs="Times New Roman"/>
          <w:sz w:val="24"/>
          <w:szCs w:val="24"/>
        </w:rPr>
        <w:t>mean</w:t>
      </w:r>
      <w:r w:rsidR="00A546A6">
        <w:rPr>
          <w:rFonts w:ascii="Times New Roman" w:hAnsi="Times New Roman" w:cs="Times New Roman"/>
          <w:sz w:val="24"/>
          <w:szCs w:val="24"/>
        </w:rPr>
        <w:t xml:space="preserve"> result</w:t>
      </w:r>
      <w:r w:rsidR="00A546A6" w:rsidRPr="002449F0">
        <w:rPr>
          <w:rFonts w:ascii="Times New Roman" w:hAnsi="Times New Roman" w:cs="Times New Roman"/>
          <w:sz w:val="24"/>
          <w:szCs w:val="24"/>
        </w:rPr>
        <w:t xml:space="preserve"> (</w:t>
      </w:r>
      <w:r w:rsidR="00A546A6" w:rsidRPr="002449F0">
        <w:rPr>
          <w:rFonts w:ascii="Times New Roman" w:hAnsi="Times New Roman" w:cs="Times New Roman"/>
          <w:i/>
          <w:sz w:val="24"/>
          <w:szCs w:val="24"/>
        </w:rPr>
        <w:t>n</w:t>
      </w:r>
      <w:r w:rsidR="00A546A6" w:rsidRPr="002449F0">
        <w:rPr>
          <w:rFonts w:ascii="Times New Roman" w:hAnsi="Times New Roman" w:cs="Times New Roman"/>
          <w:sz w:val="24"/>
          <w:szCs w:val="24"/>
        </w:rPr>
        <w:t xml:space="preserve"> = 3, RSD = 1%) </w:t>
      </w:r>
      <w:r w:rsidR="00A546A6">
        <w:rPr>
          <w:rFonts w:ascii="Times New Roman" w:hAnsi="Times New Roman" w:cs="Times New Roman"/>
          <w:sz w:val="24"/>
          <w:szCs w:val="24"/>
        </w:rPr>
        <w:t xml:space="preserve">for the ASTM material was </w:t>
      </w:r>
      <w:r w:rsidR="00A546A6" w:rsidRPr="002449F0">
        <w:rPr>
          <w:rFonts w:ascii="Times New Roman" w:hAnsi="Times New Roman" w:cs="Times New Roman"/>
          <w:sz w:val="24"/>
          <w:szCs w:val="24"/>
        </w:rPr>
        <w:t>140.7 m</w:t>
      </w:r>
      <w:r w:rsidR="00A546A6" w:rsidRPr="002449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46A6" w:rsidRPr="002449F0">
        <w:rPr>
          <w:rFonts w:ascii="Times New Roman" w:hAnsi="Times New Roman" w:cs="Times New Roman"/>
          <w:sz w:val="24"/>
          <w:szCs w:val="24"/>
        </w:rPr>
        <w:t xml:space="preserve">/g, </w:t>
      </w:r>
      <w:r w:rsidR="00A546A6">
        <w:rPr>
          <w:rFonts w:ascii="Times New Roman" w:hAnsi="Times New Roman" w:cs="Times New Roman"/>
          <w:sz w:val="24"/>
          <w:szCs w:val="24"/>
        </w:rPr>
        <w:t xml:space="preserve">which is </w:t>
      </w:r>
      <w:r w:rsidR="00A546A6" w:rsidRPr="002449F0">
        <w:rPr>
          <w:rFonts w:ascii="Times New Roman" w:hAnsi="Times New Roman" w:cs="Times New Roman"/>
          <w:sz w:val="24"/>
          <w:szCs w:val="24"/>
        </w:rPr>
        <w:t xml:space="preserve">within about 1% of the reported value </w:t>
      </w:r>
      <w:r w:rsidR="00A546A6">
        <w:rPr>
          <w:rFonts w:ascii="Times New Roman" w:hAnsi="Times New Roman" w:cs="Times New Roman"/>
          <w:sz w:val="24"/>
          <w:szCs w:val="24"/>
        </w:rPr>
        <w:t xml:space="preserve">of </w:t>
      </w:r>
      <w:r w:rsidR="00A546A6" w:rsidRPr="002449F0">
        <w:rPr>
          <w:rFonts w:ascii="Times New Roman" w:hAnsi="Times New Roman" w:cs="Times New Roman"/>
          <w:sz w:val="24"/>
          <w:szCs w:val="24"/>
        </w:rPr>
        <w:t>142.6 m</w:t>
      </w:r>
      <w:r w:rsidR="00A546A6" w:rsidRPr="002449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46A6" w:rsidRPr="002449F0">
        <w:rPr>
          <w:rFonts w:ascii="Times New Roman" w:hAnsi="Times New Roman" w:cs="Times New Roman"/>
          <w:sz w:val="24"/>
          <w:szCs w:val="24"/>
        </w:rPr>
        <w:t>/g</w:t>
      </w:r>
      <w:r w:rsidR="00A546A6">
        <w:rPr>
          <w:rFonts w:ascii="Times New Roman" w:hAnsi="Times New Roman" w:cs="Times New Roman"/>
          <w:sz w:val="24"/>
          <w:szCs w:val="24"/>
        </w:rPr>
        <w:t xml:space="preserve">. </w:t>
      </w:r>
      <w:r w:rsidRPr="00802E12">
        <w:rPr>
          <w:rFonts w:ascii="Times New Roman" w:eastAsia="Times New Roman" w:hAnsi="Times New Roman" w:cs="Times New Roman"/>
          <w:sz w:val="24"/>
          <w:szCs w:val="24"/>
        </w:rPr>
        <w:t>Analytical precision was ±5% or better.  </w:t>
      </w:r>
    </w:p>
    <w:p w:rsidR="00004297" w:rsidRPr="00004297" w:rsidRDefault="00211DAE" w:rsidP="00FD0AA3">
      <w:pPr>
        <w:jc w:val="both"/>
        <w:rPr>
          <w:rFonts w:ascii="Times New Roman" w:hAnsi="Times New Roman" w:cs="Times New Roman"/>
          <w:sz w:val="24"/>
          <w:szCs w:val="24"/>
        </w:rPr>
      </w:pPr>
      <w:r w:rsidRPr="00004297">
        <w:rPr>
          <w:rFonts w:ascii="Times New Roman" w:hAnsi="Times New Roman" w:cs="Times New Roman"/>
          <w:sz w:val="24"/>
          <w:szCs w:val="24"/>
        </w:rPr>
        <w:t>Elemental Carbon</w:t>
      </w:r>
    </w:p>
    <w:p w:rsidR="00211DAE" w:rsidRDefault="00211DAE" w:rsidP="00FD0AA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11DAE">
        <w:rPr>
          <w:rFonts w:ascii="Times New Roman" w:eastAsia="Arial Unicode MS" w:hAnsi="Times New Roman" w:cs="Times New Roman"/>
          <w:sz w:val="24"/>
          <w:szCs w:val="24"/>
        </w:rPr>
        <w:t>For comparison with the mass concentration, the concentration of the CNT stock suspension also was determined as elemental carbon by NIOSH Method 504</w:t>
      </w:r>
      <w:r w:rsidR="000C25FA">
        <w:rPr>
          <w:rFonts w:ascii="Times New Roman" w:eastAsia="Arial Unicode MS" w:hAnsi="Times New Roman" w:cs="Times New Roman"/>
          <w:sz w:val="24"/>
          <w:szCs w:val="24"/>
        </w:rPr>
        <w:t>0 [</w:t>
      </w:r>
      <w:r w:rsidR="005A2F76">
        <w:rPr>
          <w:rFonts w:ascii="Times New Roman" w:eastAsia="Arial Unicode MS" w:hAnsi="Times New Roman" w:cs="Times New Roman"/>
          <w:sz w:val="24"/>
          <w:szCs w:val="24"/>
        </w:rPr>
        <w:t>Birch, 2004a, 2004b</w:t>
      </w:r>
      <w:r w:rsidR="000C25FA">
        <w:rPr>
          <w:rFonts w:ascii="Times New Roman" w:eastAsia="Arial Unicode MS" w:hAnsi="Times New Roman" w:cs="Times New Roman"/>
          <w:sz w:val="24"/>
          <w:szCs w:val="24"/>
        </w:rPr>
        <w:t>]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>. The Method is based on a thermal–optical analysis technique for organic and elemental carbon (OC and EC). The thermal–optical analyzer (Sunset Laboratories, Inc., Forest Grove, OR) has been described in detail previousl</w:t>
      </w:r>
      <w:r w:rsidR="000C25FA">
        <w:rPr>
          <w:rFonts w:ascii="Times New Roman" w:eastAsia="Arial Unicode MS" w:hAnsi="Times New Roman" w:cs="Times New Roman"/>
          <w:sz w:val="24"/>
          <w:szCs w:val="24"/>
        </w:rPr>
        <w:t>y [</w:t>
      </w:r>
      <w:r w:rsidR="005A2F76">
        <w:rPr>
          <w:rFonts w:ascii="Times New Roman" w:eastAsia="Arial Unicode MS" w:hAnsi="Times New Roman" w:cs="Times New Roman"/>
          <w:sz w:val="24"/>
          <w:szCs w:val="24"/>
        </w:rPr>
        <w:t>Birch &amp; Cary, 1996, Birch, 2004a, 2004b</w:t>
      </w:r>
      <w:r w:rsidR="000C25FA">
        <w:rPr>
          <w:rFonts w:ascii="Times New Roman" w:eastAsia="Arial Unicode MS" w:hAnsi="Times New Roman" w:cs="Times New Roman"/>
          <w:sz w:val="24"/>
          <w:szCs w:val="24"/>
        </w:rPr>
        <w:t>]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>. In its typical application, air samples collected on quartz-fiber filters are analyzed. A 1.5 cm</w:t>
      </w:r>
      <w:r w:rsidRPr="00211D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 xml:space="preserve"> portion is removed from the filter for analysis, and OC–EC results (in </w:t>
      </w:r>
      <w:proofErr w:type="spellStart"/>
      <w:r w:rsidRPr="00211DAE">
        <w:rPr>
          <w:rFonts w:ascii="Times New Roman" w:eastAsia="Arial Unicode MS" w:hAnsi="Times New Roman" w:cs="Times New Roman"/>
          <w:sz w:val="24"/>
          <w:szCs w:val="24"/>
        </w:rPr>
        <w:t>μg</w:t>
      </w:r>
      <w:proofErr w:type="spellEnd"/>
      <w:r w:rsidRPr="00211DAE">
        <w:rPr>
          <w:rFonts w:ascii="Times New Roman" w:eastAsia="Arial Unicode MS" w:hAnsi="Times New Roman" w:cs="Times New Roman"/>
          <w:sz w:val="24"/>
          <w:szCs w:val="24"/>
        </w:rPr>
        <w:t>/cm</w:t>
      </w:r>
      <w:r w:rsidRPr="00211D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>) for the portion are multiplied by the deposit area to calculate the total OC–EC mass on the filter. In this study, 10-uL aliquots of the CNT stock suspension were applied directly to 1.5 cm</w:t>
      </w:r>
      <w:r w:rsidRPr="00211DA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 xml:space="preserve"> portions taken from a pre-cleaned, 37-mm quartz-fiber filter (</w:t>
      </w:r>
      <w:proofErr w:type="spellStart"/>
      <w:r w:rsidRPr="00211DAE">
        <w:rPr>
          <w:rFonts w:ascii="Times New Roman" w:eastAsia="Arial Unicode MS" w:hAnsi="Times New Roman" w:cs="Times New Roman"/>
          <w:sz w:val="24"/>
          <w:szCs w:val="24"/>
        </w:rPr>
        <w:t>Pallflex</w:t>
      </w:r>
      <w:proofErr w:type="spellEnd"/>
      <w:r w:rsidRPr="00211DAE">
        <w:rPr>
          <w:rFonts w:ascii="Times New Roman" w:eastAsia="Arial Unicode MS" w:hAnsi="Times New Roman" w:cs="Times New Roman"/>
          <w:sz w:val="24"/>
          <w:szCs w:val="24"/>
        </w:rPr>
        <w:t xml:space="preserve"> 2500QAT-UP, </w:t>
      </w:r>
      <w:proofErr w:type="spellStart"/>
      <w:r w:rsidRPr="00211DAE">
        <w:rPr>
          <w:rFonts w:ascii="Times New Roman" w:eastAsia="Arial Unicode MS" w:hAnsi="Times New Roman" w:cs="Times New Roman"/>
          <w:sz w:val="24"/>
          <w:szCs w:val="24"/>
        </w:rPr>
        <w:t>Pallflex</w:t>
      </w:r>
      <w:proofErr w:type="spellEnd"/>
      <w:r w:rsidRPr="00211DAE">
        <w:rPr>
          <w:rFonts w:ascii="Times New Roman" w:eastAsia="Arial Unicode MS" w:hAnsi="Times New Roman" w:cs="Times New Roman"/>
          <w:sz w:val="24"/>
          <w:szCs w:val="24"/>
        </w:rPr>
        <w:t xml:space="preserve"> Inc., Putnam, CN). </w:t>
      </w:r>
      <w:r w:rsidR="004B5D31">
        <w:rPr>
          <w:rFonts w:ascii="Times New Roman" w:eastAsia="Arial Unicode MS" w:hAnsi="Times New Roman" w:cs="Times New Roman"/>
          <w:sz w:val="24"/>
          <w:szCs w:val="24"/>
        </w:rPr>
        <w:t>After drying, t</w:t>
      </w:r>
      <w:r w:rsidRPr="00211DAE">
        <w:rPr>
          <w:rFonts w:ascii="Times New Roman" w:eastAsia="Arial Unicode MS" w:hAnsi="Times New Roman" w:cs="Times New Roman"/>
          <w:sz w:val="24"/>
          <w:szCs w:val="24"/>
        </w:rPr>
        <w:t xml:space="preserve">he portions were analyzed to determine the EC concentration of the suspension. </w:t>
      </w:r>
    </w:p>
    <w:p w:rsidR="00CC7EEE" w:rsidRDefault="00CC7EEE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2F4" w:rsidRPr="00211DAE" w:rsidRDefault="004002F4" w:rsidP="000042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D62" w:rsidRPr="003E2BA2" w:rsidRDefault="00912630" w:rsidP="00080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5pt;margin-top:231.35pt;width:357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0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" filled="f" stroked="f">
            <v:textbox>
              <w:txbxContent>
                <w:p w:rsidR="00FF4D62" w:rsidRPr="00BE7D3C" w:rsidRDefault="00080826" w:rsidP="00BE7D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Fig.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S1</w:t>
                  </w:r>
                  <w:r w:rsidR="00FF4D62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FF4D62" w:rsidRPr="00BE7D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Particle size distribution of dry, as-supplied MWCNT material</w:t>
                  </w:r>
                  <w:r w:rsidR="009A4D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A4D6C" w:rsidRPr="0039085D">
                    <w:rPr>
                      <w:rFonts w:ascii="Times New Roman" w:hAnsi="Times New Roman" w:cs="Times New Roman"/>
                      <w:b/>
                    </w:rPr>
                    <w:t>in aerosolized form</w:t>
                  </w:r>
                  <w:r w:rsidR="00FF4D62" w:rsidRPr="0039085D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39085D">
                    <w:rPr>
                      <w:rFonts w:ascii="Times New Roman" w:hAnsi="Times New Roman" w:cs="Times New Roman"/>
                    </w:rPr>
                    <w:t xml:space="preserve">  The</w:t>
                  </w:r>
                  <w:r w:rsidRPr="00080826">
                    <w:rPr>
                      <w:rFonts w:ascii="Times New Roman" w:hAnsi="Times New Roman" w:cs="Times New Roman"/>
                    </w:rPr>
                    <w:t xml:space="preserve"> MMAD</w:t>
                  </w:r>
                  <w:r>
                    <w:rPr>
                      <w:rFonts w:ascii="Times New Roman" w:hAnsi="Times New Roman" w:cs="Times New Roman"/>
                    </w:rPr>
                    <w:t xml:space="preserve"> average</w:t>
                  </w:r>
                  <w:r w:rsidR="009E2484">
                    <w:rPr>
                      <w:rFonts w:ascii="Times New Roman" w:hAnsi="Times New Roman" w:cs="Times New Roman"/>
                    </w:rPr>
                    <w:t xml:space="preserve"> was about 6µm with a G</w:t>
                  </w:r>
                  <w:r>
                    <w:rPr>
                      <w:rFonts w:ascii="Times New Roman" w:hAnsi="Times New Roman" w:cs="Times New Roman"/>
                    </w:rPr>
                    <w:t>SD</w:t>
                  </w:r>
                  <w:r w:rsidRPr="00080826">
                    <w:rPr>
                      <w:rFonts w:ascii="Times New Roman" w:hAnsi="Times New Roman" w:cs="Times New Roman"/>
                    </w:rPr>
                    <w:t xml:space="preserve"> of about 8 µm.</w:t>
                  </w:r>
                </w:p>
              </w:txbxContent>
            </v:textbox>
          </v:shape>
        </w:pict>
      </w:r>
      <w:r w:rsidR="00FF4D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64825" cy="2988186"/>
            <wp:effectExtent l="19050" t="0" r="7175" b="0"/>
            <wp:docPr id="4" name="Picture 1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30" cy="29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A2" w:rsidRDefault="00DF7899">
      <w:r w:rsidRPr="00DF7899">
        <w:rPr>
          <w:noProof/>
        </w:rPr>
        <w:t xml:space="preserve"> </w:t>
      </w:r>
    </w:p>
    <w:p w:rsidR="003E2BA2" w:rsidRPr="003E2BA2" w:rsidRDefault="003E2BA2" w:rsidP="003E2BA2">
      <w:bookmarkStart w:id="0" w:name="_GoBack"/>
      <w:bookmarkEnd w:id="0"/>
    </w:p>
    <w:p w:rsidR="003E2BA2" w:rsidRPr="003E2BA2" w:rsidRDefault="00080826" w:rsidP="003E2BA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182245</wp:posOffset>
            </wp:positionV>
            <wp:extent cx="3550285" cy="213741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182245</wp:posOffset>
            </wp:positionV>
            <wp:extent cx="1887855" cy="2018665"/>
            <wp:effectExtent l="0" t="0" r="0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E2BA2" w:rsidRPr="003E2BA2" w:rsidRDefault="003E2BA2" w:rsidP="003E2BA2"/>
    <w:p w:rsidR="003E2BA2" w:rsidRPr="003E2BA2" w:rsidRDefault="003E2BA2" w:rsidP="003E2BA2"/>
    <w:p w:rsidR="003E2BA2" w:rsidRPr="003E2BA2" w:rsidRDefault="003E2BA2" w:rsidP="003E2BA2"/>
    <w:p w:rsidR="003E2BA2" w:rsidRPr="003E2BA2" w:rsidRDefault="003E2BA2" w:rsidP="003E2BA2"/>
    <w:p w:rsidR="003E2BA2" w:rsidRPr="003E2BA2" w:rsidRDefault="003E2BA2" w:rsidP="003E2BA2"/>
    <w:p w:rsidR="003E2BA2" w:rsidRPr="003E2BA2" w:rsidRDefault="003E2BA2" w:rsidP="003E2BA2"/>
    <w:p w:rsidR="003E2BA2" w:rsidRDefault="00912630" w:rsidP="003E2BA2">
      <w:r>
        <w:rPr>
          <w:noProof/>
        </w:rPr>
        <w:pict>
          <v:shape id="Text Box 2" o:spid="_x0000_s1026" type="#_x0000_t202" style="position:absolute;margin-left:18.4pt;margin-top:-.05pt;width:433.35pt;height:80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0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" filled="f" stroked="f">
            <v:textbox>
              <w:txbxContent>
                <w:p w:rsidR="00DF7899" w:rsidRPr="00BE7D3C" w:rsidRDefault="00FF4D62" w:rsidP="00BE7D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Fig.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S2</w:t>
                  </w:r>
                  <w:r w:rsidR="00EC571C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DF7899" w:rsidRPr="00BE7D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4290C">
                    <w:rPr>
                      <w:rFonts w:ascii="Times New Roman" w:hAnsi="Times New Roman" w:cs="Times New Roman"/>
                      <w:b/>
                    </w:rPr>
                    <w:t xml:space="preserve">Control </w:t>
                  </w:r>
                  <w:proofErr w:type="spellStart"/>
                  <w:r w:rsidR="0094290C"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="00DF7899" w:rsidRPr="00BE7D3C">
                    <w:rPr>
                      <w:rFonts w:ascii="Times New Roman" w:hAnsi="Times New Roman" w:cs="Times New Roman"/>
                      <w:b/>
                    </w:rPr>
                    <w:t>iposome</w:t>
                  </w:r>
                  <w:r w:rsidR="009A4D6C">
                    <w:rPr>
                      <w:rFonts w:ascii="Times New Roman" w:hAnsi="Times New Roman" w:cs="Times New Roman"/>
                      <w:b/>
                    </w:rPr>
                    <w:t>s</w:t>
                  </w:r>
                  <w:proofErr w:type="spellEnd"/>
                  <w:r w:rsidR="009A4D6C">
                    <w:rPr>
                      <w:rFonts w:ascii="Times New Roman" w:hAnsi="Times New Roman" w:cs="Times New Roman"/>
                      <w:b/>
                    </w:rPr>
                    <w:t xml:space="preserve"> (without </w:t>
                  </w:r>
                  <w:proofErr w:type="spellStart"/>
                  <w:r w:rsidR="009A4D6C"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="0094290C">
                    <w:rPr>
                      <w:rFonts w:ascii="Times New Roman" w:hAnsi="Times New Roman" w:cs="Times New Roman"/>
                      <w:b/>
                    </w:rPr>
                    <w:t>lodronate</w:t>
                  </w:r>
                  <w:proofErr w:type="spellEnd"/>
                  <w:r w:rsidR="0094290C">
                    <w:rPr>
                      <w:rFonts w:ascii="Times New Roman" w:hAnsi="Times New Roman" w:cs="Times New Roman"/>
                      <w:b/>
                    </w:rPr>
                    <w:t>) did</w:t>
                  </w:r>
                  <w:r w:rsidR="00CD2F1F">
                    <w:rPr>
                      <w:rFonts w:ascii="Times New Roman" w:hAnsi="Times New Roman" w:cs="Times New Roman"/>
                      <w:b/>
                    </w:rPr>
                    <w:t xml:space="preserve"> not deplete macrophages </w:t>
                  </w:r>
                  <w:r w:rsidR="0094290C">
                    <w:rPr>
                      <w:rFonts w:ascii="Times New Roman" w:hAnsi="Times New Roman" w:cs="Times New Roman"/>
                      <w:b/>
                    </w:rPr>
                    <w:t>or</w:t>
                  </w:r>
                  <w:r w:rsidR="00DF7899" w:rsidRPr="00BE7D3C">
                    <w:rPr>
                      <w:rFonts w:ascii="Times New Roman" w:hAnsi="Times New Roman" w:cs="Times New Roman"/>
                      <w:b/>
                    </w:rPr>
                    <w:t xml:space="preserve"> attenuate CNT-induced inflammation.</w:t>
                  </w:r>
                  <w:r w:rsidR="00DF7899" w:rsidRPr="00BE7D3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E7D3C" w:rsidRPr="00BE7D3C">
                    <w:rPr>
                      <w:rFonts w:ascii="Times New Roman" w:hAnsi="Times New Roman" w:cs="Times New Roman"/>
                    </w:rPr>
                    <w:t>50µL of 5mg/</w:t>
                  </w:r>
                  <w:proofErr w:type="spellStart"/>
                  <w:r w:rsidR="00BE7D3C" w:rsidRPr="00BE7D3C">
                    <w:rPr>
                      <w:rFonts w:ascii="Times New Roman" w:hAnsi="Times New Roman" w:cs="Times New Roman"/>
                    </w:rPr>
                    <w:t>mL</w:t>
                  </w:r>
                  <w:proofErr w:type="spellEnd"/>
                  <w:r w:rsidR="00BE7D3C" w:rsidRPr="00BE7D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17BFD">
                    <w:rPr>
                      <w:rFonts w:ascii="Times New Roman" w:hAnsi="Times New Roman" w:cs="Times New Roman"/>
                    </w:rPr>
                    <w:t xml:space="preserve">PBS </w:t>
                  </w:r>
                  <w:r w:rsidR="00BE7D3C" w:rsidRPr="00BE7D3C">
                    <w:rPr>
                      <w:rFonts w:ascii="Times New Roman" w:hAnsi="Times New Roman" w:cs="Times New Roman"/>
                    </w:rPr>
                    <w:t xml:space="preserve">suspension </w:t>
                  </w:r>
                  <w:r w:rsidR="0094290C">
                    <w:rPr>
                      <w:rFonts w:ascii="Times New Roman" w:hAnsi="Times New Roman" w:cs="Times New Roman"/>
                    </w:rPr>
                    <w:t xml:space="preserve">of </w:t>
                  </w:r>
                  <w:proofErr w:type="spellStart"/>
                  <w:r w:rsidR="00DF7899" w:rsidRPr="00BE7D3C">
                    <w:rPr>
                      <w:rFonts w:ascii="Times New Roman" w:hAnsi="Times New Roman" w:cs="Times New Roman"/>
                    </w:rPr>
                    <w:t>liposomes</w:t>
                  </w:r>
                  <w:proofErr w:type="spellEnd"/>
                  <w:r w:rsidR="00DF7899" w:rsidRPr="00BE7D3C">
                    <w:rPr>
                      <w:rFonts w:ascii="Times New Roman" w:hAnsi="Times New Roman" w:cs="Times New Roman"/>
                    </w:rPr>
                    <w:t xml:space="preserve"> were administered to mice 8h prior to exposure to 4mg/kg CNTs and cells were enumerated in BAL fluid.  Left: Liposom</w:t>
                  </w:r>
                  <w:r w:rsidR="00BE7D3C" w:rsidRPr="00BE7D3C">
                    <w:rPr>
                      <w:rFonts w:ascii="Times New Roman" w:hAnsi="Times New Roman" w:cs="Times New Roman"/>
                    </w:rPr>
                    <w:t>al PBS [</w:t>
                  </w:r>
                  <w:proofErr w:type="gramStart"/>
                  <w:r w:rsidR="00DF7899" w:rsidRPr="00BE7D3C">
                    <w:rPr>
                      <w:rFonts w:ascii="Times New Roman" w:hAnsi="Times New Roman" w:cs="Times New Roman"/>
                    </w:rPr>
                    <w:t>L</w:t>
                  </w:r>
                  <w:r w:rsidR="00BE7D3C" w:rsidRPr="00BE7D3C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proofErr w:type="gramEnd"/>
                  <w:r w:rsidR="00DF7899" w:rsidRPr="00BE7D3C">
                    <w:rPr>
                      <w:rFonts w:ascii="Times New Roman" w:hAnsi="Times New Roman" w:cs="Times New Roman"/>
                    </w:rPr>
                    <w:t>pbs</w:t>
                  </w:r>
                  <w:proofErr w:type="spellEnd"/>
                  <w:r w:rsidR="00BE7D3C" w:rsidRPr="00BE7D3C">
                    <w:rPr>
                      <w:rFonts w:ascii="Times New Roman" w:hAnsi="Times New Roman" w:cs="Times New Roman"/>
                    </w:rPr>
                    <w:t>)]</w:t>
                  </w:r>
                  <w:r w:rsidR="00DF7899" w:rsidRPr="00BE7D3C">
                    <w:rPr>
                      <w:rFonts w:ascii="Times New Roman" w:hAnsi="Times New Roman" w:cs="Times New Roman"/>
                    </w:rPr>
                    <w:t xml:space="preserve"> did not deplete AMs.  Right: </w:t>
                  </w:r>
                  <w:proofErr w:type="gramStart"/>
                  <w:r w:rsidR="00BE7D3C" w:rsidRPr="00BE7D3C">
                    <w:rPr>
                      <w:rFonts w:ascii="Times New Roman" w:hAnsi="Times New Roman" w:cs="Times New Roman"/>
                    </w:rPr>
                    <w:t>L(</w:t>
                  </w:r>
                  <w:proofErr w:type="spellStart"/>
                  <w:proofErr w:type="gramEnd"/>
                  <w:r w:rsidR="00BE7D3C" w:rsidRPr="00BE7D3C">
                    <w:rPr>
                      <w:rFonts w:ascii="Times New Roman" w:hAnsi="Times New Roman" w:cs="Times New Roman"/>
                    </w:rPr>
                    <w:t>pbs</w:t>
                  </w:r>
                  <w:proofErr w:type="spellEnd"/>
                  <w:r w:rsidR="00BE7D3C" w:rsidRPr="00BE7D3C">
                    <w:rPr>
                      <w:rFonts w:ascii="Times New Roman" w:hAnsi="Times New Roman" w:cs="Times New Roman"/>
                    </w:rPr>
                    <w:t xml:space="preserve">) pretreatment increased </w:t>
                  </w:r>
                  <w:proofErr w:type="spellStart"/>
                  <w:r w:rsidR="00BE7D3C" w:rsidRPr="00BE7D3C">
                    <w:rPr>
                      <w:rFonts w:ascii="Times New Roman" w:hAnsi="Times New Roman" w:cs="Times New Roman"/>
                    </w:rPr>
                    <w:t>neutrophilia</w:t>
                  </w:r>
                  <w:proofErr w:type="spellEnd"/>
                  <w:r w:rsidR="00BE7D3C" w:rsidRPr="00BE7D3C">
                    <w:rPr>
                      <w:rFonts w:ascii="Times New Roman" w:hAnsi="Times New Roman" w:cs="Times New Roman"/>
                    </w:rPr>
                    <w:t xml:space="preserve"> over 24h of CNT exposure relative to CNT exposure alone.</w:t>
                  </w:r>
                </w:p>
              </w:txbxContent>
            </v:textbox>
          </v:shape>
        </w:pict>
      </w:r>
    </w:p>
    <w:p w:rsidR="00CC7EEE" w:rsidRDefault="00CC7EEE" w:rsidP="003E2BA2"/>
    <w:p w:rsidR="005A2F76" w:rsidRDefault="005A2F76" w:rsidP="003E2BA2">
      <w:pPr>
        <w:tabs>
          <w:tab w:val="left" w:pos="1328"/>
        </w:tabs>
      </w:pPr>
    </w:p>
    <w:p w:rsidR="005A2F76" w:rsidRDefault="005A2F76" w:rsidP="003E2BA2">
      <w:pPr>
        <w:tabs>
          <w:tab w:val="left" w:pos="1328"/>
        </w:tabs>
      </w:pPr>
    </w:p>
    <w:p w:rsidR="005A2F76" w:rsidRDefault="005A2F76" w:rsidP="005A2F76">
      <w:pPr>
        <w:tabs>
          <w:tab w:val="left" w:pos="1328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408959" cy="2195156"/>
            <wp:effectExtent l="19050" t="0" r="1241" b="0"/>
            <wp:docPr id="2" name="Picture 1" descr="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959" cy="21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F76" w:rsidRPr="00C00A1E" w:rsidRDefault="005A2F76" w:rsidP="005A2F76">
      <w:pPr>
        <w:spacing w:line="480" w:lineRule="auto"/>
        <w:ind w:right="360"/>
        <w:jc w:val="both"/>
        <w:rPr>
          <w:rFonts w:ascii="Times New Roman" w:hAnsi="Times New Roman" w:cs="Times New Roman"/>
        </w:rPr>
      </w:pPr>
      <w:r w:rsidRPr="005A2F76">
        <w:rPr>
          <w:rFonts w:ascii="Times New Roman" w:hAnsi="Times New Roman" w:cs="Times New Roman"/>
          <w:b/>
        </w:rPr>
        <w:t>Fig S3</w:t>
      </w:r>
      <w:r w:rsidRPr="005A2F76">
        <w:rPr>
          <w:rFonts w:ascii="Times New Roman" w:hAnsi="Times New Roman" w:cs="Times New Roman"/>
          <w:b/>
          <w:bCs/>
        </w:rPr>
        <w:t>: CNT</w:t>
      </w:r>
      <w:r w:rsidRPr="004E1E6D">
        <w:rPr>
          <w:rFonts w:ascii="Times New Roman" w:hAnsi="Times New Roman" w:cs="Times New Roman"/>
          <w:b/>
          <w:bCs/>
        </w:rPr>
        <w:t xml:space="preserve"> exposure caused increased production of pro-inflammatory cytokines in AMs </w:t>
      </w:r>
      <w:r w:rsidRPr="004E1E6D">
        <w:rPr>
          <w:rFonts w:ascii="Times New Roman" w:hAnsi="Times New Roman" w:cs="Times New Roman"/>
          <w:b/>
          <w:bCs/>
          <w:i/>
          <w:iCs/>
        </w:rPr>
        <w:t xml:space="preserve">in vitro </w:t>
      </w:r>
      <w:r w:rsidRPr="004E1E6D">
        <w:rPr>
          <w:rFonts w:ascii="Times New Roman" w:hAnsi="Times New Roman" w:cs="Times New Roman"/>
          <w:b/>
          <w:bCs/>
        </w:rPr>
        <w:t xml:space="preserve">tested using MH-S cells.  </w:t>
      </w:r>
      <w:r w:rsidRPr="004E1E6D">
        <w:rPr>
          <w:rFonts w:ascii="Times New Roman" w:hAnsi="Times New Roman" w:cs="Times New Roman"/>
        </w:rPr>
        <w:t>Left: AMs in culture were exposed to increasing doses of CNTs for 24h and TNF</w:t>
      </w:r>
      <w:r w:rsidRPr="004E1E6D">
        <w:rPr>
          <w:rFonts w:ascii="Times New Roman" w:hAnsi="Times New Roman" w:cs="Times New Roman"/>
          <w:lang w:val="el-GR"/>
        </w:rPr>
        <w:t>α</w:t>
      </w:r>
      <w:r w:rsidRPr="004E1E6D">
        <w:rPr>
          <w:rFonts w:ascii="Times New Roman" w:hAnsi="Times New Roman" w:cs="Times New Roman"/>
        </w:rPr>
        <w:t xml:space="preserve"> and IL-1ß were quantified</w:t>
      </w:r>
      <w:r>
        <w:rPr>
          <w:rFonts w:ascii="Times New Roman" w:hAnsi="Times New Roman" w:cs="Times New Roman"/>
        </w:rPr>
        <w:t xml:space="preserve"> (A and B, respectively).  </w:t>
      </w:r>
      <w:r w:rsidRPr="004E1E6D">
        <w:rPr>
          <w:rFonts w:ascii="Times New Roman" w:hAnsi="Times New Roman" w:cs="Times New Roman"/>
        </w:rPr>
        <w:t>AMs were exposed to 400µg/</w:t>
      </w:r>
      <w:proofErr w:type="spellStart"/>
      <w:r w:rsidRPr="004E1E6D">
        <w:rPr>
          <w:rFonts w:ascii="Times New Roman" w:hAnsi="Times New Roman" w:cs="Times New Roman"/>
        </w:rPr>
        <w:t>mL</w:t>
      </w:r>
      <w:proofErr w:type="spellEnd"/>
      <w:r w:rsidRPr="004E1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concentration of </w:t>
      </w:r>
      <w:r w:rsidRPr="004E1E6D">
        <w:rPr>
          <w:rFonts w:ascii="Times New Roman" w:hAnsi="Times New Roman" w:cs="Times New Roman"/>
        </w:rPr>
        <w:t>CNT</w:t>
      </w:r>
      <w:r>
        <w:rPr>
          <w:rFonts w:ascii="Times New Roman" w:hAnsi="Times New Roman" w:cs="Times New Roman"/>
        </w:rPr>
        <w:t>s</w:t>
      </w:r>
      <w:r w:rsidR="00C008BF">
        <w:rPr>
          <w:rFonts w:ascii="Times New Roman" w:hAnsi="Times New Roman" w:cs="Times New Roman"/>
        </w:rPr>
        <w:t xml:space="preserve"> or vehicle (VH)</w:t>
      </w:r>
      <w:r w:rsidRPr="004E1E6D">
        <w:rPr>
          <w:rFonts w:ascii="Times New Roman" w:hAnsi="Times New Roman" w:cs="Times New Roman"/>
        </w:rPr>
        <w:t xml:space="preserve"> for increasing time</w:t>
      </w:r>
      <w:r>
        <w:rPr>
          <w:rFonts w:ascii="Times New Roman" w:hAnsi="Times New Roman" w:cs="Times New Roman"/>
        </w:rPr>
        <w:t xml:space="preserve"> </w:t>
      </w:r>
      <w:r w:rsidRPr="004E1E6D">
        <w:rPr>
          <w:rFonts w:ascii="Times New Roman" w:hAnsi="Times New Roman" w:cs="Times New Roman"/>
        </w:rPr>
        <w:t>points</w:t>
      </w:r>
      <w:r>
        <w:rPr>
          <w:rFonts w:ascii="Times New Roman" w:hAnsi="Times New Roman" w:cs="Times New Roman"/>
        </w:rPr>
        <w:t xml:space="preserve"> (C and D)</w:t>
      </w:r>
      <w:r w:rsidRPr="004E1E6D">
        <w:rPr>
          <w:rFonts w:ascii="Times New Roman" w:hAnsi="Times New Roman" w:cs="Times New Roman"/>
        </w:rPr>
        <w:t xml:space="preserve">. </w:t>
      </w:r>
    </w:p>
    <w:p w:rsidR="003E2BA2" w:rsidRPr="003E2BA2" w:rsidRDefault="003E2BA2" w:rsidP="005A2F76">
      <w:pPr>
        <w:tabs>
          <w:tab w:val="left" w:pos="1328"/>
        </w:tabs>
      </w:pPr>
    </w:p>
    <w:sectPr w:rsidR="003E2BA2" w:rsidRPr="003E2BA2" w:rsidSect="0036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C39F8"/>
    <w:rsid w:val="00004297"/>
    <w:rsid w:val="00006939"/>
    <w:rsid w:val="000335C7"/>
    <w:rsid w:val="00080826"/>
    <w:rsid w:val="00085EE0"/>
    <w:rsid w:val="000B424C"/>
    <w:rsid w:val="000C25FA"/>
    <w:rsid w:val="000D6016"/>
    <w:rsid w:val="0010443B"/>
    <w:rsid w:val="00125386"/>
    <w:rsid w:val="00134097"/>
    <w:rsid w:val="001648C1"/>
    <w:rsid w:val="00176400"/>
    <w:rsid w:val="001F6B2E"/>
    <w:rsid w:val="00211DAE"/>
    <w:rsid w:val="00246F02"/>
    <w:rsid w:val="00360C07"/>
    <w:rsid w:val="00365EA6"/>
    <w:rsid w:val="0039085D"/>
    <w:rsid w:val="003A75EE"/>
    <w:rsid w:val="003E2BA2"/>
    <w:rsid w:val="003E4480"/>
    <w:rsid w:val="004002F4"/>
    <w:rsid w:val="00445A70"/>
    <w:rsid w:val="004B5D31"/>
    <w:rsid w:val="00510723"/>
    <w:rsid w:val="00527168"/>
    <w:rsid w:val="005A2F76"/>
    <w:rsid w:val="005B5C72"/>
    <w:rsid w:val="005C74AC"/>
    <w:rsid w:val="005F183F"/>
    <w:rsid w:val="005F3561"/>
    <w:rsid w:val="005F48F3"/>
    <w:rsid w:val="00660FFB"/>
    <w:rsid w:val="006D4370"/>
    <w:rsid w:val="007E6ABE"/>
    <w:rsid w:val="00802E12"/>
    <w:rsid w:val="00864DD8"/>
    <w:rsid w:val="00864F8C"/>
    <w:rsid w:val="008A1E24"/>
    <w:rsid w:val="00912630"/>
    <w:rsid w:val="0094290C"/>
    <w:rsid w:val="00980BBB"/>
    <w:rsid w:val="009A4D6C"/>
    <w:rsid w:val="009E16A9"/>
    <w:rsid w:val="009E2484"/>
    <w:rsid w:val="009F6F2B"/>
    <w:rsid w:val="00A06EE0"/>
    <w:rsid w:val="00A546A6"/>
    <w:rsid w:val="00AC39F8"/>
    <w:rsid w:val="00BC66AA"/>
    <w:rsid w:val="00BD2344"/>
    <w:rsid w:val="00BE7D3C"/>
    <w:rsid w:val="00C008BF"/>
    <w:rsid w:val="00C30D92"/>
    <w:rsid w:val="00C36399"/>
    <w:rsid w:val="00CC7EEE"/>
    <w:rsid w:val="00CD2D3A"/>
    <w:rsid w:val="00CD2F1F"/>
    <w:rsid w:val="00CE1E09"/>
    <w:rsid w:val="00CE3540"/>
    <w:rsid w:val="00D17BFD"/>
    <w:rsid w:val="00D36B61"/>
    <w:rsid w:val="00D920E8"/>
    <w:rsid w:val="00DA6B6A"/>
    <w:rsid w:val="00DC6E6C"/>
    <w:rsid w:val="00DD63FC"/>
    <w:rsid w:val="00DF7899"/>
    <w:rsid w:val="00EA5B51"/>
    <w:rsid w:val="00EA5ED4"/>
    <w:rsid w:val="00EC571C"/>
    <w:rsid w:val="00EC5812"/>
    <w:rsid w:val="00EF543A"/>
    <w:rsid w:val="00F61D2A"/>
    <w:rsid w:val="00F7285C"/>
    <w:rsid w:val="00FD0AA3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F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1DAE"/>
    <w:rPr>
      <w:color w:val="0000FF"/>
      <w:u w:val="single"/>
    </w:rPr>
  </w:style>
  <w:style w:type="character" w:customStyle="1" w:styleId="highlight">
    <w:name w:val="highlight"/>
    <w:basedOn w:val="DefaultParagraphFont"/>
    <w:rsid w:val="00211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FD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9F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1DAE"/>
    <w:rPr>
      <w:color w:val="0000FF"/>
      <w:u w:val="single"/>
    </w:rPr>
  </w:style>
  <w:style w:type="character" w:customStyle="1" w:styleId="highlight">
    <w:name w:val="highlight"/>
    <w:basedOn w:val="DefaultParagraphFont"/>
    <w:rsid w:val="00211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F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hesis%20work%20in%20nanotoxicology\Animal%20Models\Macrophage%20Depletion\mac%20depletion%20x%20CNT%20vs%20Cf-1%20lung,%209-12\pbs%20liposomes%20+%20NP,%2011-12\diff%20coun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hesis%20work%20in%20nanotoxicology\Animal%20Models\Macrophage%20Depletion\mac%20depletion%20x%20CNT%20vs%20Cf-1%20lung,%209-12\pbs%20liposomes%20+%20NP,%2011-12\diff%20coun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0539595050618714"/>
          <c:y val="7.7540106951871787E-2"/>
          <c:w val="0.50294319460067483"/>
          <c:h val="0.57773801002147696"/>
        </c:manualLayout>
      </c:layout>
      <c:scatterChart>
        <c:scatterStyle val="smoothMarker"/>
        <c:ser>
          <c:idx val="0"/>
          <c:order val="0"/>
          <c:tx>
            <c:strRef>
              <c:f>Sheet1!$H$39</c:f>
              <c:strCache>
                <c:ptCount val="1"/>
                <c:pt idx="0">
                  <c:v>CNT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Sheet1!$K$40:$K$42</c:f>
                <c:numCache>
                  <c:formatCode>General</c:formatCode>
                  <c:ptCount val="3"/>
                  <c:pt idx="0">
                    <c:v>0.22840805130115385</c:v>
                  </c:pt>
                  <c:pt idx="1">
                    <c:v>13.568722666556091</c:v>
                  </c:pt>
                  <c:pt idx="2">
                    <c:v>3.4790973524371802</c:v>
                  </c:pt>
                </c:numCache>
              </c:numRef>
            </c:plus>
            <c:minus>
              <c:numRef>
                <c:f>Sheet1!$K$40:$K$42</c:f>
                <c:numCache>
                  <c:formatCode>General</c:formatCode>
                  <c:ptCount val="3"/>
                  <c:pt idx="0">
                    <c:v>0.22840805130115385</c:v>
                  </c:pt>
                  <c:pt idx="1">
                    <c:v>13.568722666556091</c:v>
                  </c:pt>
                  <c:pt idx="2">
                    <c:v>3.4790973524371802</c:v>
                  </c:pt>
                </c:numCache>
              </c:numRef>
            </c:minus>
          </c:errBars>
          <c:xVal>
            <c:numRef>
              <c:f>Sheet1!$G$40:$G$42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24</c:v>
                </c:pt>
              </c:numCache>
            </c:numRef>
          </c:xVal>
          <c:yVal>
            <c:numRef>
              <c:f>Sheet1!$H$40:$H$42</c:f>
              <c:numCache>
                <c:formatCode>General</c:formatCode>
                <c:ptCount val="3"/>
                <c:pt idx="0">
                  <c:v>3.129713423831075E-2</c:v>
                </c:pt>
                <c:pt idx="1">
                  <c:v>15.572257683818664</c:v>
                </c:pt>
                <c:pt idx="2">
                  <c:v>26.993506658881138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Sheet1!$I$39</c:f>
              <c:strCache>
                <c:ptCount val="1"/>
                <c:pt idx="0">
                  <c:v>L(pbs)+CNT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Sheet1!$K$40:$K$42</c:f>
                <c:numCache>
                  <c:formatCode>General</c:formatCode>
                  <c:ptCount val="3"/>
                  <c:pt idx="0">
                    <c:v>0.22840805130115385</c:v>
                  </c:pt>
                  <c:pt idx="1">
                    <c:v>13.568722666556091</c:v>
                  </c:pt>
                  <c:pt idx="2">
                    <c:v>3.4790973524371802</c:v>
                  </c:pt>
                </c:numCache>
              </c:numRef>
            </c:plus>
            <c:minus>
              <c:numRef>
                <c:f>Sheet1!$K$40:$K$42</c:f>
                <c:numCache>
                  <c:formatCode>General</c:formatCode>
                  <c:ptCount val="3"/>
                  <c:pt idx="0">
                    <c:v>0.22840805130115385</c:v>
                  </c:pt>
                  <c:pt idx="1">
                    <c:v>13.568722666556091</c:v>
                  </c:pt>
                  <c:pt idx="2">
                    <c:v>3.4790973524371802</c:v>
                  </c:pt>
                </c:numCache>
              </c:numRef>
            </c:minus>
          </c:errBars>
          <c:xVal>
            <c:numRef>
              <c:f>Sheet1!$G$40:$G$42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24</c:v>
                </c:pt>
              </c:numCache>
            </c:numRef>
          </c:xVal>
          <c:yVal>
            <c:numRef>
              <c:f>Sheet1!$I$40:$I$42</c:f>
              <c:numCache>
                <c:formatCode>General</c:formatCode>
                <c:ptCount val="3"/>
                <c:pt idx="0">
                  <c:v>20.573155197293197</c:v>
                </c:pt>
                <c:pt idx="1">
                  <c:v>43.762744547119553</c:v>
                </c:pt>
                <c:pt idx="2">
                  <c:v>40.392605367753475</c:v>
                </c:pt>
              </c:numCache>
            </c:numRef>
          </c:yVal>
          <c:smooth val="1"/>
        </c:ser>
        <c:axId val="76022912"/>
        <c:axId val="76219136"/>
      </c:scatterChart>
      <c:valAx>
        <c:axId val="76022912"/>
        <c:scaling>
          <c:orientation val="minMax"/>
          <c:max val="25"/>
          <c:min val="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Hours</a:t>
                </a:r>
              </a:p>
            </c:rich>
          </c:tx>
          <c:layout/>
        </c:title>
        <c:numFmt formatCode="General" sourceLinked="1"/>
        <c:tickLblPos val="nextTo"/>
        <c:crossAx val="76219136"/>
        <c:crosses val="autoZero"/>
        <c:crossBetween val="midCat"/>
        <c:majorUnit val="12"/>
      </c:valAx>
      <c:valAx>
        <c:axId val="7621913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Cells (x104 /animal)</a:t>
                </a:r>
              </a:p>
            </c:rich>
          </c:tx>
          <c:layout>
            <c:manualLayout>
              <c:xMode val="edge"/>
              <c:yMode val="edge"/>
              <c:x val="3.9285714285714347E-2"/>
              <c:y val="7.7540106951871732E-2"/>
            </c:manualLayout>
          </c:layout>
        </c:title>
        <c:numFmt formatCode="General" sourceLinked="1"/>
        <c:tickLblPos val="nextTo"/>
        <c:crossAx val="760229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3691057367829238"/>
          <c:y val="0.20469493452355886"/>
          <c:w val="0.25951799775028217"/>
          <c:h val="0.4361240941139053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Sheet1!$D$40:$E$40</c:f>
                <c:numCache>
                  <c:formatCode>General</c:formatCode>
                  <c:ptCount val="2"/>
                  <c:pt idx="0">
                    <c:v>7.3124064446403949</c:v>
                  </c:pt>
                  <c:pt idx="1">
                    <c:v>2.0366163513444824</c:v>
                  </c:pt>
                </c:numCache>
              </c:numRef>
            </c:plus>
            <c:minus>
              <c:numRef>
                <c:f>Sheet1!$D$40:$E$40</c:f>
                <c:numCache>
                  <c:formatCode>General</c:formatCode>
                  <c:ptCount val="2"/>
                  <c:pt idx="0">
                    <c:v>7.3124064446403949</c:v>
                  </c:pt>
                  <c:pt idx="1">
                    <c:v>2.0366163513444824</c:v>
                  </c:pt>
                </c:numCache>
              </c:numRef>
            </c:minus>
          </c:errBars>
          <c:cat>
            <c:strRef>
              <c:f>Sheet1!$B$39:$C$39</c:f>
              <c:strCache>
                <c:ptCount val="2"/>
                <c:pt idx="0">
                  <c:v>CNT</c:v>
                </c:pt>
                <c:pt idx="1">
                  <c:v>L(pbs)+CNT</c:v>
                </c:pt>
              </c:strCache>
            </c:strRef>
          </c:cat>
          <c:val>
            <c:numRef>
              <c:f>Sheet1!$B$40:$C$40</c:f>
              <c:numCache>
                <c:formatCode>General</c:formatCode>
                <c:ptCount val="2"/>
                <c:pt idx="0">
                  <c:v>28.910603449755389</c:v>
                </c:pt>
                <c:pt idx="1">
                  <c:v>25.0883524904214</c:v>
                </c:pt>
              </c:numCache>
            </c:numRef>
          </c:val>
        </c:ser>
        <c:axId val="76081408"/>
        <c:axId val="76361728"/>
      </c:barChart>
      <c:catAx>
        <c:axId val="76081408"/>
        <c:scaling>
          <c:orientation val="minMax"/>
        </c:scaling>
        <c:axPos val="b"/>
        <c:tickLblPos val="nextTo"/>
        <c:crossAx val="76361728"/>
        <c:crosses val="autoZero"/>
        <c:auto val="1"/>
        <c:lblAlgn val="ctr"/>
        <c:lblOffset val="100"/>
      </c:catAx>
      <c:valAx>
        <c:axId val="76361728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US" sz="1100" b="0"/>
                  <a:t>AMs (x104 cells/animal)</a:t>
                </a:r>
              </a:p>
            </c:rich>
          </c:tx>
          <c:layout>
            <c:manualLayout>
              <c:xMode val="edge"/>
              <c:yMode val="edge"/>
              <c:x val="6.0585631578807884E-2"/>
              <c:y val="5.9207639152058039E-2"/>
            </c:manualLayout>
          </c:layout>
        </c:title>
        <c:numFmt formatCode="General" sourceLinked="1"/>
        <c:tickLblPos val="nextTo"/>
        <c:crossAx val="760814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6</cp:revision>
  <dcterms:created xsi:type="dcterms:W3CDTF">2014-10-24T21:25:00Z</dcterms:created>
  <dcterms:modified xsi:type="dcterms:W3CDTF">2015-04-22T00:10:00Z</dcterms:modified>
</cp:coreProperties>
</file>