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D9E" w:rsidRDefault="00E74D9E" w:rsidP="00E74D9E">
      <w:pPr>
        <w:jc w:val="center"/>
        <w:rPr>
          <w:sz w:val="24"/>
          <w:szCs w:val="24"/>
        </w:rPr>
      </w:pPr>
      <w:r>
        <w:rPr>
          <w:sz w:val="24"/>
          <w:szCs w:val="24"/>
        </w:rPr>
        <w:t>ONLINE SUPPLEMENT TO</w:t>
      </w:r>
    </w:p>
    <w:p w:rsidR="00E74D9E" w:rsidRDefault="00E74D9E" w:rsidP="00E74D9E">
      <w:pPr>
        <w:spacing w:after="0"/>
        <w:jc w:val="center"/>
        <w:rPr>
          <w:sz w:val="24"/>
          <w:szCs w:val="24"/>
        </w:rPr>
      </w:pPr>
      <w:r>
        <w:rPr>
          <w:sz w:val="24"/>
          <w:szCs w:val="24"/>
        </w:rPr>
        <w:t>T</w:t>
      </w:r>
      <w:r w:rsidRPr="009F19FC">
        <w:rPr>
          <w:sz w:val="24"/>
          <w:szCs w:val="24"/>
        </w:rPr>
        <w:t>uberculosis infection</w:t>
      </w:r>
      <w:r>
        <w:rPr>
          <w:sz w:val="24"/>
          <w:szCs w:val="24"/>
        </w:rPr>
        <w:t xml:space="preserve"> in the United States</w:t>
      </w:r>
      <w:r w:rsidRPr="009F19FC">
        <w:rPr>
          <w:sz w:val="24"/>
          <w:szCs w:val="24"/>
        </w:rPr>
        <w:t xml:space="preserve">: </w:t>
      </w:r>
      <w:r>
        <w:rPr>
          <w:sz w:val="24"/>
          <w:szCs w:val="24"/>
        </w:rPr>
        <w:t>Prevalence estimates from the National Health and Nutrition E</w:t>
      </w:r>
      <w:r w:rsidRPr="009F19FC">
        <w:rPr>
          <w:sz w:val="24"/>
          <w:szCs w:val="24"/>
        </w:rPr>
        <w:t xml:space="preserve">xamination </w:t>
      </w:r>
      <w:r>
        <w:rPr>
          <w:sz w:val="24"/>
          <w:szCs w:val="24"/>
        </w:rPr>
        <w:t>S</w:t>
      </w:r>
      <w:r w:rsidRPr="009F19FC">
        <w:rPr>
          <w:sz w:val="24"/>
          <w:szCs w:val="24"/>
        </w:rPr>
        <w:t>urvey,</w:t>
      </w:r>
      <w:r>
        <w:rPr>
          <w:sz w:val="24"/>
          <w:szCs w:val="24"/>
        </w:rPr>
        <w:t xml:space="preserve"> 2011-2012</w:t>
      </w:r>
    </w:p>
    <w:p w:rsidR="00E74D9E" w:rsidRDefault="00E74D9E" w:rsidP="00E74D9E">
      <w:pPr>
        <w:spacing w:after="0"/>
        <w:rPr>
          <w:sz w:val="24"/>
          <w:szCs w:val="24"/>
        </w:rPr>
      </w:pPr>
    </w:p>
    <w:p w:rsidR="00E74D9E" w:rsidRPr="00B035DF" w:rsidRDefault="00E74D9E" w:rsidP="00E74D9E">
      <w:pPr>
        <w:spacing w:after="0"/>
        <w:rPr>
          <w:sz w:val="24"/>
          <w:szCs w:val="24"/>
        </w:rPr>
      </w:pPr>
      <w:r w:rsidRPr="00B035DF">
        <w:rPr>
          <w:sz w:val="24"/>
          <w:szCs w:val="24"/>
        </w:rPr>
        <w:t>Roque Miramontes, Andrew Hill, Rachel Yelk Woodruff, Lauren Lambert, Thomas Navin, Kenneth Castro, Phil</w:t>
      </w:r>
      <w:r>
        <w:rPr>
          <w:sz w:val="24"/>
          <w:szCs w:val="24"/>
        </w:rPr>
        <w:t>ip</w:t>
      </w:r>
      <w:r w:rsidRPr="00B035DF">
        <w:rPr>
          <w:sz w:val="24"/>
          <w:szCs w:val="24"/>
        </w:rPr>
        <w:t xml:space="preserve"> LoBue</w:t>
      </w:r>
    </w:p>
    <w:p w:rsidR="00E74D9E" w:rsidRDefault="00E74D9E">
      <w:pPr>
        <w:rPr>
          <w:sz w:val="24"/>
          <w:szCs w:val="24"/>
        </w:rPr>
      </w:pPr>
    </w:p>
    <w:p w:rsidR="00A36C6E" w:rsidRPr="00B057CD" w:rsidRDefault="008871F3">
      <w:pPr>
        <w:rPr>
          <w:sz w:val="24"/>
          <w:szCs w:val="24"/>
        </w:rPr>
      </w:pPr>
      <w:r w:rsidRPr="00B057CD">
        <w:rPr>
          <w:sz w:val="24"/>
          <w:szCs w:val="24"/>
        </w:rPr>
        <w:t>Methods</w:t>
      </w:r>
    </w:p>
    <w:p w:rsidR="00BC1739" w:rsidRPr="00B057CD" w:rsidRDefault="00A36C6E">
      <w:pPr>
        <w:rPr>
          <w:i/>
          <w:sz w:val="24"/>
          <w:szCs w:val="24"/>
        </w:rPr>
      </w:pPr>
      <w:r w:rsidRPr="00B057CD">
        <w:rPr>
          <w:i/>
          <w:sz w:val="24"/>
          <w:szCs w:val="24"/>
        </w:rPr>
        <w:t>Tuberculin Skin Testing</w:t>
      </w:r>
    </w:p>
    <w:p w:rsidR="00C21BBA" w:rsidRDefault="00E1192F" w:rsidP="00DB31DD">
      <w:pPr>
        <w:ind w:firstLine="720"/>
        <w:rPr>
          <w:sz w:val="24"/>
          <w:szCs w:val="24"/>
          <w:lang w:val="en"/>
        </w:rPr>
      </w:pPr>
      <w:r w:rsidRPr="00B057CD">
        <w:rPr>
          <w:sz w:val="24"/>
          <w:szCs w:val="24"/>
        </w:rPr>
        <w:t xml:space="preserve">Participants were eligible for the tuberculin skin test (TST) if they were at least 6 years of age, had completed the phlebotomy component of the NHANES medical examination, had never had a severe reaction to the tuberculin antigen, and were able to schedule a return visit between 46 and 76 hours after placement to have the skin test </w:t>
      </w:r>
      <w:r w:rsidR="001C6F97" w:rsidRPr="00B057CD">
        <w:rPr>
          <w:sz w:val="24"/>
          <w:szCs w:val="24"/>
        </w:rPr>
        <w:t xml:space="preserve">reaction </w:t>
      </w:r>
      <w:r w:rsidR="003E1AB8" w:rsidRPr="00B057CD">
        <w:rPr>
          <w:sz w:val="24"/>
          <w:szCs w:val="24"/>
        </w:rPr>
        <w:t xml:space="preserve">measured.  </w:t>
      </w:r>
      <w:r w:rsidR="000A17DC" w:rsidRPr="00B057CD">
        <w:rPr>
          <w:sz w:val="24"/>
          <w:szCs w:val="24"/>
        </w:rPr>
        <w:t>A trained phlebotomist or physician</w:t>
      </w:r>
      <w:r w:rsidR="003E1AB8" w:rsidRPr="00B057CD">
        <w:rPr>
          <w:sz w:val="24"/>
          <w:szCs w:val="24"/>
        </w:rPr>
        <w:t xml:space="preserve"> injected 0.1 ml of Tubersol</w:t>
      </w:r>
      <w:r w:rsidR="00C359B4">
        <w:rPr>
          <w:sz w:val="24"/>
          <w:szCs w:val="24"/>
        </w:rPr>
        <w:t>®</w:t>
      </w:r>
      <w:r w:rsidR="003E1AB8" w:rsidRPr="00B057CD">
        <w:rPr>
          <w:sz w:val="24"/>
          <w:szCs w:val="24"/>
        </w:rPr>
        <w:t xml:space="preserve"> (a commercially available purified protein derivative available from </w:t>
      </w:r>
      <w:r w:rsidR="009B23AE">
        <w:rPr>
          <w:sz w:val="24"/>
          <w:szCs w:val="24"/>
          <w:lang w:val="en"/>
        </w:rPr>
        <w:t>Sanofi</w:t>
      </w:r>
      <w:r w:rsidR="003E1AB8" w:rsidRPr="00B057CD">
        <w:rPr>
          <w:sz w:val="24"/>
          <w:szCs w:val="24"/>
          <w:lang w:val="en"/>
        </w:rPr>
        <w:t xml:space="preserve"> Pasteur) </w:t>
      </w:r>
      <w:proofErr w:type="spellStart"/>
      <w:r w:rsidR="003E1AB8" w:rsidRPr="00B057CD">
        <w:rPr>
          <w:sz w:val="24"/>
          <w:szCs w:val="24"/>
          <w:lang w:val="en"/>
        </w:rPr>
        <w:t>intradermally</w:t>
      </w:r>
      <w:proofErr w:type="spellEnd"/>
      <w:r w:rsidR="003E1AB8" w:rsidRPr="00B057CD">
        <w:rPr>
          <w:sz w:val="24"/>
          <w:szCs w:val="24"/>
          <w:lang w:val="en"/>
        </w:rPr>
        <w:t xml:space="preserve"> to the volar surface of the </w:t>
      </w:r>
      <w:r w:rsidR="0037642A" w:rsidRPr="00B057CD">
        <w:rPr>
          <w:sz w:val="24"/>
          <w:szCs w:val="24"/>
          <w:lang w:val="en"/>
        </w:rPr>
        <w:t xml:space="preserve">participant’s </w:t>
      </w:r>
      <w:r w:rsidR="003E1AB8" w:rsidRPr="00B057CD">
        <w:rPr>
          <w:sz w:val="24"/>
          <w:szCs w:val="24"/>
          <w:lang w:val="en"/>
        </w:rPr>
        <w:t xml:space="preserve">left forearm (or the right forearm if necessary) </w:t>
      </w:r>
      <w:r w:rsidR="00A54B31" w:rsidRPr="00B057CD">
        <w:rPr>
          <w:sz w:val="24"/>
          <w:szCs w:val="24"/>
          <w:lang w:val="en"/>
        </w:rPr>
        <w:t>at least two inche</w:t>
      </w:r>
      <w:r w:rsidR="006A3EE8" w:rsidRPr="00B057CD">
        <w:rPr>
          <w:sz w:val="24"/>
          <w:szCs w:val="24"/>
          <w:lang w:val="en"/>
        </w:rPr>
        <w:t>s from the elbow or wrist and away from veins, lesions, scars, hea</w:t>
      </w:r>
      <w:r w:rsidR="0068601A" w:rsidRPr="00B057CD">
        <w:rPr>
          <w:sz w:val="24"/>
          <w:szCs w:val="24"/>
          <w:lang w:val="en"/>
        </w:rPr>
        <w:t>vy hair, tattoos, or other conditions</w:t>
      </w:r>
      <w:r w:rsidR="006A3EE8" w:rsidRPr="00B057CD">
        <w:rPr>
          <w:sz w:val="24"/>
          <w:szCs w:val="24"/>
          <w:lang w:val="en"/>
        </w:rPr>
        <w:t xml:space="preserve"> that</w:t>
      </w:r>
      <w:r w:rsidR="000A17DC" w:rsidRPr="00B057CD">
        <w:rPr>
          <w:sz w:val="24"/>
          <w:szCs w:val="24"/>
          <w:lang w:val="en"/>
        </w:rPr>
        <w:t xml:space="preserve"> might make it difficult to measure</w:t>
      </w:r>
      <w:r w:rsidR="006A3EE8" w:rsidRPr="00B057CD">
        <w:rPr>
          <w:sz w:val="24"/>
          <w:szCs w:val="24"/>
          <w:lang w:val="en"/>
        </w:rPr>
        <w:t xml:space="preserve"> the TST result</w:t>
      </w:r>
      <w:r w:rsidR="00C359B4">
        <w:rPr>
          <w:sz w:val="24"/>
          <w:szCs w:val="24"/>
          <w:lang w:val="en"/>
        </w:rPr>
        <w:t xml:space="preserve"> </w:t>
      </w:r>
      <w:r w:rsidR="006243E5">
        <w:rPr>
          <w:sz w:val="24"/>
          <w:szCs w:val="24"/>
          <w:lang w:val="en"/>
        </w:rPr>
        <w:t>[</w:t>
      </w:r>
      <w:r w:rsidR="00C359B4">
        <w:rPr>
          <w:sz w:val="24"/>
          <w:szCs w:val="24"/>
          <w:lang w:val="en"/>
        </w:rPr>
        <w:t>1</w:t>
      </w:r>
      <w:r w:rsidR="006243E5">
        <w:rPr>
          <w:sz w:val="24"/>
          <w:szCs w:val="24"/>
          <w:lang w:val="en"/>
        </w:rPr>
        <w:t>]</w:t>
      </w:r>
      <w:r w:rsidR="006A3EE8" w:rsidRPr="00B057CD">
        <w:rPr>
          <w:sz w:val="24"/>
          <w:szCs w:val="24"/>
          <w:lang w:val="en"/>
        </w:rPr>
        <w:t xml:space="preserve">.  </w:t>
      </w:r>
      <w:r w:rsidR="003E1AB8" w:rsidRPr="00B057CD">
        <w:rPr>
          <w:sz w:val="24"/>
          <w:szCs w:val="24"/>
          <w:lang w:val="en"/>
        </w:rPr>
        <w:t>Immediately following injection of the antigen, the placer</w:t>
      </w:r>
      <w:r w:rsidR="003E1AB8">
        <w:rPr>
          <w:sz w:val="24"/>
          <w:szCs w:val="24"/>
          <w:lang w:val="en"/>
        </w:rPr>
        <w:t xml:space="preserve"> used a millimeter ruler to measure the tense skin elevation, or wheal, created by the antigen.  If the wheal was less than 6 millimeters </w:t>
      </w:r>
      <w:r w:rsidR="00FF5E6F">
        <w:rPr>
          <w:sz w:val="24"/>
          <w:szCs w:val="24"/>
          <w:lang w:val="en"/>
        </w:rPr>
        <w:t>in diameter</w:t>
      </w:r>
      <w:r w:rsidR="007A649F">
        <w:rPr>
          <w:sz w:val="24"/>
          <w:szCs w:val="24"/>
          <w:lang w:val="en"/>
        </w:rPr>
        <w:t>,</w:t>
      </w:r>
      <w:r w:rsidR="00FF5E6F">
        <w:rPr>
          <w:sz w:val="24"/>
          <w:szCs w:val="24"/>
          <w:lang w:val="en"/>
        </w:rPr>
        <w:t xml:space="preserve"> </w:t>
      </w:r>
      <w:r w:rsidR="003E1AB8">
        <w:rPr>
          <w:sz w:val="24"/>
          <w:szCs w:val="24"/>
          <w:lang w:val="en"/>
        </w:rPr>
        <w:t>the placem</w:t>
      </w:r>
      <w:r w:rsidR="00C8502B">
        <w:rPr>
          <w:sz w:val="24"/>
          <w:szCs w:val="24"/>
          <w:lang w:val="en"/>
        </w:rPr>
        <w:t xml:space="preserve">ent was repeated in an area of the forearm </w:t>
      </w:r>
      <w:r w:rsidR="003E1AB8">
        <w:rPr>
          <w:sz w:val="24"/>
          <w:szCs w:val="24"/>
          <w:lang w:val="en"/>
        </w:rPr>
        <w:t>at least 2 inches away from the first placement</w:t>
      </w:r>
      <w:r w:rsidR="00E6581F">
        <w:rPr>
          <w:sz w:val="24"/>
          <w:szCs w:val="24"/>
          <w:lang w:val="en"/>
        </w:rPr>
        <w:t xml:space="preserve">.  The participant was instructed to avoid scratching or placing creams, lotions or medications on the injection site.  </w:t>
      </w:r>
      <w:r w:rsidR="00356C0F">
        <w:rPr>
          <w:sz w:val="24"/>
          <w:szCs w:val="24"/>
          <w:lang w:val="en"/>
        </w:rPr>
        <w:t xml:space="preserve"> </w:t>
      </w:r>
    </w:p>
    <w:p w:rsidR="00B476A1" w:rsidRDefault="00356C0F" w:rsidP="00DB31DD">
      <w:pPr>
        <w:ind w:firstLine="720"/>
        <w:rPr>
          <w:sz w:val="24"/>
          <w:szCs w:val="24"/>
          <w:lang w:val="en"/>
        </w:rPr>
      </w:pPr>
      <w:r>
        <w:rPr>
          <w:sz w:val="24"/>
          <w:szCs w:val="24"/>
          <w:lang w:val="en"/>
        </w:rPr>
        <w:t xml:space="preserve">After proper placement of the TST, </w:t>
      </w:r>
      <w:r w:rsidR="00C21BBA">
        <w:rPr>
          <w:sz w:val="24"/>
          <w:szCs w:val="24"/>
          <w:lang w:val="en"/>
        </w:rPr>
        <w:t xml:space="preserve">the </w:t>
      </w:r>
      <w:r>
        <w:rPr>
          <w:sz w:val="24"/>
          <w:szCs w:val="24"/>
          <w:lang w:val="en"/>
        </w:rPr>
        <w:t>p</w:t>
      </w:r>
      <w:r w:rsidR="00C21BBA">
        <w:rPr>
          <w:sz w:val="24"/>
          <w:szCs w:val="24"/>
          <w:lang w:val="en"/>
        </w:rPr>
        <w:t>lacer made an appointment f</w:t>
      </w:r>
      <w:r w:rsidR="00EF6A93">
        <w:rPr>
          <w:sz w:val="24"/>
          <w:szCs w:val="24"/>
          <w:lang w:val="en"/>
        </w:rPr>
        <w:t xml:space="preserve">or the participant </w:t>
      </w:r>
      <w:proofErr w:type="gramStart"/>
      <w:r w:rsidR="00EF6A93">
        <w:rPr>
          <w:sz w:val="24"/>
          <w:szCs w:val="24"/>
          <w:lang w:val="en"/>
        </w:rPr>
        <w:t>to</w:t>
      </w:r>
      <w:proofErr w:type="gramEnd"/>
      <w:r w:rsidR="00EF6A93">
        <w:rPr>
          <w:sz w:val="24"/>
          <w:szCs w:val="24"/>
          <w:lang w:val="en"/>
        </w:rPr>
        <w:t xml:space="preserve"> have his/her skin test</w:t>
      </w:r>
      <w:r w:rsidR="00B057CD">
        <w:rPr>
          <w:sz w:val="24"/>
          <w:szCs w:val="24"/>
          <w:lang w:val="en"/>
        </w:rPr>
        <w:t xml:space="preserve"> result</w:t>
      </w:r>
      <w:r w:rsidR="00EF6A93">
        <w:rPr>
          <w:sz w:val="24"/>
          <w:szCs w:val="24"/>
          <w:lang w:val="en"/>
        </w:rPr>
        <w:t xml:space="preserve"> measured.  Every effort was made </w:t>
      </w:r>
      <w:r>
        <w:rPr>
          <w:sz w:val="24"/>
          <w:szCs w:val="24"/>
          <w:lang w:val="en"/>
        </w:rPr>
        <w:t>to schedule</w:t>
      </w:r>
      <w:r w:rsidR="007A649F">
        <w:rPr>
          <w:sz w:val="24"/>
          <w:szCs w:val="24"/>
          <w:lang w:val="en"/>
        </w:rPr>
        <w:t xml:space="preserve"> the return visit</w:t>
      </w:r>
      <w:r>
        <w:rPr>
          <w:sz w:val="24"/>
          <w:szCs w:val="24"/>
          <w:lang w:val="en"/>
        </w:rPr>
        <w:t xml:space="preserve"> within 48-</w:t>
      </w:r>
      <w:r w:rsidR="007A649F">
        <w:rPr>
          <w:sz w:val="24"/>
          <w:szCs w:val="24"/>
          <w:lang w:val="en"/>
        </w:rPr>
        <w:t xml:space="preserve">72 </w:t>
      </w:r>
      <w:r>
        <w:rPr>
          <w:sz w:val="24"/>
          <w:szCs w:val="24"/>
          <w:lang w:val="en"/>
        </w:rPr>
        <w:t>hours after administration of the skin test</w:t>
      </w:r>
      <w:r w:rsidR="007A649F">
        <w:rPr>
          <w:sz w:val="24"/>
          <w:szCs w:val="24"/>
          <w:lang w:val="en"/>
        </w:rPr>
        <w:t>,</w:t>
      </w:r>
      <w:r w:rsidR="00CC4293">
        <w:rPr>
          <w:sz w:val="24"/>
          <w:szCs w:val="24"/>
          <w:lang w:val="en"/>
        </w:rPr>
        <w:t xml:space="preserve"> and to only schedule in the 46-48 and 72-76 hour windows if no other option existed</w:t>
      </w:r>
      <w:r>
        <w:rPr>
          <w:sz w:val="24"/>
          <w:szCs w:val="24"/>
          <w:lang w:val="en"/>
        </w:rPr>
        <w:t>.</w:t>
      </w:r>
      <w:r w:rsidR="00C21BBA">
        <w:rPr>
          <w:sz w:val="24"/>
          <w:szCs w:val="24"/>
          <w:lang w:val="en"/>
        </w:rPr>
        <w:t xml:space="preserve">  No readings were permitted outside the 46-76 hour </w:t>
      </w:r>
      <w:r w:rsidR="00EF6A93">
        <w:rPr>
          <w:sz w:val="24"/>
          <w:szCs w:val="24"/>
          <w:lang w:val="en"/>
        </w:rPr>
        <w:t>window.  Measurements were conducted at the NHANES field office, or if necessary</w:t>
      </w:r>
      <w:r w:rsidR="007A649F">
        <w:rPr>
          <w:sz w:val="24"/>
          <w:szCs w:val="24"/>
          <w:lang w:val="en"/>
        </w:rPr>
        <w:t>,</w:t>
      </w:r>
      <w:r w:rsidR="00EF6A93">
        <w:rPr>
          <w:sz w:val="24"/>
          <w:szCs w:val="24"/>
          <w:lang w:val="en"/>
        </w:rPr>
        <w:t xml:space="preserve"> at the particip</w:t>
      </w:r>
      <w:r w:rsidR="00B476A1">
        <w:rPr>
          <w:sz w:val="24"/>
          <w:szCs w:val="24"/>
          <w:lang w:val="en"/>
        </w:rPr>
        <w:t xml:space="preserve">ant’s home.  </w:t>
      </w:r>
      <w:r w:rsidR="00F96F21">
        <w:rPr>
          <w:sz w:val="24"/>
          <w:szCs w:val="24"/>
          <w:lang w:val="en"/>
        </w:rPr>
        <w:t>S</w:t>
      </w:r>
      <w:r w:rsidR="007F5C09">
        <w:rPr>
          <w:sz w:val="24"/>
          <w:szCs w:val="24"/>
          <w:lang w:val="en"/>
        </w:rPr>
        <w:t>kin test reader</w:t>
      </w:r>
      <w:r w:rsidR="00F96F21">
        <w:rPr>
          <w:sz w:val="24"/>
          <w:szCs w:val="24"/>
          <w:lang w:val="en"/>
        </w:rPr>
        <w:t>s</w:t>
      </w:r>
      <w:r w:rsidR="007F5C09">
        <w:rPr>
          <w:sz w:val="24"/>
          <w:szCs w:val="24"/>
          <w:lang w:val="en"/>
        </w:rPr>
        <w:t xml:space="preserve"> m</w:t>
      </w:r>
      <w:r w:rsidR="00F96F21">
        <w:rPr>
          <w:sz w:val="24"/>
          <w:szCs w:val="24"/>
          <w:lang w:val="en"/>
        </w:rPr>
        <w:t>ade phone calls to participants</w:t>
      </w:r>
      <w:r w:rsidR="003E77C0">
        <w:rPr>
          <w:sz w:val="24"/>
          <w:szCs w:val="24"/>
          <w:lang w:val="en"/>
        </w:rPr>
        <w:t xml:space="preserve"> </w:t>
      </w:r>
      <w:r w:rsidR="00B476A1">
        <w:rPr>
          <w:sz w:val="24"/>
          <w:szCs w:val="24"/>
          <w:lang w:val="en"/>
        </w:rPr>
        <w:t xml:space="preserve">to </w:t>
      </w:r>
      <w:r w:rsidR="003E77C0">
        <w:rPr>
          <w:sz w:val="24"/>
          <w:szCs w:val="24"/>
          <w:lang w:val="en"/>
        </w:rPr>
        <w:t xml:space="preserve">remind them of </w:t>
      </w:r>
      <w:r w:rsidR="00B476A1">
        <w:rPr>
          <w:sz w:val="24"/>
          <w:szCs w:val="24"/>
          <w:lang w:val="en"/>
        </w:rPr>
        <w:t>the</w:t>
      </w:r>
      <w:r w:rsidR="00F80A51">
        <w:rPr>
          <w:sz w:val="24"/>
          <w:szCs w:val="24"/>
          <w:lang w:val="en"/>
        </w:rPr>
        <w:t>ir</w:t>
      </w:r>
      <w:r w:rsidR="00B476A1">
        <w:rPr>
          <w:sz w:val="24"/>
          <w:szCs w:val="24"/>
          <w:lang w:val="en"/>
        </w:rPr>
        <w:t xml:space="preserve"> scheduled appointment</w:t>
      </w:r>
      <w:r w:rsidR="00B057CD">
        <w:rPr>
          <w:sz w:val="24"/>
          <w:szCs w:val="24"/>
          <w:lang w:val="en"/>
        </w:rPr>
        <w:t>s</w:t>
      </w:r>
      <w:r w:rsidR="00B476A1">
        <w:rPr>
          <w:sz w:val="24"/>
          <w:szCs w:val="24"/>
          <w:lang w:val="en"/>
        </w:rPr>
        <w:t>.</w:t>
      </w:r>
      <w:r w:rsidR="00105D25">
        <w:rPr>
          <w:sz w:val="24"/>
          <w:szCs w:val="24"/>
          <w:lang w:val="en"/>
        </w:rPr>
        <w:t xml:space="preserve">  If a parti</w:t>
      </w:r>
      <w:r w:rsidR="0024008B">
        <w:rPr>
          <w:sz w:val="24"/>
          <w:szCs w:val="24"/>
          <w:lang w:val="en"/>
        </w:rPr>
        <w:t xml:space="preserve">cipant missed his/her skin test </w:t>
      </w:r>
      <w:r w:rsidR="00105D25">
        <w:rPr>
          <w:sz w:val="24"/>
          <w:szCs w:val="24"/>
          <w:lang w:val="en"/>
        </w:rPr>
        <w:t>reading appointment, the assigned reader attempted to contact the participant an</w:t>
      </w:r>
      <w:r w:rsidR="0024008B">
        <w:rPr>
          <w:sz w:val="24"/>
          <w:szCs w:val="24"/>
          <w:lang w:val="en"/>
        </w:rPr>
        <w:t>d reschedule the appointment before the 76-hour time limit was reached</w:t>
      </w:r>
      <w:r w:rsidR="00105D25">
        <w:rPr>
          <w:sz w:val="24"/>
          <w:szCs w:val="24"/>
          <w:lang w:val="en"/>
        </w:rPr>
        <w:t xml:space="preserve">.  </w:t>
      </w:r>
    </w:p>
    <w:p w:rsidR="005A5B8F" w:rsidRDefault="0024008B" w:rsidP="00B24A2D">
      <w:pPr>
        <w:ind w:firstLine="720"/>
        <w:rPr>
          <w:sz w:val="24"/>
          <w:szCs w:val="24"/>
        </w:rPr>
      </w:pPr>
      <w:r>
        <w:rPr>
          <w:sz w:val="24"/>
          <w:szCs w:val="24"/>
          <w:lang w:val="en"/>
        </w:rPr>
        <w:t xml:space="preserve">TST </w:t>
      </w:r>
      <w:r w:rsidR="00737705">
        <w:rPr>
          <w:sz w:val="24"/>
          <w:szCs w:val="24"/>
          <w:lang w:val="en"/>
        </w:rPr>
        <w:t>reactions were measured by trained NHANES TST readers who had no knowledge of the participant’s TB-related histor</w:t>
      </w:r>
      <w:r w:rsidR="009D4398">
        <w:rPr>
          <w:sz w:val="24"/>
          <w:szCs w:val="24"/>
          <w:lang w:val="en"/>
        </w:rPr>
        <w:t xml:space="preserve">y.  Readers worked in well-lit, private areas and followed a standard protocol for all TST measurements.  </w:t>
      </w:r>
      <w:r w:rsidR="007E2F99">
        <w:rPr>
          <w:sz w:val="24"/>
          <w:szCs w:val="24"/>
          <w:lang w:val="en"/>
        </w:rPr>
        <w:t>The injecti</w:t>
      </w:r>
      <w:r w:rsidR="00B563DB">
        <w:rPr>
          <w:sz w:val="24"/>
          <w:szCs w:val="24"/>
          <w:lang w:val="en"/>
        </w:rPr>
        <w:t xml:space="preserve">on site was visually inspected and </w:t>
      </w:r>
      <w:r w:rsidR="007E2F99">
        <w:rPr>
          <w:sz w:val="24"/>
          <w:szCs w:val="24"/>
          <w:lang w:val="en"/>
        </w:rPr>
        <w:t>lightly palpated to differentiate betwee</w:t>
      </w:r>
      <w:r w:rsidR="00B563DB">
        <w:rPr>
          <w:sz w:val="24"/>
          <w:szCs w:val="24"/>
          <w:lang w:val="en"/>
        </w:rPr>
        <w:t xml:space="preserve">n induration and soft swelling.  If induration was </w:t>
      </w:r>
      <w:r w:rsidR="00B563DB">
        <w:rPr>
          <w:sz w:val="24"/>
          <w:szCs w:val="24"/>
          <w:lang w:val="en"/>
        </w:rPr>
        <w:lastRenderedPageBreak/>
        <w:t>present, the site was palpated to outline the margins (ridges) of induration, taking care not to confuse muscle ridges with induration margins.  The induration ma</w:t>
      </w:r>
      <w:r w:rsidR="00B24A2D">
        <w:rPr>
          <w:sz w:val="24"/>
          <w:szCs w:val="24"/>
          <w:lang w:val="en"/>
        </w:rPr>
        <w:t xml:space="preserve">rgins were then marked using an eyebrow pencil at </w:t>
      </w:r>
      <w:r w:rsidR="00B24A2D" w:rsidRPr="00B24A2D">
        <w:rPr>
          <w:sz w:val="24"/>
          <w:szCs w:val="24"/>
        </w:rPr>
        <w:t>either side of the widest area of induration transverse to the long axis of the forearm</w:t>
      </w:r>
      <w:r w:rsidR="00B24A2D">
        <w:rPr>
          <w:sz w:val="24"/>
          <w:szCs w:val="24"/>
        </w:rPr>
        <w:t xml:space="preserve">.  A millimeter ruler was placed such that </w:t>
      </w:r>
      <w:r w:rsidR="00B24A2D" w:rsidRPr="00B24A2D">
        <w:rPr>
          <w:sz w:val="24"/>
          <w:szCs w:val="24"/>
        </w:rPr>
        <w:t xml:space="preserve">the zero ruler line </w:t>
      </w:r>
      <w:r w:rsidR="00B24A2D">
        <w:rPr>
          <w:sz w:val="24"/>
          <w:szCs w:val="24"/>
        </w:rPr>
        <w:t xml:space="preserve">was </w:t>
      </w:r>
      <w:r w:rsidR="00B24A2D" w:rsidRPr="00B24A2D">
        <w:rPr>
          <w:sz w:val="24"/>
          <w:szCs w:val="24"/>
        </w:rPr>
        <w:t>inside the left dot edge</w:t>
      </w:r>
      <w:r w:rsidR="00B24A2D">
        <w:rPr>
          <w:sz w:val="24"/>
          <w:szCs w:val="24"/>
        </w:rPr>
        <w:t xml:space="preserve">, and the ruler was read at the line inside the right dot edge.  </w:t>
      </w:r>
      <w:r w:rsidR="007C1CCC">
        <w:rPr>
          <w:sz w:val="24"/>
          <w:szCs w:val="24"/>
        </w:rPr>
        <w:t>If the measurement fell</w:t>
      </w:r>
      <w:r w:rsidR="007C1CCC" w:rsidRPr="007C1CCC">
        <w:rPr>
          <w:sz w:val="24"/>
          <w:szCs w:val="24"/>
        </w:rPr>
        <w:t xml:space="preserve"> between two divisions </w:t>
      </w:r>
      <w:r w:rsidR="007C1CCC">
        <w:rPr>
          <w:sz w:val="24"/>
          <w:szCs w:val="24"/>
        </w:rPr>
        <w:t xml:space="preserve">on the millimeter scale, </w:t>
      </w:r>
      <w:r w:rsidR="007C1CCC" w:rsidRPr="007C1CCC">
        <w:rPr>
          <w:sz w:val="24"/>
          <w:szCs w:val="24"/>
        </w:rPr>
        <w:t>the lower mark</w:t>
      </w:r>
      <w:r w:rsidR="007C1CCC">
        <w:rPr>
          <w:sz w:val="24"/>
          <w:szCs w:val="24"/>
        </w:rPr>
        <w:t xml:space="preserve"> was recorded</w:t>
      </w:r>
      <w:r w:rsidR="007C1CCC" w:rsidRPr="007C1CCC">
        <w:rPr>
          <w:sz w:val="24"/>
          <w:szCs w:val="24"/>
        </w:rPr>
        <w:t>.</w:t>
      </w:r>
      <w:r w:rsidR="007C1CCC">
        <w:rPr>
          <w:sz w:val="24"/>
          <w:szCs w:val="24"/>
        </w:rPr>
        <w:t xml:space="preserve">  </w:t>
      </w:r>
      <w:r w:rsidR="00000668">
        <w:rPr>
          <w:sz w:val="24"/>
          <w:szCs w:val="24"/>
        </w:rPr>
        <w:t xml:space="preserve">Dots were removed using baby oil and a gauze or cotton pad.  </w:t>
      </w:r>
      <w:r w:rsidR="00D94816">
        <w:rPr>
          <w:sz w:val="24"/>
          <w:szCs w:val="24"/>
        </w:rPr>
        <w:t xml:space="preserve">A skin test report </w:t>
      </w:r>
      <w:r w:rsidR="007A0F87">
        <w:rPr>
          <w:sz w:val="24"/>
          <w:szCs w:val="24"/>
        </w:rPr>
        <w:t xml:space="preserve">of findings </w:t>
      </w:r>
      <w:r w:rsidR="00D94816">
        <w:rPr>
          <w:sz w:val="24"/>
          <w:szCs w:val="24"/>
        </w:rPr>
        <w:t xml:space="preserve">was provided to each participant and included quantitative and qualitative results.  </w:t>
      </w:r>
      <w:r w:rsidR="00176EF4">
        <w:rPr>
          <w:sz w:val="24"/>
          <w:szCs w:val="24"/>
        </w:rPr>
        <w:t xml:space="preserve">  </w:t>
      </w:r>
    </w:p>
    <w:p w:rsidR="009D7127" w:rsidRDefault="00751ABC" w:rsidP="00B24A2D">
      <w:pPr>
        <w:ind w:firstLine="720"/>
        <w:rPr>
          <w:sz w:val="24"/>
          <w:szCs w:val="24"/>
        </w:rPr>
      </w:pPr>
      <w:r>
        <w:rPr>
          <w:sz w:val="24"/>
          <w:szCs w:val="24"/>
        </w:rPr>
        <w:t xml:space="preserve">For quality control purposes, </w:t>
      </w:r>
      <w:r w:rsidR="00CA2575">
        <w:rPr>
          <w:sz w:val="24"/>
          <w:szCs w:val="24"/>
        </w:rPr>
        <w:t xml:space="preserve">at least 25% of participants had their TST reactions measured by at least two separate readers who were blinded to each other’s results.  Additionally, </w:t>
      </w:r>
      <w:r w:rsidR="0054396E">
        <w:rPr>
          <w:sz w:val="24"/>
          <w:szCs w:val="24"/>
        </w:rPr>
        <w:t>TST trainers</w:t>
      </w:r>
      <w:r w:rsidR="00121195">
        <w:rPr>
          <w:sz w:val="24"/>
          <w:szCs w:val="24"/>
        </w:rPr>
        <w:t xml:space="preserve"> from the Centers for Disease Control and Prevention </w:t>
      </w:r>
      <w:r w:rsidR="0054396E">
        <w:rPr>
          <w:sz w:val="24"/>
          <w:szCs w:val="24"/>
        </w:rPr>
        <w:t xml:space="preserve">(CDC) </w:t>
      </w:r>
      <w:r w:rsidR="00121195">
        <w:rPr>
          <w:sz w:val="24"/>
          <w:szCs w:val="24"/>
        </w:rPr>
        <w:t>performed site visits to NHANES field office</w:t>
      </w:r>
      <w:r w:rsidR="0054396E">
        <w:rPr>
          <w:sz w:val="24"/>
          <w:szCs w:val="24"/>
        </w:rPr>
        <w:t>s</w:t>
      </w:r>
      <w:r w:rsidR="00121195">
        <w:rPr>
          <w:sz w:val="24"/>
          <w:szCs w:val="24"/>
        </w:rPr>
        <w:t xml:space="preserve"> once per quarter</w:t>
      </w:r>
      <w:r w:rsidR="009D7127">
        <w:rPr>
          <w:sz w:val="24"/>
          <w:szCs w:val="24"/>
        </w:rPr>
        <w:t xml:space="preserve"> to ensure that</w:t>
      </w:r>
      <w:r w:rsidR="0054396E">
        <w:rPr>
          <w:sz w:val="24"/>
          <w:szCs w:val="24"/>
        </w:rPr>
        <w:t xml:space="preserve"> standard </w:t>
      </w:r>
      <w:r w:rsidR="009D7127">
        <w:rPr>
          <w:sz w:val="24"/>
          <w:szCs w:val="24"/>
        </w:rPr>
        <w:t xml:space="preserve">TST reading </w:t>
      </w:r>
      <w:r w:rsidR="0054396E">
        <w:rPr>
          <w:sz w:val="24"/>
          <w:szCs w:val="24"/>
        </w:rPr>
        <w:t xml:space="preserve">protocol </w:t>
      </w:r>
      <w:r w:rsidR="009D7127">
        <w:rPr>
          <w:sz w:val="24"/>
          <w:szCs w:val="24"/>
        </w:rPr>
        <w:t>and techniques were</w:t>
      </w:r>
      <w:r w:rsidR="0054396E">
        <w:rPr>
          <w:sz w:val="24"/>
          <w:szCs w:val="24"/>
        </w:rPr>
        <w:t xml:space="preserve"> being followed</w:t>
      </w:r>
      <w:r w:rsidR="007A649F">
        <w:rPr>
          <w:sz w:val="24"/>
          <w:szCs w:val="24"/>
        </w:rPr>
        <w:t>,</w:t>
      </w:r>
      <w:r w:rsidR="0054396E">
        <w:rPr>
          <w:sz w:val="24"/>
          <w:szCs w:val="24"/>
        </w:rPr>
        <w:t xml:space="preserve"> and to determine if readers were meeting the goal of measuring </w:t>
      </w:r>
      <w:r w:rsidR="00B057CD">
        <w:rPr>
          <w:sz w:val="24"/>
          <w:szCs w:val="24"/>
        </w:rPr>
        <w:t>results</w:t>
      </w:r>
      <w:r w:rsidR="0054396E">
        <w:rPr>
          <w:sz w:val="24"/>
          <w:szCs w:val="24"/>
        </w:rPr>
        <w:t xml:space="preserve"> within 2 millimeters of CDC trainers and each other</w:t>
      </w:r>
      <w:r w:rsidR="00946E46">
        <w:rPr>
          <w:sz w:val="24"/>
          <w:szCs w:val="24"/>
        </w:rPr>
        <w:t xml:space="preserve">.  If more than one reading was recorded when CDC trainers were not on site, the report of findings reflected the highest millimeter result; if a CDC trainer recorded a result that result was reported even if it was not the highest result recorded.  </w:t>
      </w:r>
      <w:r w:rsidR="00CF43F2">
        <w:rPr>
          <w:sz w:val="24"/>
          <w:szCs w:val="24"/>
        </w:rPr>
        <w:t>For analysis purposes</w:t>
      </w:r>
      <w:r w:rsidR="00A23C50">
        <w:rPr>
          <w:sz w:val="24"/>
          <w:szCs w:val="24"/>
        </w:rPr>
        <w:t>, the mean TST measurement was used for each participant who had more than one result recorded.</w:t>
      </w:r>
      <w:r w:rsidR="005B4414">
        <w:rPr>
          <w:sz w:val="24"/>
          <w:szCs w:val="24"/>
        </w:rPr>
        <w:t xml:space="preserve">  Millimeter rulers used to measure TST reactions were marked by odd or even numbers (i</w:t>
      </w:r>
      <w:r w:rsidR="00FF5E6F">
        <w:rPr>
          <w:sz w:val="24"/>
          <w:szCs w:val="24"/>
        </w:rPr>
        <w:t>.</w:t>
      </w:r>
      <w:r w:rsidR="005B4414">
        <w:rPr>
          <w:sz w:val="24"/>
          <w:szCs w:val="24"/>
        </w:rPr>
        <w:t>e. one set of rulers showed 10 mm, 20 mm, 30 mm, etc</w:t>
      </w:r>
      <w:r w:rsidR="00FF5E6F">
        <w:rPr>
          <w:sz w:val="24"/>
          <w:szCs w:val="24"/>
        </w:rPr>
        <w:t>.</w:t>
      </w:r>
      <w:r w:rsidR="005B4414">
        <w:rPr>
          <w:sz w:val="24"/>
          <w:szCs w:val="24"/>
        </w:rPr>
        <w:t xml:space="preserve"> and the other set of rulers showed 5 mm, 15 mm, 25 mm).  The rulers were rotated by NHANES field </w:t>
      </w:r>
      <w:r w:rsidR="007A649F">
        <w:rPr>
          <w:sz w:val="24"/>
          <w:szCs w:val="24"/>
        </w:rPr>
        <w:t>staff</w:t>
      </w:r>
      <w:r w:rsidR="005B4414">
        <w:rPr>
          <w:sz w:val="24"/>
          <w:szCs w:val="24"/>
        </w:rPr>
        <w:t xml:space="preserve"> so readers used rulers with even markings during one location and odd numbers during the next location.  </w:t>
      </w:r>
      <w:r w:rsidR="00121195">
        <w:rPr>
          <w:sz w:val="24"/>
          <w:szCs w:val="24"/>
        </w:rPr>
        <w:t xml:space="preserve"> </w:t>
      </w:r>
    </w:p>
    <w:p w:rsidR="009D7127" w:rsidRDefault="003F7CC4" w:rsidP="009D7127">
      <w:pPr>
        <w:rPr>
          <w:i/>
          <w:sz w:val="24"/>
          <w:szCs w:val="24"/>
        </w:rPr>
      </w:pPr>
      <w:r>
        <w:rPr>
          <w:i/>
          <w:sz w:val="24"/>
          <w:szCs w:val="24"/>
        </w:rPr>
        <w:t>Blood Test</w:t>
      </w:r>
    </w:p>
    <w:p w:rsidR="009D7127" w:rsidRDefault="009D7127" w:rsidP="009D7127">
      <w:pPr>
        <w:rPr>
          <w:sz w:val="24"/>
          <w:szCs w:val="24"/>
        </w:rPr>
      </w:pPr>
      <w:r>
        <w:rPr>
          <w:sz w:val="24"/>
          <w:szCs w:val="24"/>
        </w:rPr>
        <w:tab/>
      </w:r>
      <w:r w:rsidR="003F7CC4" w:rsidRPr="003F7CC4">
        <w:rPr>
          <w:sz w:val="24"/>
          <w:szCs w:val="24"/>
        </w:rPr>
        <w:t>The interferon gamma release assay</w:t>
      </w:r>
      <w:r w:rsidR="003F7CC4">
        <w:rPr>
          <w:sz w:val="24"/>
          <w:szCs w:val="24"/>
        </w:rPr>
        <w:t xml:space="preserve"> (IGRA)</w:t>
      </w:r>
      <w:r w:rsidR="003F7CC4" w:rsidRPr="003F7CC4">
        <w:rPr>
          <w:sz w:val="24"/>
          <w:szCs w:val="24"/>
        </w:rPr>
        <w:t xml:space="preserve">, </w:t>
      </w:r>
      <w:proofErr w:type="spellStart"/>
      <w:r w:rsidR="003F7CC4" w:rsidRPr="003F7CC4">
        <w:rPr>
          <w:sz w:val="24"/>
          <w:szCs w:val="24"/>
        </w:rPr>
        <w:t>QuantiF</w:t>
      </w:r>
      <w:r w:rsidR="009B23AE">
        <w:rPr>
          <w:sz w:val="24"/>
          <w:szCs w:val="24"/>
        </w:rPr>
        <w:t>ERON</w:t>
      </w:r>
      <w:proofErr w:type="spellEnd"/>
      <w:r w:rsidR="009B23AE">
        <w:rPr>
          <w:sz w:val="24"/>
          <w:szCs w:val="24"/>
        </w:rPr>
        <w:t xml:space="preserve">-TB Gold In-Tube (QFT-GIT; </w:t>
      </w:r>
      <w:proofErr w:type="spellStart"/>
      <w:r w:rsidR="003F7CC4" w:rsidRPr="003F7CC4">
        <w:rPr>
          <w:sz w:val="24"/>
          <w:szCs w:val="24"/>
        </w:rPr>
        <w:t>Cellestis</w:t>
      </w:r>
      <w:proofErr w:type="spellEnd"/>
      <w:r w:rsidR="003F7CC4" w:rsidRPr="003F7CC4">
        <w:rPr>
          <w:sz w:val="24"/>
          <w:szCs w:val="24"/>
        </w:rPr>
        <w:t>/</w:t>
      </w:r>
      <w:proofErr w:type="spellStart"/>
      <w:r w:rsidR="003F7CC4" w:rsidRPr="003F7CC4">
        <w:rPr>
          <w:sz w:val="24"/>
          <w:szCs w:val="24"/>
        </w:rPr>
        <w:t>Qiagen</w:t>
      </w:r>
      <w:proofErr w:type="spellEnd"/>
      <w:r w:rsidR="003F7CC4" w:rsidRPr="003F7CC4">
        <w:rPr>
          <w:sz w:val="24"/>
          <w:szCs w:val="24"/>
        </w:rPr>
        <w:t>, Carnegie, Victoria, Australia) was provided to all eligi</w:t>
      </w:r>
      <w:r w:rsidR="00D34703">
        <w:rPr>
          <w:sz w:val="24"/>
          <w:szCs w:val="24"/>
        </w:rPr>
        <w:t>ble patients 6 years of age or older</w:t>
      </w:r>
      <w:r w:rsidR="003F7CC4">
        <w:rPr>
          <w:sz w:val="24"/>
          <w:szCs w:val="24"/>
        </w:rPr>
        <w:t xml:space="preserve">.  </w:t>
      </w:r>
      <w:r w:rsidR="00893893" w:rsidRPr="00893893">
        <w:rPr>
          <w:sz w:val="24"/>
          <w:szCs w:val="24"/>
        </w:rPr>
        <w:t xml:space="preserve"> QFT-GIT is an in vitro diagnostic test that measures cell-mediated immune reactivity to </w:t>
      </w:r>
      <w:r w:rsidR="00893893" w:rsidRPr="000004BD">
        <w:rPr>
          <w:i/>
          <w:sz w:val="24"/>
          <w:szCs w:val="24"/>
        </w:rPr>
        <w:t>M. tuberculosis</w:t>
      </w:r>
      <w:r w:rsidR="00893893" w:rsidRPr="00893893">
        <w:rPr>
          <w:sz w:val="24"/>
          <w:szCs w:val="24"/>
        </w:rPr>
        <w:t xml:space="preserve">. The test is based on quantification of interferon-gamma released from sensitized lymphocytes in whole blood incubated overnight with PPD from </w:t>
      </w:r>
      <w:r w:rsidR="00893893" w:rsidRPr="000004BD">
        <w:rPr>
          <w:i/>
          <w:sz w:val="24"/>
          <w:szCs w:val="24"/>
        </w:rPr>
        <w:t>M. tuberculosis</w:t>
      </w:r>
      <w:r w:rsidR="00893893" w:rsidRPr="00893893">
        <w:rPr>
          <w:sz w:val="24"/>
          <w:szCs w:val="24"/>
        </w:rPr>
        <w:t xml:space="preserve"> and control antigens.</w:t>
      </w:r>
    </w:p>
    <w:p w:rsidR="00EB0637" w:rsidRDefault="000E17AA" w:rsidP="009D7127">
      <w:pPr>
        <w:rPr>
          <w:sz w:val="24"/>
          <w:szCs w:val="24"/>
        </w:rPr>
      </w:pPr>
      <w:r>
        <w:rPr>
          <w:sz w:val="24"/>
          <w:szCs w:val="24"/>
        </w:rPr>
        <w:tab/>
      </w:r>
      <w:r w:rsidR="001D51BC">
        <w:rPr>
          <w:sz w:val="24"/>
          <w:szCs w:val="24"/>
        </w:rPr>
        <w:t>Trained NHANES phlebotomists followed standard</w:t>
      </w:r>
      <w:r w:rsidR="004F4731">
        <w:rPr>
          <w:sz w:val="24"/>
          <w:szCs w:val="24"/>
        </w:rPr>
        <w:t>ized</w:t>
      </w:r>
      <w:r w:rsidR="001D51BC">
        <w:rPr>
          <w:sz w:val="24"/>
          <w:szCs w:val="24"/>
        </w:rPr>
        <w:t xml:space="preserve"> NHANES venipuncture procedures</w:t>
      </w:r>
      <w:r w:rsidR="009B23AE">
        <w:rPr>
          <w:sz w:val="24"/>
          <w:szCs w:val="24"/>
        </w:rPr>
        <w:t xml:space="preserve"> for QFT-GIT blood collection </w:t>
      </w:r>
      <w:r w:rsidR="006243E5">
        <w:rPr>
          <w:sz w:val="24"/>
          <w:szCs w:val="24"/>
        </w:rPr>
        <w:t>[</w:t>
      </w:r>
      <w:r w:rsidR="009B23AE">
        <w:rPr>
          <w:sz w:val="24"/>
          <w:szCs w:val="24"/>
        </w:rPr>
        <w:t>2</w:t>
      </w:r>
      <w:r w:rsidR="006243E5">
        <w:rPr>
          <w:sz w:val="24"/>
          <w:szCs w:val="24"/>
        </w:rPr>
        <w:t>]</w:t>
      </w:r>
      <w:r w:rsidR="004F4731">
        <w:rPr>
          <w:sz w:val="24"/>
          <w:szCs w:val="24"/>
        </w:rPr>
        <w:t xml:space="preserve">.  </w:t>
      </w:r>
      <w:r w:rsidR="00AF0B88">
        <w:rPr>
          <w:sz w:val="24"/>
          <w:szCs w:val="24"/>
        </w:rPr>
        <w:t xml:space="preserve">Three </w:t>
      </w:r>
      <w:r w:rsidR="003F7CC4">
        <w:rPr>
          <w:sz w:val="24"/>
          <w:szCs w:val="24"/>
        </w:rPr>
        <w:t>QFT</w:t>
      </w:r>
      <w:r w:rsidR="00AF0B88">
        <w:rPr>
          <w:sz w:val="24"/>
          <w:szCs w:val="24"/>
        </w:rPr>
        <w:t xml:space="preserve"> blood collection</w:t>
      </w:r>
      <w:r w:rsidR="001D51BC">
        <w:rPr>
          <w:sz w:val="24"/>
          <w:szCs w:val="24"/>
        </w:rPr>
        <w:t xml:space="preserve"> </w:t>
      </w:r>
      <w:r w:rsidR="003F7CC4">
        <w:rPr>
          <w:sz w:val="24"/>
          <w:szCs w:val="24"/>
        </w:rPr>
        <w:t xml:space="preserve">tubes </w:t>
      </w:r>
      <w:r w:rsidR="00AF0B88">
        <w:rPr>
          <w:sz w:val="24"/>
          <w:szCs w:val="24"/>
        </w:rPr>
        <w:t>(</w:t>
      </w:r>
      <w:r w:rsidR="00AF0B88" w:rsidRPr="00AF0B88">
        <w:rPr>
          <w:sz w:val="24"/>
          <w:szCs w:val="24"/>
        </w:rPr>
        <w:t>a Nil Control tube, TB Antigen tube and a Mitogen tube</w:t>
      </w:r>
      <w:r w:rsidR="00AF0B88">
        <w:rPr>
          <w:sz w:val="24"/>
          <w:szCs w:val="24"/>
        </w:rPr>
        <w:t xml:space="preserve">) </w:t>
      </w:r>
      <w:r w:rsidR="003F7CC4">
        <w:rPr>
          <w:sz w:val="24"/>
          <w:szCs w:val="24"/>
        </w:rPr>
        <w:t xml:space="preserve">were filled with 0.8 to 1.2 milliliters of blood; </w:t>
      </w:r>
      <w:r w:rsidR="00686345">
        <w:rPr>
          <w:sz w:val="24"/>
          <w:szCs w:val="24"/>
        </w:rPr>
        <w:t xml:space="preserve">if a tube did not fill within this range </w:t>
      </w:r>
      <w:r w:rsidR="007A649F">
        <w:rPr>
          <w:sz w:val="24"/>
          <w:szCs w:val="24"/>
        </w:rPr>
        <w:t>another sample was obtained</w:t>
      </w:r>
      <w:r w:rsidR="00686345">
        <w:rPr>
          <w:sz w:val="24"/>
          <w:szCs w:val="24"/>
        </w:rPr>
        <w:t xml:space="preserve">. </w:t>
      </w:r>
      <w:r w:rsidR="001D51BC">
        <w:rPr>
          <w:sz w:val="24"/>
          <w:szCs w:val="24"/>
        </w:rPr>
        <w:t xml:space="preserve"> </w:t>
      </w:r>
      <w:r w:rsidR="00686345">
        <w:rPr>
          <w:sz w:val="24"/>
          <w:szCs w:val="24"/>
        </w:rPr>
        <w:t xml:space="preserve">After filling, </w:t>
      </w:r>
      <w:r w:rsidR="00EB0637">
        <w:rPr>
          <w:sz w:val="24"/>
          <w:szCs w:val="24"/>
        </w:rPr>
        <w:t>the tubes were shaken up and down</w:t>
      </w:r>
      <w:r w:rsidR="00686345">
        <w:rPr>
          <w:sz w:val="24"/>
          <w:szCs w:val="24"/>
        </w:rPr>
        <w:t xml:space="preserve"> for </w:t>
      </w:r>
      <w:r w:rsidR="00EB0637">
        <w:rPr>
          <w:sz w:val="24"/>
          <w:szCs w:val="24"/>
        </w:rPr>
        <w:t>5 seconds (or approximately 10 times) to ensure proper mixing of the blood with the TB antigen.</w:t>
      </w:r>
      <w:r w:rsidR="005B4414">
        <w:rPr>
          <w:sz w:val="24"/>
          <w:szCs w:val="24"/>
        </w:rPr>
        <w:t xml:space="preserve"> Tubes were incubated according to manufacturer instructions and shipped to </w:t>
      </w:r>
      <w:r w:rsidR="00AF0B88">
        <w:rPr>
          <w:sz w:val="24"/>
          <w:szCs w:val="24"/>
        </w:rPr>
        <w:t xml:space="preserve">the </w:t>
      </w:r>
      <w:r w:rsidR="00B34213">
        <w:rPr>
          <w:sz w:val="24"/>
          <w:szCs w:val="24"/>
        </w:rPr>
        <w:t xml:space="preserve">contract </w:t>
      </w:r>
      <w:r w:rsidR="00B914EA">
        <w:rPr>
          <w:sz w:val="24"/>
          <w:szCs w:val="24"/>
        </w:rPr>
        <w:t xml:space="preserve">laboratory </w:t>
      </w:r>
      <w:r w:rsidR="005B4414">
        <w:rPr>
          <w:sz w:val="24"/>
          <w:szCs w:val="24"/>
        </w:rPr>
        <w:t>for testing.</w:t>
      </w:r>
    </w:p>
    <w:p w:rsidR="008B3196" w:rsidRDefault="00B914EA" w:rsidP="00BF0C40">
      <w:pPr>
        <w:rPr>
          <w:sz w:val="24"/>
          <w:szCs w:val="24"/>
        </w:rPr>
      </w:pPr>
      <w:r>
        <w:rPr>
          <w:sz w:val="24"/>
          <w:szCs w:val="24"/>
        </w:rPr>
        <w:lastRenderedPageBreak/>
        <w:tab/>
        <w:t>After being received at the laboratory</w:t>
      </w:r>
      <w:r w:rsidR="00B34213">
        <w:rPr>
          <w:sz w:val="24"/>
          <w:szCs w:val="24"/>
        </w:rPr>
        <w:t>,</w:t>
      </w:r>
      <w:r w:rsidR="003D3F4E">
        <w:rPr>
          <w:sz w:val="24"/>
          <w:szCs w:val="24"/>
        </w:rPr>
        <w:t xml:space="preserve"> the samples </w:t>
      </w:r>
      <w:r w:rsidR="00B34213">
        <w:rPr>
          <w:sz w:val="24"/>
          <w:szCs w:val="24"/>
        </w:rPr>
        <w:t xml:space="preserve">were </w:t>
      </w:r>
      <w:r w:rsidR="003D3F4E">
        <w:rPr>
          <w:sz w:val="24"/>
          <w:szCs w:val="24"/>
        </w:rPr>
        <w:t xml:space="preserve">checked and incubated at </w:t>
      </w:r>
      <w:r>
        <w:rPr>
          <w:sz w:val="24"/>
          <w:szCs w:val="24"/>
        </w:rPr>
        <w:t xml:space="preserve"> </w:t>
      </w:r>
      <w:r w:rsidR="003D3F4E" w:rsidRPr="003D3F4E">
        <w:rPr>
          <w:sz w:val="24"/>
          <w:szCs w:val="24"/>
        </w:rPr>
        <w:t>37° C + 1° for 16 to 24 hours</w:t>
      </w:r>
      <w:r w:rsidR="003D3F4E">
        <w:rPr>
          <w:sz w:val="24"/>
          <w:szCs w:val="24"/>
        </w:rPr>
        <w:t xml:space="preserve"> (unless this requirement was met at the collecting laboratory)</w:t>
      </w:r>
      <w:r w:rsidR="00BF0C40">
        <w:rPr>
          <w:sz w:val="24"/>
          <w:szCs w:val="24"/>
        </w:rPr>
        <w:t xml:space="preserve"> </w:t>
      </w:r>
      <w:r w:rsidR="006243E5">
        <w:rPr>
          <w:sz w:val="24"/>
          <w:szCs w:val="24"/>
        </w:rPr>
        <w:t>[</w:t>
      </w:r>
      <w:r w:rsidR="00BF0C40">
        <w:rPr>
          <w:sz w:val="24"/>
          <w:szCs w:val="24"/>
        </w:rPr>
        <w:t>3</w:t>
      </w:r>
      <w:r w:rsidR="006243E5">
        <w:rPr>
          <w:sz w:val="24"/>
          <w:szCs w:val="24"/>
        </w:rPr>
        <w:t>]</w:t>
      </w:r>
      <w:r w:rsidR="003D3F4E">
        <w:rPr>
          <w:sz w:val="24"/>
          <w:szCs w:val="24"/>
        </w:rPr>
        <w:t>.  After incubation</w:t>
      </w:r>
      <w:r w:rsidR="00B34213">
        <w:rPr>
          <w:sz w:val="24"/>
          <w:szCs w:val="24"/>
        </w:rPr>
        <w:t>,</w:t>
      </w:r>
      <w:r w:rsidR="003D3F4E">
        <w:rPr>
          <w:sz w:val="24"/>
          <w:szCs w:val="24"/>
        </w:rPr>
        <w:t xml:space="preserve"> the tubes </w:t>
      </w:r>
      <w:r w:rsidR="00B34213">
        <w:rPr>
          <w:sz w:val="24"/>
          <w:szCs w:val="24"/>
        </w:rPr>
        <w:t xml:space="preserve">were </w:t>
      </w:r>
      <w:r w:rsidR="003D3F4E">
        <w:rPr>
          <w:sz w:val="24"/>
          <w:szCs w:val="24"/>
        </w:rPr>
        <w:t xml:space="preserve">centrifuged in order to separate the cells from the plasma.  </w:t>
      </w:r>
      <w:r w:rsidR="00BF0C40">
        <w:rPr>
          <w:sz w:val="24"/>
          <w:szCs w:val="24"/>
        </w:rPr>
        <w:t xml:space="preserve">The tubes </w:t>
      </w:r>
      <w:r w:rsidR="00B34213">
        <w:rPr>
          <w:sz w:val="24"/>
          <w:szCs w:val="24"/>
        </w:rPr>
        <w:t xml:space="preserve">were </w:t>
      </w:r>
      <w:r w:rsidR="00BF0C40">
        <w:rPr>
          <w:sz w:val="24"/>
          <w:szCs w:val="24"/>
        </w:rPr>
        <w:t>then placed on an</w:t>
      </w:r>
      <w:r w:rsidR="00BF0C40" w:rsidRPr="00BF0C40">
        <w:rPr>
          <w:sz w:val="24"/>
          <w:szCs w:val="24"/>
        </w:rPr>
        <w:t xml:space="preserve"> automated </w:t>
      </w:r>
      <w:proofErr w:type="spellStart"/>
      <w:r w:rsidR="00BF0C40" w:rsidRPr="00BF0C40">
        <w:rPr>
          <w:sz w:val="24"/>
          <w:szCs w:val="24"/>
        </w:rPr>
        <w:t>Dynex</w:t>
      </w:r>
      <w:proofErr w:type="spellEnd"/>
      <w:r w:rsidR="00BF0C40" w:rsidRPr="00BF0C40">
        <w:rPr>
          <w:sz w:val="24"/>
          <w:szCs w:val="24"/>
        </w:rPr>
        <w:t xml:space="preserve"> instrument, </w:t>
      </w:r>
      <w:r w:rsidR="00BF0C40">
        <w:rPr>
          <w:sz w:val="24"/>
          <w:szCs w:val="24"/>
        </w:rPr>
        <w:t xml:space="preserve">which </w:t>
      </w:r>
      <w:r w:rsidR="00BF0C40" w:rsidRPr="00BF0C40">
        <w:rPr>
          <w:sz w:val="24"/>
          <w:szCs w:val="24"/>
        </w:rPr>
        <w:t>run</w:t>
      </w:r>
      <w:r w:rsidR="00BF0C40">
        <w:rPr>
          <w:sz w:val="24"/>
          <w:szCs w:val="24"/>
        </w:rPr>
        <w:t>s</w:t>
      </w:r>
      <w:r w:rsidR="00BF0C40" w:rsidRPr="00BF0C40">
        <w:rPr>
          <w:sz w:val="24"/>
          <w:szCs w:val="24"/>
        </w:rPr>
        <w:t xml:space="preserve"> the assay using Revelation DSX version 6.12, assay protocol D</w:t>
      </w:r>
      <w:r w:rsidR="00BF0C40">
        <w:rPr>
          <w:sz w:val="24"/>
          <w:szCs w:val="24"/>
        </w:rPr>
        <w:t xml:space="preserve">SX QFT 4pt ver4.12 output file.  If the </w:t>
      </w:r>
      <w:proofErr w:type="spellStart"/>
      <w:r w:rsidR="00BF0C40">
        <w:rPr>
          <w:sz w:val="24"/>
          <w:szCs w:val="24"/>
        </w:rPr>
        <w:t>Dynex</w:t>
      </w:r>
      <w:proofErr w:type="spellEnd"/>
      <w:r w:rsidR="00BF0C40">
        <w:rPr>
          <w:sz w:val="24"/>
          <w:szCs w:val="24"/>
        </w:rPr>
        <w:t xml:space="preserve"> </w:t>
      </w:r>
      <w:r w:rsidR="00B34213">
        <w:rPr>
          <w:sz w:val="24"/>
          <w:szCs w:val="24"/>
        </w:rPr>
        <w:t xml:space="preserve">was </w:t>
      </w:r>
      <w:r w:rsidR="00BF0C40">
        <w:rPr>
          <w:sz w:val="24"/>
          <w:szCs w:val="24"/>
        </w:rPr>
        <w:t xml:space="preserve">not available, a </w:t>
      </w:r>
      <w:r w:rsidR="00B34213">
        <w:rPr>
          <w:sz w:val="24"/>
          <w:szCs w:val="24"/>
        </w:rPr>
        <w:t>backup</w:t>
      </w:r>
      <w:r w:rsidR="00BF0C40">
        <w:rPr>
          <w:sz w:val="24"/>
          <w:szCs w:val="24"/>
        </w:rPr>
        <w:t xml:space="preserve"> manual procedure </w:t>
      </w:r>
      <w:r w:rsidR="00B34213">
        <w:rPr>
          <w:sz w:val="24"/>
          <w:szCs w:val="24"/>
        </w:rPr>
        <w:t xml:space="preserve">was </w:t>
      </w:r>
      <w:r w:rsidR="00BF0C40">
        <w:rPr>
          <w:sz w:val="24"/>
          <w:szCs w:val="24"/>
        </w:rPr>
        <w:t>followed</w:t>
      </w:r>
      <w:r w:rsidR="008B3196">
        <w:rPr>
          <w:sz w:val="24"/>
          <w:szCs w:val="24"/>
        </w:rPr>
        <w:t xml:space="preserve"> </w:t>
      </w:r>
      <w:r w:rsidR="006243E5">
        <w:rPr>
          <w:sz w:val="24"/>
          <w:szCs w:val="24"/>
        </w:rPr>
        <w:t>[</w:t>
      </w:r>
      <w:r w:rsidR="008B3196">
        <w:rPr>
          <w:sz w:val="24"/>
          <w:szCs w:val="24"/>
        </w:rPr>
        <w:t>3</w:t>
      </w:r>
      <w:r w:rsidR="006243E5">
        <w:rPr>
          <w:sz w:val="24"/>
          <w:szCs w:val="24"/>
        </w:rPr>
        <w:t>]</w:t>
      </w:r>
      <w:r w:rsidR="008B3196">
        <w:rPr>
          <w:sz w:val="24"/>
          <w:szCs w:val="24"/>
        </w:rPr>
        <w:t xml:space="preserve">.  Results </w:t>
      </w:r>
      <w:r w:rsidR="00B34213">
        <w:rPr>
          <w:sz w:val="24"/>
          <w:szCs w:val="24"/>
        </w:rPr>
        <w:t xml:space="preserve">were </w:t>
      </w:r>
      <w:r w:rsidR="008B3196">
        <w:rPr>
          <w:sz w:val="24"/>
          <w:szCs w:val="24"/>
        </w:rPr>
        <w:t xml:space="preserve">reported as positive, negative or indeterminate.  </w:t>
      </w:r>
    </w:p>
    <w:p w:rsidR="00CF43F2" w:rsidRDefault="005F34E3" w:rsidP="009D7127">
      <w:pPr>
        <w:rPr>
          <w:i/>
          <w:sz w:val="24"/>
          <w:szCs w:val="24"/>
        </w:rPr>
      </w:pPr>
      <w:r w:rsidRPr="005F34E3">
        <w:rPr>
          <w:i/>
          <w:sz w:val="24"/>
          <w:szCs w:val="24"/>
        </w:rPr>
        <w:t>Report of Findings and Referrals</w:t>
      </w:r>
    </w:p>
    <w:p w:rsidR="005F34E3" w:rsidRPr="005F34E3" w:rsidRDefault="00F65ED0" w:rsidP="009D7127">
      <w:pPr>
        <w:rPr>
          <w:sz w:val="24"/>
          <w:szCs w:val="24"/>
        </w:rPr>
      </w:pPr>
      <w:r>
        <w:rPr>
          <w:sz w:val="24"/>
          <w:szCs w:val="24"/>
        </w:rPr>
        <w:tab/>
      </w:r>
      <w:r w:rsidR="007A0F87">
        <w:rPr>
          <w:sz w:val="24"/>
          <w:szCs w:val="24"/>
        </w:rPr>
        <w:t>Participants with skin test results of 10 millimeters or more received a report that indicated they may have been infected with TB at some point in the past and provided with contact information for the local health department for further evaluation.</w:t>
      </w:r>
      <w:r w:rsidR="001F378B">
        <w:rPr>
          <w:sz w:val="24"/>
          <w:szCs w:val="24"/>
        </w:rPr>
        <w:t xml:space="preserve">  </w:t>
      </w:r>
      <w:r w:rsidR="007A0F87">
        <w:rPr>
          <w:sz w:val="24"/>
          <w:szCs w:val="24"/>
        </w:rPr>
        <w:t xml:space="preserve">NHANES TST readers </w:t>
      </w:r>
      <w:r w:rsidR="001F378B">
        <w:rPr>
          <w:sz w:val="24"/>
          <w:szCs w:val="24"/>
        </w:rPr>
        <w:t>were instructed to only provide information as written on the report of findings.  If the participant had additional questions about test results</w:t>
      </w:r>
      <w:r w:rsidR="00B34213">
        <w:rPr>
          <w:sz w:val="24"/>
          <w:szCs w:val="24"/>
        </w:rPr>
        <w:t>,</w:t>
      </w:r>
      <w:r w:rsidR="001F378B">
        <w:rPr>
          <w:sz w:val="24"/>
          <w:szCs w:val="24"/>
        </w:rPr>
        <w:t xml:space="preserve"> TB infection</w:t>
      </w:r>
      <w:r w:rsidR="00B34213">
        <w:rPr>
          <w:sz w:val="24"/>
          <w:szCs w:val="24"/>
        </w:rPr>
        <w:t>,</w:t>
      </w:r>
      <w:r w:rsidR="001F378B">
        <w:rPr>
          <w:sz w:val="24"/>
          <w:szCs w:val="24"/>
        </w:rPr>
        <w:t xml:space="preserve"> or </w:t>
      </w:r>
      <w:r w:rsidR="00B34213">
        <w:rPr>
          <w:sz w:val="24"/>
          <w:szCs w:val="24"/>
        </w:rPr>
        <w:t xml:space="preserve">TB </w:t>
      </w:r>
      <w:r w:rsidR="001F378B">
        <w:rPr>
          <w:sz w:val="24"/>
          <w:szCs w:val="24"/>
        </w:rPr>
        <w:t xml:space="preserve">disease they were referred to a </w:t>
      </w:r>
      <w:r w:rsidR="003F0019">
        <w:rPr>
          <w:sz w:val="24"/>
          <w:szCs w:val="24"/>
        </w:rPr>
        <w:t>National Center for Health Statistics</w:t>
      </w:r>
      <w:r w:rsidR="001F378B">
        <w:rPr>
          <w:sz w:val="24"/>
          <w:szCs w:val="24"/>
        </w:rPr>
        <w:t xml:space="preserve"> physician. </w:t>
      </w:r>
      <w:r>
        <w:rPr>
          <w:sz w:val="24"/>
          <w:szCs w:val="24"/>
        </w:rPr>
        <w:t xml:space="preserve">  </w:t>
      </w:r>
      <w:r w:rsidR="001F378B">
        <w:rPr>
          <w:sz w:val="24"/>
          <w:szCs w:val="24"/>
        </w:rPr>
        <w:t>All TST report</w:t>
      </w:r>
      <w:r w:rsidR="00B34213">
        <w:rPr>
          <w:sz w:val="24"/>
          <w:szCs w:val="24"/>
        </w:rPr>
        <w:t>s</w:t>
      </w:r>
      <w:r w:rsidR="001F378B">
        <w:rPr>
          <w:sz w:val="24"/>
          <w:szCs w:val="24"/>
        </w:rPr>
        <w:t xml:space="preserve"> of findings indicated that the blood test for TB was still pending.  Negative QFT results were included in the final NHANES results</w:t>
      </w:r>
      <w:r w:rsidR="00B34213">
        <w:rPr>
          <w:sz w:val="24"/>
          <w:szCs w:val="24"/>
        </w:rPr>
        <w:t>,</w:t>
      </w:r>
      <w:r w:rsidR="001F378B">
        <w:rPr>
          <w:sz w:val="24"/>
          <w:szCs w:val="24"/>
        </w:rPr>
        <w:t xml:space="preserve"> which were mailed to participants 12-16 weeks following the examination; participants’ with positive QFT results were notified of their QFT results immediately</w:t>
      </w:r>
      <w:r w:rsidR="00B34213">
        <w:rPr>
          <w:sz w:val="24"/>
          <w:szCs w:val="24"/>
        </w:rPr>
        <w:t xml:space="preserve"> via telephone</w:t>
      </w:r>
      <w:r w:rsidR="001F378B">
        <w:rPr>
          <w:sz w:val="24"/>
          <w:szCs w:val="24"/>
        </w:rPr>
        <w:t xml:space="preserve">.  </w:t>
      </w:r>
    </w:p>
    <w:p w:rsidR="00CF43F2" w:rsidRDefault="00CF43F2" w:rsidP="009D7127">
      <w:pPr>
        <w:rPr>
          <w:i/>
          <w:sz w:val="24"/>
          <w:szCs w:val="24"/>
        </w:rPr>
      </w:pPr>
      <w:r w:rsidRPr="00CF43F2">
        <w:rPr>
          <w:i/>
          <w:sz w:val="24"/>
          <w:szCs w:val="24"/>
        </w:rPr>
        <w:t>TB History</w:t>
      </w:r>
    </w:p>
    <w:p w:rsidR="009B1C34" w:rsidRDefault="00392848" w:rsidP="009D7127">
      <w:pPr>
        <w:rPr>
          <w:sz w:val="24"/>
          <w:szCs w:val="24"/>
        </w:rPr>
      </w:pPr>
      <w:r>
        <w:rPr>
          <w:sz w:val="24"/>
          <w:szCs w:val="24"/>
        </w:rPr>
        <w:tab/>
      </w:r>
      <w:r w:rsidR="00280029">
        <w:rPr>
          <w:sz w:val="24"/>
          <w:szCs w:val="24"/>
        </w:rPr>
        <w:t xml:space="preserve">The NHANES household interview, conducted </w:t>
      </w:r>
      <w:r w:rsidR="00B34213">
        <w:rPr>
          <w:sz w:val="24"/>
          <w:szCs w:val="24"/>
        </w:rPr>
        <w:t>prior to</w:t>
      </w:r>
      <w:r w:rsidR="00280029">
        <w:rPr>
          <w:sz w:val="24"/>
          <w:szCs w:val="24"/>
        </w:rPr>
        <w:t xml:space="preserve"> the medical examination, included questions related to participants</w:t>
      </w:r>
      <w:r w:rsidR="009B1C34">
        <w:rPr>
          <w:sz w:val="24"/>
          <w:szCs w:val="24"/>
        </w:rPr>
        <w:t>’</w:t>
      </w:r>
      <w:r w:rsidR="00280029">
        <w:rPr>
          <w:sz w:val="24"/>
          <w:szCs w:val="24"/>
        </w:rPr>
        <w:t xml:space="preserve"> history of being tested for TB, treated for TB, or exposed to someone with TB.  The responses were self-reported</w:t>
      </w:r>
      <w:r w:rsidR="00C11CCF">
        <w:rPr>
          <w:sz w:val="24"/>
          <w:szCs w:val="24"/>
        </w:rPr>
        <w:t>;</w:t>
      </w:r>
      <w:r w:rsidR="00280029">
        <w:rPr>
          <w:sz w:val="24"/>
          <w:szCs w:val="24"/>
        </w:rPr>
        <w:t xml:space="preserve"> no verification or validation was do</w:t>
      </w:r>
      <w:r w:rsidR="009B1C34">
        <w:rPr>
          <w:sz w:val="24"/>
          <w:szCs w:val="24"/>
        </w:rPr>
        <w:t>ne.  Information from the interview was not available to NHANES staff involved in TST placement or measurement.  The following TB-related questions were asked during the home interview:</w:t>
      </w:r>
    </w:p>
    <w:p w:rsidR="004B1CE3" w:rsidRDefault="004B1CE3" w:rsidP="004B1CE3">
      <w:pPr>
        <w:pStyle w:val="ListParagraph"/>
        <w:numPr>
          <w:ilvl w:val="0"/>
          <w:numId w:val="1"/>
        </w:numPr>
        <w:rPr>
          <w:sz w:val="24"/>
          <w:szCs w:val="24"/>
        </w:rPr>
      </w:pPr>
      <w:r w:rsidRPr="004B1CE3">
        <w:rPr>
          <w:sz w:val="24"/>
          <w:szCs w:val="24"/>
        </w:rPr>
        <w:t>Have you ever been tested for TB?</w:t>
      </w:r>
    </w:p>
    <w:p w:rsidR="004B1CE3" w:rsidRDefault="004B1CE3" w:rsidP="004B1CE3">
      <w:pPr>
        <w:pStyle w:val="ListParagraph"/>
        <w:numPr>
          <w:ilvl w:val="0"/>
          <w:numId w:val="1"/>
        </w:numPr>
        <w:rPr>
          <w:sz w:val="24"/>
          <w:szCs w:val="24"/>
        </w:rPr>
      </w:pPr>
      <w:r>
        <w:rPr>
          <w:sz w:val="24"/>
          <w:szCs w:val="24"/>
        </w:rPr>
        <w:t>Which test did you receive – the needle just under the skin, a blood test or the tine test?</w:t>
      </w:r>
    </w:p>
    <w:p w:rsidR="004B1CE3" w:rsidRDefault="0031172C" w:rsidP="004B1CE3">
      <w:pPr>
        <w:pStyle w:val="ListParagraph"/>
        <w:numPr>
          <w:ilvl w:val="0"/>
          <w:numId w:val="1"/>
        </w:numPr>
        <w:rPr>
          <w:sz w:val="24"/>
          <w:szCs w:val="24"/>
        </w:rPr>
      </w:pPr>
      <w:r>
        <w:rPr>
          <w:sz w:val="24"/>
          <w:szCs w:val="24"/>
        </w:rPr>
        <w:t>Were you told that your skin test was positive for TB?</w:t>
      </w:r>
    </w:p>
    <w:p w:rsidR="0031172C" w:rsidRDefault="0031172C" w:rsidP="004B1CE3">
      <w:pPr>
        <w:pStyle w:val="ListParagraph"/>
        <w:numPr>
          <w:ilvl w:val="0"/>
          <w:numId w:val="1"/>
        </w:numPr>
        <w:rPr>
          <w:sz w:val="24"/>
          <w:szCs w:val="24"/>
        </w:rPr>
      </w:pPr>
      <w:r>
        <w:rPr>
          <w:sz w:val="24"/>
          <w:szCs w:val="24"/>
        </w:rPr>
        <w:t>Were you told that your blood test was positive for TB?</w:t>
      </w:r>
    </w:p>
    <w:p w:rsidR="0031172C" w:rsidRDefault="0031172C" w:rsidP="004B1CE3">
      <w:pPr>
        <w:pStyle w:val="ListParagraph"/>
        <w:numPr>
          <w:ilvl w:val="0"/>
          <w:numId w:val="1"/>
        </w:numPr>
        <w:rPr>
          <w:sz w:val="24"/>
          <w:szCs w:val="24"/>
        </w:rPr>
      </w:pPr>
      <w:r>
        <w:rPr>
          <w:sz w:val="24"/>
          <w:szCs w:val="24"/>
        </w:rPr>
        <w:t>Were you told that your tine test was positive for TB?</w:t>
      </w:r>
    </w:p>
    <w:p w:rsidR="0031172C" w:rsidRDefault="0031172C" w:rsidP="004B1CE3">
      <w:pPr>
        <w:pStyle w:val="ListParagraph"/>
        <w:numPr>
          <w:ilvl w:val="0"/>
          <w:numId w:val="1"/>
        </w:numPr>
        <w:rPr>
          <w:sz w:val="24"/>
          <w:szCs w:val="24"/>
        </w:rPr>
      </w:pPr>
      <w:r>
        <w:rPr>
          <w:sz w:val="24"/>
          <w:szCs w:val="24"/>
        </w:rPr>
        <w:t>After getting a positive TB test, were you prescribed any medicine to keep you from getting sick with TB?</w:t>
      </w:r>
    </w:p>
    <w:p w:rsidR="0031172C" w:rsidRDefault="0031172C" w:rsidP="004B1CE3">
      <w:pPr>
        <w:pStyle w:val="ListParagraph"/>
        <w:numPr>
          <w:ilvl w:val="0"/>
          <w:numId w:val="1"/>
        </w:numPr>
        <w:rPr>
          <w:sz w:val="24"/>
          <w:szCs w:val="24"/>
        </w:rPr>
      </w:pPr>
      <w:r>
        <w:rPr>
          <w:sz w:val="24"/>
          <w:szCs w:val="24"/>
        </w:rPr>
        <w:t>Did you complete this treatment?</w:t>
      </w:r>
    </w:p>
    <w:p w:rsidR="0031172C" w:rsidRDefault="0031172C" w:rsidP="004B1CE3">
      <w:pPr>
        <w:pStyle w:val="ListParagraph"/>
        <w:numPr>
          <w:ilvl w:val="0"/>
          <w:numId w:val="1"/>
        </w:numPr>
        <w:rPr>
          <w:sz w:val="24"/>
          <w:szCs w:val="24"/>
        </w:rPr>
      </w:pPr>
      <w:r>
        <w:rPr>
          <w:sz w:val="24"/>
          <w:szCs w:val="24"/>
        </w:rPr>
        <w:t>Were you ever told that you had active tuberculosis or TB?</w:t>
      </w:r>
    </w:p>
    <w:p w:rsidR="0031172C" w:rsidRDefault="0031172C" w:rsidP="004B1CE3">
      <w:pPr>
        <w:pStyle w:val="ListParagraph"/>
        <w:numPr>
          <w:ilvl w:val="0"/>
          <w:numId w:val="1"/>
        </w:numPr>
        <w:rPr>
          <w:sz w:val="24"/>
          <w:szCs w:val="24"/>
        </w:rPr>
      </w:pPr>
      <w:r>
        <w:rPr>
          <w:sz w:val="24"/>
          <w:szCs w:val="24"/>
        </w:rPr>
        <w:t>Were you ever prescribed any medicine to treat active tuberculosis or TB?</w:t>
      </w:r>
    </w:p>
    <w:p w:rsidR="00A36C6E" w:rsidRPr="00212016" w:rsidRDefault="00C11CCF" w:rsidP="00303FE7">
      <w:pPr>
        <w:pStyle w:val="ListParagraph"/>
        <w:numPr>
          <w:ilvl w:val="0"/>
          <w:numId w:val="1"/>
        </w:numPr>
        <w:rPr>
          <w:i/>
        </w:rPr>
      </w:pPr>
      <w:r w:rsidRPr="005F34E3">
        <w:rPr>
          <w:sz w:val="24"/>
          <w:szCs w:val="24"/>
        </w:rPr>
        <w:lastRenderedPageBreak/>
        <w:t>Have you ever lived in the same household with someone while that person was sick with tuberculosis or TB?</w:t>
      </w:r>
    </w:p>
    <w:p w:rsidR="00212016" w:rsidRDefault="00FE3114" w:rsidP="00212016">
      <w:pPr>
        <w:rPr>
          <w:i/>
          <w:sz w:val="24"/>
          <w:szCs w:val="24"/>
        </w:rPr>
      </w:pPr>
      <w:r>
        <w:rPr>
          <w:sz w:val="24"/>
          <w:szCs w:val="24"/>
        </w:rPr>
        <w:t xml:space="preserve"> </w:t>
      </w:r>
      <w:r w:rsidR="00F31761">
        <w:rPr>
          <w:i/>
          <w:sz w:val="24"/>
          <w:szCs w:val="24"/>
        </w:rPr>
        <w:t>Numbers of Persons with Selected Characteristics</w:t>
      </w:r>
      <w:r w:rsidR="00AB5355" w:rsidRPr="002227E1">
        <w:rPr>
          <w:i/>
          <w:sz w:val="24"/>
          <w:szCs w:val="24"/>
        </w:rPr>
        <w:tab/>
      </w:r>
    </w:p>
    <w:p w:rsidR="00E32606" w:rsidRDefault="002227E1" w:rsidP="00212016">
      <w:pPr>
        <w:rPr>
          <w:sz w:val="24"/>
          <w:szCs w:val="24"/>
        </w:rPr>
      </w:pPr>
      <w:r>
        <w:rPr>
          <w:sz w:val="24"/>
          <w:szCs w:val="24"/>
        </w:rPr>
        <w:tab/>
      </w:r>
      <w:r w:rsidR="00A93CF9">
        <w:rPr>
          <w:sz w:val="24"/>
          <w:szCs w:val="24"/>
        </w:rPr>
        <w:t>Population data from the U.S. Census Bureau was used to calculate estimates of the numbe</w:t>
      </w:r>
      <w:r w:rsidR="00563AEE">
        <w:rPr>
          <w:sz w:val="24"/>
          <w:szCs w:val="24"/>
        </w:rPr>
        <w:t xml:space="preserve">r of persons with TB infection overall and by origin, sex, age group, race/ethnicity, </w:t>
      </w:r>
      <w:r w:rsidR="00F31761">
        <w:rPr>
          <w:sz w:val="24"/>
          <w:szCs w:val="24"/>
        </w:rPr>
        <w:t xml:space="preserve">poverty status and education.  For the 1999-2000 </w:t>
      </w:r>
      <w:r w:rsidR="00134B84">
        <w:rPr>
          <w:sz w:val="24"/>
          <w:szCs w:val="24"/>
        </w:rPr>
        <w:t xml:space="preserve">NHANES </w:t>
      </w:r>
      <w:r w:rsidR="00F31761">
        <w:rPr>
          <w:sz w:val="24"/>
          <w:szCs w:val="24"/>
        </w:rPr>
        <w:t>survey cycle</w:t>
      </w:r>
      <w:r w:rsidR="00B34213">
        <w:rPr>
          <w:sz w:val="24"/>
          <w:szCs w:val="24"/>
        </w:rPr>
        <w:t>,</w:t>
      </w:r>
      <w:r w:rsidR="00F31761">
        <w:rPr>
          <w:sz w:val="24"/>
          <w:szCs w:val="24"/>
        </w:rPr>
        <w:t xml:space="preserve"> population data were obtained from the </w:t>
      </w:r>
      <w:r w:rsidR="00E32606">
        <w:rPr>
          <w:sz w:val="24"/>
          <w:szCs w:val="24"/>
        </w:rPr>
        <w:t xml:space="preserve">December 1999 </w:t>
      </w:r>
      <w:r w:rsidR="00F31761">
        <w:rPr>
          <w:sz w:val="24"/>
          <w:szCs w:val="24"/>
        </w:rPr>
        <w:t>Current Population Survey</w:t>
      </w:r>
      <w:r w:rsidR="00D72B9D">
        <w:rPr>
          <w:sz w:val="24"/>
          <w:szCs w:val="24"/>
        </w:rPr>
        <w:t xml:space="preserve"> </w:t>
      </w:r>
      <w:r w:rsidR="006243E5">
        <w:rPr>
          <w:sz w:val="24"/>
          <w:szCs w:val="24"/>
        </w:rPr>
        <w:t>[</w:t>
      </w:r>
      <w:r w:rsidR="008B3196">
        <w:rPr>
          <w:sz w:val="24"/>
          <w:szCs w:val="24"/>
        </w:rPr>
        <w:t>4</w:t>
      </w:r>
      <w:r w:rsidR="006243E5">
        <w:rPr>
          <w:sz w:val="24"/>
          <w:szCs w:val="24"/>
        </w:rPr>
        <w:t>]</w:t>
      </w:r>
      <w:r w:rsidR="00F31761">
        <w:rPr>
          <w:sz w:val="24"/>
          <w:szCs w:val="24"/>
        </w:rPr>
        <w:t>; population data for poverty status w</w:t>
      </w:r>
      <w:r w:rsidR="00B36D53">
        <w:rPr>
          <w:sz w:val="24"/>
          <w:szCs w:val="24"/>
        </w:rPr>
        <w:t>as</w:t>
      </w:r>
      <w:r w:rsidR="00F31761">
        <w:rPr>
          <w:sz w:val="24"/>
          <w:szCs w:val="24"/>
        </w:rPr>
        <w:t xml:space="preserve"> obtained from the Current Population Survey’s </w:t>
      </w:r>
      <w:r w:rsidR="00E32606">
        <w:rPr>
          <w:sz w:val="24"/>
          <w:szCs w:val="24"/>
        </w:rPr>
        <w:t xml:space="preserve">1999 </w:t>
      </w:r>
      <w:r w:rsidR="00F31761">
        <w:rPr>
          <w:sz w:val="24"/>
          <w:szCs w:val="24"/>
        </w:rPr>
        <w:t>March Supplement.</w:t>
      </w:r>
      <w:r w:rsidR="00E32606">
        <w:rPr>
          <w:sz w:val="24"/>
          <w:szCs w:val="24"/>
        </w:rPr>
        <w:t xml:space="preserve">  </w:t>
      </w:r>
      <w:r w:rsidR="00B36D53">
        <w:rPr>
          <w:sz w:val="24"/>
          <w:szCs w:val="24"/>
        </w:rPr>
        <w:t>T</w:t>
      </w:r>
      <w:r w:rsidR="00E32606">
        <w:rPr>
          <w:sz w:val="24"/>
          <w:szCs w:val="24"/>
        </w:rPr>
        <w:t>he 2011 American Community Survey</w:t>
      </w:r>
      <w:r w:rsidR="00AC4476">
        <w:rPr>
          <w:sz w:val="24"/>
          <w:szCs w:val="24"/>
        </w:rPr>
        <w:t xml:space="preserve"> </w:t>
      </w:r>
      <w:r w:rsidR="006243E5">
        <w:rPr>
          <w:sz w:val="24"/>
          <w:szCs w:val="24"/>
        </w:rPr>
        <w:t>[</w:t>
      </w:r>
      <w:r w:rsidR="008B3196">
        <w:rPr>
          <w:sz w:val="24"/>
          <w:szCs w:val="24"/>
        </w:rPr>
        <w:t>5</w:t>
      </w:r>
      <w:r w:rsidR="006243E5">
        <w:rPr>
          <w:sz w:val="24"/>
          <w:szCs w:val="24"/>
        </w:rPr>
        <w:t>]</w:t>
      </w:r>
      <w:r w:rsidR="00E32606">
        <w:rPr>
          <w:sz w:val="24"/>
          <w:szCs w:val="24"/>
        </w:rPr>
        <w:t xml:space="preserve"> was used to obtain population data</w:t>
      </w:r>
      <w:r w:rsidR="00B36D53">
        <w:rPr>
          <w:sz w:val="24"/>
          <w:szCs w:val="24"/>
        </w:rPr>
        <w:t xml:space="preserve"> for 2011-2012 NHANES survey cycle calculations</w:t>
      </w:r>
      <w:r w:rsidR="00E32606">
        <w:rPr>
          <w:sz w:val="24"/>
          <w:szCs w:val="24"/>
        </w:rPr>
        <w:t xml:space="preserve">.  All population data were restricted to match the NHANES population of noninstitutionalized, civilian, </w:t>
      </w:r>
      <w:proofErr w:type="gramStart"/>
      <w:r w:rsidR="00E32606">
        <w:rPr>
          <w:sz w:val="24"/>
          <w:szCs w:val="24"/>
        </w:rPr>
        <w:t>U.S</w:t>
      </w:r>
      <w:proofErr w:type="gramEnd"/>
      <w:r w:rsidR="00E32606">
        <w:rPr>
          <w:sz w:val="24"/>
          <w:szCs w:val="24"/>
        </w:rPr>
        <w:t>. population</w:t>
      </w:r>
      <w:r w:rsidR="00B36D53">
        <w:rPr>
          <w:sz w:val="24"/>
          <w:szCs w:val="24"/>
        </w:rPr>
        <w:t xml:space="preserve"> (and further restricted to ages 6 years and older to be consistent with the population eligible for TB testing)</w:t>
      </w:r>
      <w:r w:rsidR="00E32606">
        <w:rPr>
          <w:sz w:val="24"/>
          <w:szCs w:val="24"/>
        </w:rPr>
        <w:t>.</w:t>
      </w:r>
      <w:r w:rsidR="00925B67">
        <w:rPr>
          <w:sz w:val="24"/>
          <w:szCs w:val="24"/>
        </w:rPr>
        <w:t xml:space="preserve">  Population counts by sex, age and race/ethnicity matched those provided by NHANES (</w:t>
      </w:r>
      <w:hyperlink r:id="rId7" w:history="1">
        <w:r w:rsidR="00925B67" w:rsidRPr="00C02CB7">
          <w:rPr>
            <w:rStyle w:val="Hyperlink"/>
            <w:sz w:val="24"/>
            <w:szCs w:val="24"/>
          </w:rPr>
          <w:t>http://www.cdc.gov/nchs/nhanes/response_rates_CPS.htm</w:t>
        </w:r>
      </w:hyperlink>
      <w:r w:rsidR="00925B67">
        <w:rPr>
          <w:sz w:val="24"/>
          <w:szCs w:val="24"/>
        </w:rPr>
        <w:t xml:space="preserve">).  </w:t>
      </w:r>
      <w:r w:rsidR="00B36D53">
        <w:rPr>
          <w:sz w:val="24"/>
          <w:szCs w:val="24"/>
        </w:rPr>
        <w:t xml:space="preserve">Numbers of persons with selected characteristics were calculated by multiplying the </w:t>
      </w:r>
      <w:r w:rsidR="00C14B50">
        <w:rPr>
          <w:sz w:val="24"/>
          <w:szCs w:val="24"/>
        </w:rPr>
        <w:t xml:space="preserve">prevalence estimate and lower and upper confidence intervals with the appropriate </w:t>
      </w:r>
      <w:r w:rsidR="00B36D53">
        <w:rPr>
          <w:sz w:val="24"/>
          <w:szCs w:val="24"/>
        </w:rPr>
        <w:t>population data</w:t>
      </w:r>
      <w:r w:rsidR="00C14B50">
        <w:rPr>
          <w:sz w:val="24"/>
          <w:szCs w:val="24"/>
        </w:rPr>
        <w:t xml:space="preserve"> for each characteristic of interest.  </w:t>
      </w:r>
      <w:r w:rsidR="00B36D53">
        <w:rPr>
          <w:sz w:val="24"/>
          <w:szCs w:val="24"/>
        </w:rPr>
        <w:t xml:space="preserve"> </w:t>
      </w:r>
      <w:r w:rsidR="00E32606">
        <w:rPr>
          <w:sz w:val="24"/>
          <w:szCs w:val="24"/>
        </w:rPr>
        <w:t xml:space="preserve"> </w:t>
      </w:r>
    </w:p>
    <w:p w:rsidR="007D4BE4" w:rsidRDefault="007D4BE4" w:rsidP="00212016">
      <w:pPr>
        <w:rPr>
          <w:sz w:val="24"/>
          <w:szCs w:val="24"/>
        </w:rPr>
      </w:pPr>
    </w:p>
    <w:p w:rsidR="007D4BE4" w:rsidRDefault="007D4BE4" w:rsidP="00212016">
      <w:pPr>
        <w:rPr>
          <w:sz w:val="24"/>
          <w:szCs w:val="24"/>
        </w:rPr>
      </w:pPr>
      <w:r>
        <w:rPr>
          <w:sz w:val="24"/>
          <w:szCs w:val="24"/>
        </w:rPr>
        <w:t>Statistical Methods</w:t>
      </w:r>
    </w:p>
    <w:p w:rsidR="007D4BE4" w:rsidRPr="007D4BE4" w:rsidRDefault="007D4BE4" w:rsidP="007D4BE4">
      <w:pPr>
        <w:rPr>
          <w:i/>
          <w:sz w:val="24"/>
          <w:szCs w:val="24"/>
        </w:rPr>
      </w:pPr>
      <w:r w:rsidRPr="007D4BE4">
        <w:rPr>
          <w:i/>
          <w:sz w:val="24"/>
          <w:szCs w:val="24"/>
        </w:rPr>
        <w:t xml:space="preserve">Data Retrieval and Preparation, Software Used </w:t>
      </w:r>
    </w:p>
    <w:p w:rsidR="007D4BE4" w:rsidRPr="00016F04" w:rsidRDefault="007D4BE4" w:rsidP="007D4BE4">
      <w:pPr>
        <w:rPr>
          <w:sz w:val="24"/>
          <w:szCs w:val="24"/>
        </w:rPr>
      </w:pPr>
      <w:r w:rsidRPr="00016F04">
        <w:rPr>
          <w:sz w:val="24"/>
          <w:szCs w:val="24"/>
        </w:rPr>
        <w:t xml:space="preserve">Data downloads and conversion from SAS export files were performed with R version 3.1.1 </w:t>
      </w:r>
      <w:r w:rsidR="006243E5">
        <w:rPr>
          <w:sz w:val="24"/>
          <w:szCs w:val="24"/>
        </w:rPr>
        <w:t>[</w:t>
      </w:r>
      <w:r w:rsidR="004501EE">
        <w:rPr>
          <w:sz w:val="24"/>
          <w:szCs w:val="24"/>
        </w:rPr>
        <w:t>6</w:t>
      </w:r>
      <w:r w:rsidR="006243E5">
        <w:rPr>
          <w:sz w:val="24"/>
          <w:szCs w:val="24"/>
        </w:rPr>
        <w:t>]</w:t>
      </w:r>
      <w:r w:rsidRPr="00016F04">
        <w:rPr>
          <w:sz w:val="24"/>
          <w:szCs w:val="24"/>
        </w:rPr>
        <w:t xml:space="preserve"> using the </w:t>
      </w:r>
      <w:r w:rsidRPr="00016F04">
        <w:rPr>
          <w:i/>
          <w:sz w:val="24"/>
          <w:szCs w:val="24"/>
        </w:rPr>
        <w:t>foreign</w:t>
      </w:r>
      <w:r w:rsidRPr="00016F04">
        <w:rPr>
          <w:sz w:val="24"/>
          <w:szCs w:val="24"/>
        </w:rPr>
        <w:t xml:space="preserve"> package. Data management, recodes, and derived variable creation were performed with base R. Statistical analyses, described in this supplement, were done with the </w:t>
      </w:r>
      <w:r w:rsidRPr="00016F04">
        <w:rPr>
          <w:i/>
          <w:sz w:val="24"/>
          <w:szCs w:val="24"/>
        </w:rPr>
        <w:t>survey</w:t>
      </w:r>
      <w:r w:rsidRPr="00016F04">
        <w:rPr>
          <w:sz w:val="24"/>
          <w:szCs w:val="24"/>
        </w:rPr>
        <w:t xml:space="preserve"> package </w:t>
      </w:r>
      <w:r w:rsidR="006243E5">
        <w:rPr>
          <w:sz w:val="24"/>
          <w:szCs w:val="24"/>
        </w:rPr>
        <w:t>[</w:t>
      </w:r>
      <w:r w:rsidR="004501EE">
        <w:rPr>
          <w:sz w:val="24"/>
          <w:szCs w:val="24"/>
        </w:rPr>
        <w:t>7</w:t>
      </w:r>
      <w:r w:rsidR="006243E5">
        <w:rPr>
          <w:sz w:val="24"/>
          <w:szCs w:val="24"/>
        </w:rPr>
        <w:t>]</w:t>
      </w:r>
      <w:r w:rsidRPr="00016F04">
        <w:rPr>
          <w:sz w:val="24"/>
          <w:szCs w:val="24"/>
        </w:rPr>
        <w:t xml:space="preserve">. </w:t>
      </w:r>
      <w:r w:rsidRPr="00016F04">
        <w:rPr>
          <w:i/>
          <w:sz w:val="24"/>
          <w:szCs w:val="24"/>
        </w:rPr>
        <w:t>Survey</w:t>
      </w:r>
      <w:r w:rsidRPr="00016F04">
        <w:rPr>
          <w:sz w:val="24"/>
          <w:szCs w:val="24"/>
        </w:rPr>
        <w:t xml:space="preserve"> package provides a comprehensive range of data analysis techniques for complex survey design, comparable to SUDAAN (Research Triangle Institute, Research Triangle Park, NC 27709-2194 USA). </w:t>
      </w:r>
      <w:r w:rsidR="00E20C4B">
        <w:rPr>
          <w:sz w:val="24"/>
          <w:szCs w:val="24"/>
        </w:rPr>
        <w:t xml:space="preserve"> </w:t>
      </w:r>
      <w:r w:rsidR="00E20C4B" w:rsidRPr="00E20C4B">
        <w:rPr>
          <w:sz w:val="24"/>
          <w:szCs w:val="24"/>
        </w:rPr>
        <w:t xml:space="preserve">All statistical procedures took into account the complex survey design with pseudo-stratum variables, pseudo-primary sampling unit variables, and 2-year MEC weights by describing the survey design on the full dataset and domains (subpopulations) using the </w:t>
      </w:r>
      <w:proofErr w:type="spellStart"/>
      <w:r w:rsidR="00E20C4B" w:rsidRPr="00AE5DE4">
        <w:rPr>
          <w:i/>
          <w:sz w:val="24"/>
          <w:szCs w:val="24"/>
        </w:rPr>
        <w:t>svydesign</w:t>
      </w:r>
      <w:proofErr w:type="spellEnd"/>
      <w:r w:rsidR="00E20C4B" w:rsidRPr="00E20C4B">
        <w:rPr>
          <w:sz w:val="24"/>
          <w:szCs w:val="24"/>
        </w:rPr>
        <w:t xml:space="preserve"> function. Correct specification for variance estimation in subpopulations is implemented with the </w:t>
      </w:r>
      <w:r w:rsidR="00E20C4B" w:rsidRPr="00AE5DE4">
        <w:rPr>
          <w:i/>
          <w:sz w:val="24"/>
          <w:szCs w:val="24"/>
        </w:rPr>
        <w:t>subset</w:t>
      </w:r>
      <w:r w:rsidR="00E20C4B" w:rsidRPr="00E20C4B">
        <w:rPr>
          <w:sz w:val="24"/>
          <w:szCs w:val="24"/>
        </w:rPr>
        <w:t xml:space="preserve"> function. This issue is known as domain estimation and it is vital to account for it in any complex survey design where subpopulations do not coincide with the strata, so as to produce correct standard errors.</w:t>
      </w:r>
    </w:p>
    <w:p w:rsidR="007D4BE4" w:rsidRPr="007D4BE4" w:rsidRDefault="007D4BE4" w:rsidP="007D4BE4">
      <w:pPr>
        <w:rPr>
          <w:i/>
          <w:sz w:val="24"/>
          <w:szCs w:val="24"/>
        </w:rPr>
      </w:pPr>
      <w:r w:rsidRPr="007D4BE4">
        <w:rPr>
          <w:i/>
          <w:sz w:val="24"/>
          <w:szCs w:val="24"/>
        </w:rPr>
        <w:t xml:space="preserve">Adjustment of Weights for Item Non-Response (missing TST result) </w:t>
      </w:r>
    </w:p>
    <w:p w:rsidR="007D4BE4" w:rsidRPr="00016F04" w:rsidRDefault="007D4BE4" w:rsidP="007D4BE4">
      <w:pPr>
        <w:rPr>
          <w:sz w:val="24"/>
          <w:szCs w:val="24"/>
        </w:rPr>
      </w:pPr>
      <w:r w:rsidRPr="00016F04">
        <w:rPr>
          <w:sz w:val="24"/>
          <w:szCs w:val="24"/>
        </w:rPr>
        <w:lastRenderedPageBreak/>
        <w:t xml:space="preserve">Prevalence estimates for the U.S. population were based on the NHANES 2011-2012 mobile examination center sample 2-year weights (WTMEC2YR) </w:t>
      </w:r>
      <w:r w:rsidR="006243E5">
        <w:rPr>
          <w:sz w:val="24"/>
          <w:szCs w:val="24"/>
        </w:rPr>
        <w:t>[</w:t>
      </w:r>
      <w:r w:rsidR="004501EE">
        <w:rPr>
          <w:sz w:val="24"/>
          <w:szCs w:val="24"/>
        </w:rPr>
        <w:t>8</w:t>
      </w:r>
      <w:r w:rsidR="006243E5">
        <w:rPr>
          <w:sz w:val="24"/>
          <w:szCs w:val="24"/>
        </w:rPr>
        <w:t>]</w:t>
      </w:r>
      <w:r w:rsidRPr="00016F04">
        <w:rPr>
          <w:sz w:val="24"/>
          <w:szCs w:val="24"/>
        </w:rPr>
        <w:t xml:space="preserve">. These estimates adjust for unequal probability of selection and non-response to the household interview and physical examination. </w:t>
      </w:r>
    </w:p>
    <w:p w:rsidR="007D4BE4" w:rsidRPr="00016F04" w:rsidRDefault="007D4BE4" w:rsidP="007D4BE4">
      <w:pPr>
        <w:rPr>
          <w:sz w:val="24"/>
          <w:szCs w:val="24"/>
        </w:rPr>
      </w:pPr>
      <w:r w:rsidRPr="00016F04">
        <w:rPr>
          <w:sz w:val="24"/>
          <w:szCs w:val="24"/>
        </w:rPr>
        <w:t xml:space="preserve">In NHANES 2011-2012, 9,338 survey participants (SPs) had both the home interview and physical examination conducted in the mobile examination center. TB examination and lab data were restricted to the 7,821 SPs 6 years of age or older, which corresponds to a target population of approximately 282.5 million. Of these SPs, TST measurements were available for 6,128 persons, which corresponds to approximately 228.0 million population if we use the NHANES-supplied MEC weights. Accordingly, we further adjusted the WTMEC2YR weights for item non-response, that is, a missing TST reading. Factors associated with </w:t>
      </w:r>
      <w:r w:rsidR="00E20C4B">
        <w:rPr>
          <w:sz w:val="24"/>
          <w:szCs w:val="24"/>
        </w:rPr>
        <w:t>latent TB infection (</w:t>
      </w:r>
      <w:r w:rsidR="00E20C4B" w:rsidRPr="00016F04">
        <w:rPr>
          <w:sz w:val="24"/>
          <w:szCs w:val="24"/>
        </w:rPr>
        <w:t>LTBI</w:t>
      </w:r>
      <w:r w:rsidR="00E20C4B">
        <w:rPr>
          <w:sz w:val="24"/>
          <w:szCs w:val="24"/>
        </w:rPr>
        <w:t>)</w:t>
      </w:r>
      <w:r w:rsidRPr="00016F04">
        <w:rPr>
          <w:sz w:val="24"/>
          <w:szCs w:val="24"/>
        </w:rPr>
        <w:t xml:space="preserve"> and with not having a TST result in the dataset were examined using multivariate logistic regression with the </w:t>
      </w:r>
      <w:proofErr w:type="spellStart"/>
      <w:r w:rsidRPr="00016F04">
        <w:rPr>
          <w:i/>
          <w:sz w:val="24"/>
          <w:szCs w:val="24"/>
        </w:rPr>
        <w:t>glm</w:t>
      </w:r>
      <w:proofErr w:type="spellEnd"/>
      <w:r w:rsidRPr="00016F04">
        <w:rPr>
          <w:sz w:val="24"/>
          <w:szCs w:val="24"/>
        </w:rPr>
        <w:t xml:space="preserve"> function with family=binomial option. Predicted probabilities of response for TST measurements in categories (i.e., TST not missing) were calculated using the </w:t>
      </w:r>
      <w:r w:rsidRPr="00016F04">
        <w:rPr>
          <w:i/>
          <w:sz w:val="24"/>
          <w:szCs w:val="24"/>
        </w:rPr>
        <w:t>fitted</w:t>
      </w:r>
      <w:r w:rsidRPr="00016F04">
        <w:rPr>
          <w:sz w:val="24"/>
          <w:szCs w:val="24"/>
        </w:rPr>
        <w:t xml:space="preserve"> function. New weights were produced by dividing the NHANES-supplied weight (WTMEC2YR) by the predicted probability of TST response within each category of covariates used in the logistic regression model for those SPs with a TST result. Otherwise, the new weight was set to zero. This was done in order to correct for possible bias in prevalence estimates based on those </w:t>
      </w:r>
      <w:r w:rsidR="00E20C4B" w:rsidRPr="00016F04">
        <w:rPr>
          <w:sz w:val="24"/>
          <w:szCs w:val="24"/>
        </w:rPr>
        <w:t>SP</w:t>
      </w:r>
      <w:r w:rsidR="00E20C4B">
        <w:rPr>
          <w:sz w:val="24"/>
          <w:szCs w:val="24"/>
        </w:rPr>
        <w:t>s</w:t>
      </w:r>
      <w:r w:rsidR="00E20C4B" w:rsidRPr="00016F04">
        <w:rPr>
          <w:sz w:val="24"/>
          <w:szCs w:val="24"/>
        </w:rPr>
        <w:t xml:space="preserve"> </w:t>
      </w:r>
      <w:r w:rsidRPr="00016F04">
        <w:rPr>
          <w:sz w:val="24"/>
          <w:szCs w:val="24"/>
        </w:rPr>
        <w:t xml:space="preserve">with a TST reading. Potential predictor variables included demographic factors (e.g. age, gender, race/ethnicity, place of birth) and socioeconomic indicators (e.g. poverty status, educational attainment). After examining potential models, we selected a model that used age and place of birth as predictors. Hispanic race and ethnicity was significant as a predictor as well, but in the interests of retaining sufficiently large cell sizes for regression, we omitted it. </w:t>
      </w:r>
    </w:p>
    <w:p w:rsidR="007D4BE4" w:rsidRPr="00016F04" w:rsidRDefault="00600B2D" w:rsidP="007D4BE4">
      <w:pPr>
        <w:rPr>
          <w:sz w:val="24"/>
          <w:szCs w:val="24"/>
        </w:rPr>
      </w:pPr>
      <w:r>
        <w:rPr>
          <w:sz w:val="24"/>
          <w:szCs w:val="24"/>
        </w:rPr>
        <w:t>Followin</w:t>
      </w:r>
      <w:r w:rsidR="006243E5">
        <w:rPr>
          <w:sz w:val="24"/>
          <w:szCs w:val="24"/>
        </w:rPr>
        <w:t>g the example in Lumley’s text [9, p.191]</w:t>
      </w:r>
      <w:r>
        <w:rPr>
          <w:sz w:val="24"/>
          <w:szCs w:val="24"/>
        </w:rPr>
        <w:t>, w</w:t>
      </w:r>
      <w:r w:rsidR="007D4BE4" w:rsidRPr="00016F04">
        <w:rPr>
          <w:sz w:val="24"/>
          <w:szCs w:val="24"/>
        </w:rPr>
        <w:t>e performed logistic regression on the unweighted survey data, as opposed to adjusting to the whole population using the complex survey design (</w:t>
      </w:r>
      <w:proofErr w:type="spellStart"/>
      <w:r w:rsidR="007D4BE4" w:rsidRPr="00016F04">
        <w:rPr>
          <w:i/>
          <w:sz w:val="24"/>
          <w:szCs w:val="24"/>
        </w:rPr>
        <w:t>svyglm</w:t>
      </w:r>
      <w:proofErr w:type="spellEnd"/>
      <w:r w:rsidR="007D4BE4" w:rsidRPr="00016F04">
        <w:rPr>
          <w:sz w:val="24"/>
          <w:szCs w:val="24"/>
        </w:rPr>
        <w:t xml:space="preserve"> function with family=</w:t>
      </w:r>
      <w:proofErr w:type="spellStart"/>
      <w:r w:rsidR="007D4BE4" w:rsidRPr="00016F04">
        <w:rPr>
          <w:sz w:val="24"/>
          <w:szCs w:val="24"/>
        </w:rPr>
        <w:t>quasibinomial</w:t>
      </w:r>
      <w:proofErr w:type="spellEnd"/>
      <w:r w:rsidR="007D4BE4" w:rsidRPr="00016F04">
        <w:rPr>
          <w:sz w:val="24"/>
          <w:szCs w:val="24"/>
        </w:rPr>
        <w:t xml:space="preserve"> option). This was done because item non-response in TST reading is a feature of the survey data itself and not of the overall U.S. population. Reweighting via a weighted logistic regression with </w:t>
      </w:r>
      <w:proofErr w:type="spellStart"/>
      <w:r w:rsidR="007D4BE4" w:rsidRPr="00016F04">
        <w:rPr>
          <w:i/>
          <w:sz w:val="24"/>
          <w:szCs w:val="24"/>
        </w:rPr>
        <w:t>svyglm</w:t>
      </w:r>
      <w:proofErr w:type="spellEnd"/>
      <w:r w:rsidR="007D4BE4" w:rsidRPr="00016F04">
        <w:rPr>
          <w:sz w:val="24"/>
          <w:szCs w:val="24"/>
        </w:rPr>
        <w:t xml:space="preserve"> would produce a population total based on the 6,128 SPs with TST reading of 282.5 million, coinciding with the number based on the full 7,821 SPs using the original NHANES weights. Our unweighted survey data based regression produced an estimate of 284.8 million, a relative difference of 0.07%. This amount of difference is sufficiently small that it did not significantly affect variance estimates based on our new weights. Moreover, National Center for Health Statistics guidelines </w:t>
      </w:r>
      <w:r w:rsidR="00CD3B7F">
        <w:rPr>
          <w:sz w:val="24"/>
          <w:szCs w:val="24"/>
        </w:rPr>
        <w:t>[</w:t>
      </w:r>
      <w:r w:rsidR="004501EE">
        <w:rPr>
          <w:sz w:val="24"/>
          <w:szCs w:val="24"/>
        </w:rPr>
        <w:t>8</w:t>
      </w:r>
      <w:r w:rsidR="00CD3B7F">
        <w:rPr>
          <w:sz w:val="24"/>
          <w:szCs w:val="24"/>
        </w:rPr>
        <w:t>]</w:t>
      </w:r>
      <w:r w:rsidR="007D4BE4" w:rsidRPr="00016F04">
        <w:rPr>
          <w:sz w:val="24"/>
          <w:szCs w:val="24"/>
        </w:rPr>
        <w:t xml:space="preserve"> recommend that estimated population numbers for prevalence rates be based on American Community Survey denominators, and not those calculated from NHANES weights. As a result, 0.07% difference is </w:t>
      </w:r>
      <w:r>
        <w:rPr>
          <w:sz w:val="24"/>
          <w:szCs w:val="24"/>
        </w:rPr>
        <w:t>minor. W</w:t>
      </w:r>
      <w:r w:rsidR="007D4BE4" w:rsidRPr="00016F04">
        <w:rPr>
          <w:sz w:val="24"/>
          <w:szCs w:val="24"/>
        </w:rPr>
        <w:t xml:space="preserve">e demonstrate the close agreement obtained by using our new weights with NHANES weight-based demographic profiles for the population aged 6 and over </w:t>
      </w:r>
      <w:r w:rsidR="007D4BE4" w:rsidRPr="00016F04">
        <w:rPr>
          <w:sz w:val="24"/>
          <w:szCs w:val="24"/>
        </w:rPr>
        <w:lastRenderedPageBreak/>
        <w:t xml:space="preserve">(Supplement Table 1). The NHANES 1999-2000 sample weights were adjusted using this same method. </w:t>
      </w:r>
    </w:p>
    <w:p w:rsidR="007D4BE4" w:rsidRPr="00016F04" w:rsidRDefault="007D4BE4" w:rsidP="007D4BE4">
      <w:pPr>
        <w:rPr>
          <w:sz w:val="24"/>
          <w:szCs w:val="24"/>
        </w:rPr>
      </w:pPr>
      <w:r w:rsidRPr="00016F04">
        <w:rPr>
          <w:sz w:val="24"/>
          <w:szCs w:val="24"/>
        </w:rPr>
        <w:t xml:space="preserve">Although there was item non-response in IGRA results, it was not as pronounced as for TST: 714 out of 7,821 SPs were missing an IGRA result. Of these, 669 SPs were also missing TST reading. </w:t>
      </w:r>
      <w:r>
        <w:rPr>
          <w:sz w:val="24"/>
          <w:szCs w:val="24"/>
        </w:rPr>
        <w:t>(There were 27</w:t>
      </w:r>
      <w:r w:rsidR="007B0438">
        <w:rPr>
          <w:sz w:val="24"/>
          <w:szCs w:val="24"/>
        </w:rPr>
        <w:t xml:space="preserve"> </w:t>
      </w:r>
      <w:r w:rsidRPr="00016F04">
        <w:rPr>
          <w:sz w:val="24"/>
          <w:szCs w:val="24"/>
        </w:rPr>
        <w:t xml:space="preserve">indeterminate </w:t>
      </w:r>
      <w:r w:rsidR="004501EE">
        <w:rPr>
          <w:sz w:val="24"/>
          <w:szCs w:val="24"/>
        </w:rPr>
        <w:t xml:space="preserve">IGRA </w:t>
      </w:r>
      <w:r w:rsidRPr="00016F04">
        <w:rPr>
          <w:sz w:val="24"/>
          <w:szCs w:val="24"/>
        </w:rPr>
        <w:t xml:space="preserve">readings as well.) We did not adjust for item non-response in IGRA results. </w:t>
      </w:r>
    </w:p>
    <w:p w:rsidR="007D4BE4" w:rsidRPr="007D4BE4" w:rsidRDefault="007D4BE4" w:rsidP="007D4BE4">
      <w:pPr>
        <w:rPr>
          <w:i/>
          <w:sz w:val="24"/>
          <w:szCs w:val="24"/>
        </w:rPr>
      </w:pPr>
      <w:r w:rsidRPr="007D4BE4">
        <w:rPr>
          <w:i/>
          <w:sz w:val="24"/>
          <w:szCs w:val="24"/>
        </w:rPr>
        <w:t xml:space="preserve">Statistical Analyses </w:t>
      </w:r>
    </w:p>
    <w:p w:rsidR="007D4BE4" w:rsidRDefault="007D4BE4" w:rsidP="007D4BE4">
      <w:pPr>
        <w:rPr>
          <w:sz w:val="24"/>
          <w:szCs w:val="24"/>
        </w:rPr>
      </w:pPr>
      <w:r w:rsidRPr="00016F04">
        <w:rPr>
          <w:sz w:val="24"/>
          <w:szCs w:val="24"/>
        </w:rPr>
        <w:t xml:space="preserve">In all analyses, the prevalence of </w:t>
      </w:r>
      <w:r w:rsidR="00E20C4B">
        <w:rPr>
          <w:sz w:val="24"/>
          <w:szCs w:val="24"/>
        </w:rPr>
        <w:t xml:space="preserve">TST and </w:t>
      </w:r>
      <w:r w:rsidRPr="00016F04">
        <w:rPr>
          <w:sz w:val="24"/>
          <w:szCs w:val="24"/>
        </w:rPr>
        <w:t xml:space="preserve">IGRA positivity, and associated 95% confidence intervals, were calculated using the </w:t>
      </w:r>
      <w:proofErr w:type="spellStart"/>
      <w:r w:rsidRPr="00016F04">
        <w:rPr>
          <w:i/>
          <w:sz w:val="24"/>
          <w:szCs w:val="24"/>
        </w:rPr>
        <w:t>svyby</w:t>
      </w:r>
      <w:proofErr w:type="spellEnd"/>
      <w:r w:rsidRPr="00016F04">
        <w:rPr>
          <w:sz w:val="24"/>
          <w:szCs w:val="24"/>
        </w:rPr>
        <w:t xml:space="preserve"> function with the </w:t>
      </w:r>
      <w:proofErr w:type="spellStart"/>
      <w:r w:rsidRPr="00016F04">
        <w:rPr>
          <w:i/>
          <w:sz w:val="24"/>
          <w:szCs w:val="24"/>
        </w:rPr>
        <w:t>svyciprop</w:t>
      </w:r>
      <w:proofErr w:type="spellEnd"/>
      <w:r w:rsidRPr="00016F04">
        <w:rPr>
          <w:sz w:val="24"/>
          <w:szCs w:val="24"/>
        </w:rPr>
        <w:t xml:space="preserve"> option and method=“logit”, </w:t>
      </w:r>
      <w:proofErr w:type="spellStart"/>
      <w:r w:rsidRPr="00016F04">
        <w:rPr>
          <w:sz w:val="24"/>
          <w:szCs w:val="24"/>
        </w:rPr>
        <w:t>vartype</w:t>
      </w:r>
      <w:proofErr w:type="spellEnd"/>
      <w:r w:rsidRPr="00016F04">
        <w:rPr>
          <w:sz w:val="24"/>
          <w:szCs w:val="24"/>
        </w:rPr>
        <w:t>=“ci” calls. The “logit” call fits a logistic regression model and computes a Wald-type interval on the log-odds scale, which is back transformed to the interval (0, 1). The prevalence of TST, double positivity and 95% CIs, were derived from an imputation-like procedure which took into account digit preference at 9</w:t>
      </w:r>
      <w:r w:rsidR="00CD3B7F">
        <w:rPr>
          <w:sz w:val="24"/>
          <w:szCs w:val="24"/>
        </w:rPr>
        <w:t xml:space="preserve"> </w:t>
      </w:r>
      <w:r w:rsidRPr="00016F04">
        <w:rPr>
          <w:sz w:val="24"/>
          <w:szCs w:val="24"/>
        </w:rPr>
        <w:t xml:space="preserve">mm induration. Imputation estimates were averaged and standard errors were based on the individual imputed standard errors, which were estimated with </w:t>
      </w:r>
      <w:proofErr w:type="spellStart"/>
      <w:r w:rsidRPr="00016F04">
        <w:rPr>
          <w:i/>
          <w:sz w:val="24"/>
          <w:szCs w:val="24"/>
        </w:rPr>
        <w:t>svyciprop</w:t>
      </w:r>
      <w:proofErr w:type="spellEnd"/>
      <w:r w:rsidRPr="00016F04">
        <w:rPr>
          <w:i/>
          <w:sz w:val="24"/>
          <w:szCs w:val="24"/>
        </w:rPr>
        <w:t xml:space="preserve"> </w:t>
      </w:r>
      <w:r w:rsidRPr="00016F04">
        <w:rPr>
          <w:sz w:val="24"/>
          <w:szCs w:val="24"/>
        </w:rPr>
        <w:t xml:space="preserve">and back-transformed from the logit scale to the probability scale. Details </w:t>
      </w:r>
      <w:r w:rsidR="00E20C4B">
        <w:rPr>
          <w:sz w:val="24"/>
          <w:szCs w:val="24"/>
        </w:rPr>
        <w:t>of imputation averaging</w:t>
      </w:r>
      <w:r w:rsidR="00E20C4B" w:rsidRPr="00016F04">
        <w:rPr>
          <w:sz w:val="24"/>
          <w:szCs w:val="24"/>
        </w:rPr>
        <w:t xml:space="preserve"> </w:t>
      </w:r>
      <w:r w:rsidRPr="00016F04">
        <w:rPr>
          <w:sz w:val="24"/>
          <w:szCs w:val="24"/>
        </w:rPr>
        <w:t xml:space="preserve">are described below. </w:t>
      </w:r>
    </w:p>
    <w:p w:rsidR="0045523F" w:rsidRPr="00424FB3" w:rsidRDefault="0045523F" w:rsidP="007D4BE4">
      <w:pPr>
        <w:rPr>
          <w:sz w:val="24"/>
          <w:szCs w:val="24"/>
        </w:rPr>
      </w:pPr>
      <w:r>
        <w:rPr>
          <w:sz w:val="24"/>
          <w:szCs w:val="24"/>
        </w:rPr>
        <w:t xml:space="preserve">The relative standard error (RSE) was used as a measure of the reliability of statistical estimates. </w:t>
      </w:r>
      <w:r w:rsidR="00902E0B">
        <w:rPr>
          <w:sz w:val="24"/>
          <w:szCs w:val="24"/>
        </w:rPr>
        <w:t>The RSE is the ratio of the standard error to the point estimate. Estimates were originally calculated on the logit scale, then back-transformed to the probability scale</w:t>
      </w:r>
      <w:r w:rsidR="00E20C4B">
        <w:rPr>
          <w:sz w:val="24"/>
          <w:szCs w:val="24"/>
        </w:rPr>
        <w:t xml:space="preserve">, </w:t>
      </w:r>
      <w:r w:rsidR="00E20C4B" w:rsidRPr="00422FB0">
        <w:rPr>
          <w:sz w:val="24"/>
          <w:szCs w:val="24"/>
        </w:rPr>
        <w:t>according to the delta method (first order Taylor series) approximation</w:t>
      </w:r>
      <w:r w:rsidR="00902E0B">
        <w:rPr>
          <w:sz w:val="24"/>
          <w:szCs w:val="24"/>
        </w:rPr>
        <w:t xml:space="preserve">. Therefore, the RSE was calculated as the ratio of the standard error on the probability scale, given by the delta method, to </w:t>
      </w:r>
      <w:r w:rsidR="00424FB3">
        <w:rPr>
          <w:sz w:val="24"/>
          <w:szCs w:val="24"/>
        </w:rPr>
        <w:t xml:space="preserve">the </w:t>
      </w:r>
      <w:r w:rsidR="00902E0B">
        <w:rPr>
          <w:sz w:val="24"/>
          <w:szCs w:val="24"/>
        </w:rPr>
        <w:t xml:space="preserve">point estimate on the probability scale. </w:t>
      </w:r>
      <w:r w:rsidR="00424FB3">
        <w:rPr>
          <w:sz w:val="24"/>
          <w:szCs w:val="24"/>
        </w:rPr>
        <w:t xml:space="preserve">Specifically, if </w:t>
      </w:r>
      <w:r w:rsidR="00424FB3">
        <w:rPr>
          <w:i/>
          <w:sz w:val="24"/>
          <w:szCs w:val="24"/>
        </w:rPr>
        <w:t>p</w:t>
      </w:r>
      <w:r w:rsidR="00424FB3">
        <w:rPr>
          <w:sz w:val="24"/>
          <w:szCs w:val="24"/>
        </w:rPr>
        <w:t xml:space="preserve"> denotes the probability point estimate and </w:t>
      </w:r>
      <w:proofErr w:type="spellStart"/>
      <w:r w:rsidR="00424FB3">
        <w:rPr>
          <w:i/>
          <w:sz w:val="24"/>
          <w:szCs w:val="24"/>
        </w:rPr>
        <w:t>s.e.</w:t>
      </w:r>
      <w:proofErr w:type="spellEnd"/>
      <w:r w:rsidR="00424FB3">
        <w:rPr>
          <w:sz w:val="24"/>
          <w:szCs w:val="24"/>
        </w:rPr>
        <w:t xml:space="preserve"> </w:t>
      </w:r>
      <w:r w:rsidR="00E20C4B" w:rsidRPr="00E20C4B">
        <w:rPr>
          <w:sz w:val="24"/>
          <w:szCs w:val="24"/>
        </w:rPr>
        <w:t xml:space="preserve">(logit) </w:t>
      </w:r>
      <w:r w:rsidR="00424FB3">
        <w:rPr>
          <w:sz w:val="24"/>
          <w:szCs w:val="24"/>
        </w:rPr>
        <w:t xml:space="preserve">the standard error on the logit scale, then </w:t>
      </w:r>
      <w:r w:rsidR="00E20C4B">
        <w:rPr>
          <w:sz w:val="24"/>
          <w:szCs w:val="24"/>
        </w:rPr>
        <w:t xml:space="preserve">the delta method expression for the standard error on the probability scale is </w:t>
      </w:r>
      <w:r w:rsidR="00E20C4B" w:rsidRPr="00387CEB">
        <w:rPr>
          <w:i/>
          <w:sz w:val="24"/>
          <w:szCs w:val="24"/>
        </w:rPr>
        <w:t>p</w:t>
      </w:r>
      <w:r w:rsidR="00E20C4B">
        <w:rPr>
          <w:sz w:val="24"/>
          <w:szCs w:val="24"/>
        </w:rPr>
        <w:t xml:space="preserve"> × (1−</w:t>
      </w:r>
      <w:r w:rsidR="00E20C4B">
        <w:rPr>
          <w:i/>
          <w:sz w:val="24"/>
          <w:szCs w:val="24"/>
        </w:rPr>
        <w:t>p</w:t>
      </w:r>
      <w:r w:rsidR="00E20C4B">
        <w:rPr>
          <w:sz w:val="24"/>
          <w:szCs w:val="24"/>
        </w:rPr>
        <w:t xml:space="preserve">) × </w:t>
      </w:r>
      <w:proofErr w:type="spellStart"/>
      <w:r w:rsidR="00E20C4B">
        <w:rPr>
          <w:i/>
          <w:sz w:val="24"/>
          <w:szCs w:val="24"/>
        </w:rPr>
        <w:t>s.e.</w:t>
      </w:r>
      <w:proofErr w:type="spellEnd"/>
      <w:r w:rsidR="00E20C4B">
        <w:rPr>
          <w:sz w:val="24"/>
          <w:szCs w:val="24"/>
        </w:rPr>
        <w:t xml:space="preserve">(logit) so that the </w:t>
      </w:r>
      <w:r w:rsidR="00424FB3">
        <w:rPr>
          <w:sz w:val="24"/>
          <w:szCs w:val="24"/>
        </w:rPr>
        <w:t>RSE= (1−</w:t>
      </w:r>
      <w:r w:rsidR="00424FB3">
        <w:rPr>
          <w:i/>
          <w:sz w:val="24"/>
          <w:szCs w:val="24"/>
        </w:rPr>
        <w:t>p</w:t>
      </w:r>
      <w:r w:rsidR="00424FB3">
        <w:rPr>
          <w:sz w:val="24"/>
          <w:szCs w:val="24"/>
        </w:rPr>
        <w:t xml:space="preserve">) × </w:t>
      </w:r>
      <w:proofErr w:type="spellStart"/>
      <w:r w:rsidR="00424FB3">
        <w:rPr>
          <w:i/>
          <w:sz w:val="24"/>
          <w:szCs w:val="24"/>
        </w:rPr>
        <w:t>s.e.</w:t>
      </w:r>
      <w:proofErr w:type="spellEnd"/>
      <w:r w:rsidR="00424FB3">
        <w:rPr>
          <w:sz w:val="24"/>
          <w:szCs w:val="24"/>
        </w:rPr>
        <w:t xml:space="preserve"> </w:t>
      </w:r>
      <w:r w:rsidR="00E20C4B" w:rsidRPr="00E20C4B">
        <w:rPr>
          <w:sz w:val="24"/>
          <w:szCs w:val="24"/>
        </w:rPr>
        <w:t>(logit)</w:t>
      </w:r>
      <w:r w:rsidR="00E20C4B">
        <w:rPr>
          <w:sz w:val="24"/>
          <w:szCs w:val="24"/>
        </w:rPr>
        <w:t xml:space="preserve">.  </w:t>
      </w:r>
      <w:r w:rsidR="00424FB3">
        <w:rPr>
          <w:sz w:val="24"/>
          <w:szCs w:val="24"/>
        </w:rPr>
        <w:t xml:space="preserve">Following NCHS recommendations, RSE &gt; 0.3 was deemed to indicate an unreliable estimate. </w:t>
      </w:r>
    </w:p>
    <w:p w:rsidR="00037BA8" w:rsidRPr="00F622EF" w:rsidRDefault="00037BA8" w:rsidP="00AE6CEC">
      <w:pPr>
        <w:rPr>
          <w:i/>
          <w:sz w:val="24"/>
          <w:szCs w:val="24"/>
        </w:rPr>
      </w:pPr>
      <w:r w:rsidRPr="00F622EF">
        <w:rPr>
          <w:i/>
          <w:sz w:val="24"/>
          <w:szCs w:val="24"/>
        </w:rPr>
        <w:t>Tuberculin Skin Test Positive at 5 mm or Greater</w:t>
      </w:r>
    </w:p>
    <w:p w:rsidR="00037BA8" w:rsidRPr="00037BA8" w:rsidRDefault="00037BA8" w:rsidP="00037BA8">
      <w:pPr>
        <w:rPr>
          <w:sz w:val="24"/>
          <w:szCs w:val="24"/>
          <w:lang w:val="en"/>
        </w:rPr>
      </w:pPr>
      <w:r w:rsidRPr="00037BA8">
        <w:rPr>
          <w:sz w:val="24"/>
          <w:szCs w:val="24"/>
          <w:lang w:val="en"/>
        </w:rPr>
        <w:t>We examined TST positivity proportions resulting from</w:t>
      </w:r>
      <w:r>
        <w:rPr>
          <w:sz w:val="24"/>
          <w:szCs w:val="24"/>
          <w:lang w:val="en"/>
        </w:rPr>
        <w:t xml:space="preserve"> a &gt;5 mm cut-off (Table 2), which is considered positive in persons with recent close contact with TB or HIV infection. </w:t>
      </w:r>
    </w:p>
    <w:p w:rsidR="007D4BE4" w:rsidRPr="00D42A2A" w:rsidRDefault="00D42A2A" w:rsidP="007D4BE4">
      <w:pPr>
        <w:rPr>
          <w:i/>
          <w:sz w:val="24"/>
          <w:szCs w:val="24"/>
        </w:rPr>
      </w:pPr>
      <w:r w:rsidRPr="00D42A2A">
        <w:rPr>
          <w:i/>
          <w:sz w:val="24"/>
          <w:szCs w:val="24"/>
        </w:rPr>
        <w:t>Digit Preference</w:t>
      </w:r>
    </w:p>
    <w:p w:rsidR="00D42A2A" w:rsidRDefault="00A169CD" w:rsidP="007D4BE4">
      <w:pPr>
        <w:rPr>
          <w:sz w:val="24"/>
          <w:szCs w:val="24"/>
        </w:rPr>
      </w:pPr>
      <w:r>
        <w:rPr>
          <w:sz w:val="24"/>
          <w:szCs w:val="24"/>
        </w:rPr>
        <w:t>TST induration data for survey participants in the NHANES 2011-2012 survey cycle exhibited substantial digit preference, particularly a preference for 9</w:t>
      </w:r>
      <w:r w:rsidR="00904263">
        <w:rPr>
          <w:sz w:val="24"/>
          <w:szCs w:val="24"/>
        </w:rPr>
        <w:t xml:space="preserve"> </w:t>
      </w:r>
      <w:r>
        <w:rPr>
          <w:sz w:val="24"/>
          <w:szCs w:val="24"/>
        </w:rPr>
        <w:t>mm over 10</w:t>
      </w:r>
      <w:r w:rsidR="00904263">
        <w:rPr>
          <w:sz w:val="24"/>
          <w:szCs w:val="24"/>
        </w:rPr>
        <w:t xml:space="preserve"> </w:t>
      </w:r>
      <w:r>
        <w:rPr>
          <w:sz w:val="24"/>
          <w:szCs w:val="24"/>
        </w:rPr>
        <w:t xml:space="preserve">mm. Pronounced spikes were </w:t>
      </w:r>
      <w:r w:rsidR="00790791">
        <w:rPr>
          <w:sz w:val="24"/>
          <w:szCs w:val="24"/>
        </w:rPr>
        <w:t xml:space="preserve">also </w:t>
      </w:r>
      <w:r>
        <w:rPr>
          <w:sz w:val="24"/>
          <w:szCs w:val="24"/>
        </w:rPr>
        <w:t>apparent at 2</w:t>
      </w:r>
      <w:r w:rsidR="00D2452B">
        <w:rPr>
          <w:sz w:val="24"/>
          <w:szCs w:val="24"/>
        </w:rPr>
        <w:t xml:space="preserve"> </w:t>
      </w:r>
      <w:r>
        <w:rPr>
          <w:sz w:val="24"/>
          <w:szCs w:val="24"/>
        </w:rPr>
        <w:t xml:space="preserve">mm </w:t>
      </w:r>
      <w:r w:rsidR="00790791">
        <w:rPr>
          <w:sz w:val="24"/>
          <w:szCs w:val="24"/>
        </w:rPr>
        <w:t xml:space="preserve">in the initial release of the induration data which comprised a </w:t>
      </w:r>
      <w:r w:rsidR="00790791">
        <w:rPr>
          <w:sz w:val="24"/>
          <w:szCs w:val="24"/>
        </w:rPr>
        <w:lastRenderedPageBreak/>
        <w:t>single induration reading and also, though attenuated, in the subsequent updated release in early 2015 of the induration variable (TBDRUIND) which is an average of up to 3 induration readings per SP</w:t>
      </w:r>
      <w:r w:rsidR="00E14133">
        <w:rPr>
          <w:sz w:val="24"/>
          <w:szCs w:val="24"/>
        </w:rPr>
        <w:t xml:space="preserve"> from different TST readers</w:t>
      </w:r>
      <w:r w:rsidR="00790791">
        <w:rPr>
          <w:sz w:val="24"/>
          <w:szCs w:val="24"/>
        </w:rPr>
        <w:t xml:space="preserve">. </w:t>
      </w:r>
      <w:r w:rsidR="00227D37">
        <w:rPr>
          <w:sz w:val="24"/>
          <w:szCs w:val="24"/>
        </w:rPr>
        <w:t xml:space="preserve">(This variable was </w:t>
      </w:r>
      <w:r w:rsidR="00C07DAF">
        <w:rPr>
          <w:sz w:val="24"/>
          <w:szCs w:val="24"/>
        </w:rPr>
        <w:t xml:space="preserve">released for comparability with the NHANES 1999-2000 induration data and is </w:t>
      </w:r>
      <w:r w:rsidR="00227D37">
        <w:rPr>
          <w:sz w:val="24"/>
          <w:szCs w:val="24"/>
        </w:rPr>
        <w:t xml:space="preserve">given to 1 decimal place; for analysis, we rounded it down to the nearest whole integer mm reading.) </w:t>
      </w:r>
      <w:r w:rsidR="00790791">
        <w:rPr>
          <w:sz w:val="24"/>
          <w:szCs w:val="24"/>
        </w:rPr>
        <w:t xml:space="preserve">These digit preferences were prominent across all clusters and strata and demographic variables. </w:t>
      </w:r>
      <w:r w:rsidR="00C07DAF">
        <w:rPr>
          <w:sz w:val="24"/>
          <w:szCs w:val="24"/>
        </w:rPr>
        <w:t>In this sense, the 2011-2012 induration data were qualitatively different from those in the 1999-2000 survey cycle which exhibited the more commonly observed slight preference for 10</w:t>
      </w:r>
      <w:r w:rsidR="00D2452B">
        <w:rPr>
          <w:sz w:val="24"/>
          <w:szCs w:val="24"/>
        </w:rPr>
        <w:t xml:space="preserve"> </w:t>
      </w:r>
      <w:r w:rsidR="00C07DAF">
        <w:rPr>
          <w:sz w:val="24"/>
          <w:szCs w:val="24"/>
        </w:rPr>
        <w:t>mm over 9</w:t>
      </w:r>
      <w:r w:rsidR="00D2452B">
        <w:rPr>
          <w:sz w:val="24"/>
          <w:szCs w:val="24"/>
        </w:rPr>
        <w:t xml:space="preserve"> </w:t>
      </w:r>
      <w:r w:rsidR="00C07DAF">
        <w:rPr>
          <w:sz w:val="24"/>
          <w:szCs w:val="24"/>
        </w:rPr>
        <w:t xml:space="preserve">mm. </w:t>
      </w:r>
      <w:r w:rsidR="00790791">
        <w:rPr>
          <w:sz w:val="24"/>
          <w:szCs w:val="24"/>
        </w:rPr>
        <w:t xml:space="preserve">When defining latent TB infection </w:t>
      </w:r>
      <w:r w:rsidR="00E14133">
        <w:rPr>
          <w:sz w:val="24"/>
          <w:szCs w:val="24"/>
        </w:rPr>
        <w:t xml:space="preserve">prevalence </w:t>
      </w:r>
      <w:r w:rsidR="00790791">
        <w:rPr>
          <w:sz w:val="24"/>
          <w:szCs w:val="24"/>
        </w:rPr>
        <w:t xml:space="preserve">as </w:t>
      </w:r>
      <w:r w:rsidR="00E14133">
        <w:rPr>
          <w:sz w:val="24"/>
          <w:szCs w:val="24"/>
        </w:rPr>
        <w:t>the proportion among all</w:t>
      </w:r>
      <w:r w:rsidR="00790791">
        <w:rPr>
          <w:sz w:val="24"/>
          <w:szCs w:val="24"/>
        </w:rPr>
        <w:t xml:space="preserve"> </w:t>
      </w:r>
      <w:r w:rsidR="00E14133">
        <w:rPr>
          <w:sz w:val="24"/>
          <w:szCs w:val="24"/>
        </w:rPr>
        <w:t xml:space="preserve">induration readings of those </w:t>
      </w:r>
      <w:r w:rsidR="00C07DAF">
        <w:rPr>
          <w:sz w:val="24"/>
          <w:szCs w:val="24"/>
        </w:rPr>
        <w:t>that are 10</w:t>
      </w:r>
      <w:r w:rsidR="00D2452B">
        <w:rPr>
          <w:sz w:val="24"/>
          <w:szCs w:val="24"/>
        </w:rPr>
        <w:t xml:space="preserve"> </w:t>
      </w:r>
      <w:r w:rsidR="00C07DAF">
        <w:rPr>
          <w:sz w:val="24"/>
          <w:szCs w:val="24"/>
        </w:rPr>
        <w:t>mm or more, the preference for 2</w:t>
      </w:r>
      <w:r w:rsidR="00D2452B">
        <w:rPr>
          <w:sz w:val="24"/>
          <w:szCs w:val="24"/>
        </w:rPr>
        <w:t xml:space="preserve"> </w:t>
      </w:r>
      <w:r w:rsidR="00C07DAF">
        <w:rPr>
          <w:sz w:val="24"/>
          <w:szCs w:val="24"/>
        </w:rPr>
        <w:t>mm is relatively unimportant, but that at 9</w:t>
      </w:r>
      <w:r w:rsidR="00D2452B">
        <w:rPr>
          <w:sz w:val="24"/>
          <w:szCs w:val="24"/>
        </w:rPr>
        <w:t xml:space="preserve"> </w:t>
      </w:r>
      <w:r w:rsidR="00C07DAF">
        <w:rPr>
          <w:sz w:val="24"/>
          <w:szCs w:val="24"/>
        </w:rPr>
        <w:t xml:space="preserve">mm may lead to underestimation of LTBI. </w:t>
      </w:r>
    </w:p>
    <w:p w:rsidR="00D42A2A" w:rsidRDefault="006C262C" w:rsidP="007D4BE4">
      <w:pPr>
        <w:rPr>
          <w:sz w:val="24"/>
          <w:szCs w:val="24"/>
        </w:rPr>
      </w:pPr>
      <w:r>
        <w:rPr>
          <w:sz w:val="24"/>
          <w:szCs w:val="24"/>
        </w:rPr>
        <w:t xml:space="preserve">Digit correction methods have been in currency for some time and in large part have been motivated by these problems with TST induration </w:t>
      </w:r>
      <w:r w:rsidRPr="00764A4A">
        <w:rPr>
          <w:sz w:val="24"/>
          <w:szCs w:val="24"/>
        </w:rPr>
        <w:t xml:space="preserve">data </w:t>
      </w:r>
      <w:r w:rsidR="006243E5">
        <w:rPr>
          <w:sz w:val="24"/>
          <w:szCs w:val="24"/>
        </w:rPr>
        <w:t>[</w:t>
      </w:r>
      <w:r w:rsidR="00764A4A" w:rsidRPr="00764A4A">
        <w:rPr>
          <w:sz w:val="24"/>
          <w:szCs w:val="24"/>
        </w:rPr>
        <w:t>10</w:t>
      </w:r>
      <w:r w:rsidR="006243E5">
        <w:rPr>
          <w:sz w:val="24"/>
          <w:szCs w:val="24"/>
        </w:rPr>
        <w:t>]</w:t>
      </w:r>
      <w:r w:rsidRPr="00764A4A">
        <w:rPr>
          <w:sz w:val="24"/>
          <w:szCs w:val="24"/>
        </w:rPr>
        <w:t xml:space="preserve">. </w:t>
      </w:r>
      <w:r w:rsidR="0062048C" w:rsidRPr="00764A4A">
        <w:rPr>
          <w:sz w:val="24"/>
          <w:szCs w:val="24"/>
        </w:rPr>
        <w:t>We used a digit preference smoothing method to reduce the bias from the 9</w:t>
      </w:r>
      <w:r w:rsidR="00D2452B" w:rsidRPr="00764A4A">
        <w:rPr>
          <w:sz w:val="24"/>
          <w:szCs w:val="24"/>
        </w:rPr>
        <w:t xml:space="preserve"> </w:t>
      </w:r>
      <w:r w:rsidR="0062048C" w:rsidRPr="00764A4A">
        <w:rPr>
          <w:sz w:val="24"/>
          <w:szCs w:val="24"/>
        </w:rPr>
        <w:t xml:space="preserve">mm preference. </w:t>
      </w:r>
      <w:r w:rsidRPr="00764A4A">
        <w:rPr>
          <w:sz w:val="24"/>
          <w:szCs w:val="24"/>
        </w:rPr>
        <w:t xml:space="preserve">The method we employed is </w:t>
      </w:r>
      <w:r w:rsidR="0062048C" w:rsidRPr="00764A4A">
        <w:rPr>
          <w:sz w:val="24"/>
          <w:szCs w:val="24"/>
        </w:rPr>
        <w:t>called</w:t>
      </w:r>
      <w:r w:rsidRPr="00764A4A">
        <w:rPr>
          <w:sz w:val="24"/>
          <w:szCs w:val="24"/>
        </w:rPr>
        <w:t xml:space="preserve"> the composite link model (CLM) </w:t>
      </w:r>
      <w:r w:rsidR="006243E5">
        <w:rPr>
          <w:sz w:val="24"/>
          <w:szCs w:val="24"/>
        </w:rPr>
        <w:t>[</w:t>
      </w:r>
      <w:r w:rsidR="00764A4A" w:rsidRPr="00764A4A">
        <w:rPr>
          <w:sz w:val="24"/>
          <w:szCs w:val="24"/>
        </w:rPr>
        <w:t>11</w:t>
      </w:r>
      <w:r w:rsidR="006243E5">
        <w:rPr>
          <w:sz w:val="24"/>
          <w:szCs w:val="24"/>
        </w:rPr>
        <w:t>]</w:t>
      </w:r>
      <w:r w:rsidRPr="00764A4A">
        <w:rPr>
          <w:sz w:val="24"/>
          <w:szCs w:val="24"/>
        </w:rPr>
        <w:t xml:space="preserve"> and is </w:t>
      </w:r>
      <w:r w:rsidR="006243E5">
        <w:rPr>
          <w:sz w:val="24"/>
          <w:szCs w:val="24"/>
        </w:rPr>
        <w:t>an extension of the methods in [</w:t>
      </w:r>
      <w:r w:rsidR="00764A4A" w:rsidRPr="00764A4A">
        <w:rPr>
          <w:sz w:val="24"/>
          <w:szCs w:val="24"/>
        </w:rPr>
        <w:t>10</w:t>
      </w:r>
      <w:r w:rsidR="006243E5">
        <w:rPr>
          <w:sz w:val="24"/>
          <w:szCs w:val="24"/>
        </w:rPr>
        <w:t>]</w:t>
      </w:r>
      <w:r w:rsidR="007411CF" w:rsidRPr="00764A4A">
        <w:rPr>
          <w:sz w:val="24"/>
          <w:szCs w:val="24"/>
        </w:rPr>
        <w:t xml:space="preserve">, based on the theoretical methods of </w:t>
      </w:r>
      <w:r w:rsidR="006243E5">
        <w:rPr>
          <w:sz w:val="24"/>
          <w:szCs w:val="24"/>
        </w:rPr>
        <w:t>[</w:t>
      </w:r>
      <w:r w:rsidR="00764A4A" w:rsidRPr="00764A4A">
        <w:rPr>
          <w:sz w:val="24"/>
          <w:szCs w:val="24"/>
        </w:rPr>
        <w:t>12</w:t>
      </w:r>
      <w:r w:rsidR="006243E5">
        <w:rPr>
          <w:sz w:val="24"/>
          <w:szCs w:val="24"/>
        </w:rPr>
        <w:t>]</w:t>
      </w:r>
      <w:r w:rsidRPr="00764A4A">
        <w:rPr>
          <w:sz w:val="24"/>
          <w:szCs w:val="24"/>
        </w:rPr>
        <w:t xml:space="preserve">. </w:t>
      </w:r>
      <w:r w:rsidR="00127AAA" w:rsidRPr="00764A4A">
        <w:rPr>
          <w:sz w:val="24"/>
          <w:szCs w:val="24"/>
        </w:rPr>
        <w:t>All t</w:t>
      </w:r>
      <w:r w:rsidR="00AC05FD" w:rsidRPr="00764A4A">
        <w:rPr>
          <w:sz w:val="24"/>
          <w:szCs w:val="24"/>
        </w:rPr>
        <w:t>hese</w:t>
      </w:r>
      <w:r w:rsidR="0062048C" w:rsidRPr="00764A4A">
        <w:rPr>
          <w:sz w:val="24"/>
          <w:szCs w:val="24"/>
        </w:rPr>
        <w:t xml:space="preserve"> methods adopt </w:t>
      </w:r>
      <w:r w:rsidR="00AC05FD" w:rsidRPr="00764A4A">
        <w:rPr>
          <w:sz w:val="24"/>
          <w:szCs w:val="24"/>
        </w:rPr>
        <w:t xml:space="preserve">a </w:t>
      </w:r>
      <w:r w:rsidR="0062048C" w:rsidRPr="00764A4A">
        <w:rPr>
          <w:sz w:val="24"/>
          <w:szCs w:val="24"/>
        </w:rPr>
        <w:t>penalized likelihood appr</w:t>
      </w:r>
      <w:r w:rsidR="0062048C">
        <w:rPr>
          <w:sz w:val="24"/>
          <w:szCs w:val="24"/>
        </w:rPr>
        <w:t xml:space="preserve">oach. </w:t>
      </w:r>
    </w:p>
    <w:p w:rsidR="0062048C" w:rsidRDefault="00696CC4" w:rsidP="007D4BE4">
      <w:pPr>
        <w:rPr>
          <w:sz w:val="24"/>
          <w:szCs w:val="24"/>
        </w:rPr>
      </w:pPr>
      <w:r>
        <w:rPr>
          <w:sz w:val="24"/>
          <w:szCs w:val="24"/>
        </w:rPr>
        <w:t xml:space="preserve">The composite link approach models a smooth, unobserved latent distribution of induration &gt;0 mm and assumes that the observed induration readings follow Poisson distributions at each mm level. It </w:t>
      </w:r>
      <w:r w:rsidR="00696827">
        <w:rPr>
          <w:sz w:val="24"/>
          <w:szCs w:val="24"/>
        </w:rPr>
        <w:t>models digit preference by redistributing</w:t>
      </w:r>
      <w:r>
        <w:rPr>
          <w:sz w:val="24"/>
          <w:szCs w:val="24"/>
        </w:rPr>
        <w:t xml:space="preserve"> the </w:t>
      </w:r>
      <w:r w:rsidR="00696827">
        <w:rPr>
          <w:sz w:val="24"/>
          <w:szCs w:val="24"/>
        </w:rPr>
        <w:t xml:space="preserve">“true” latent distribution to the observed readings, via a mechanism that posits that the Poisson mean of each observed whole integer mm </w:t>
      </w:r>
      <w:r w:rsidR="00696827">
        <w:rPr>
          <w:i/>
          <w:sz w:val="24"/>
          <w:szCs w:val="24"/>
        </w:rPr>
        <w:t>x</w:t>
      </w:r>
      <w:r w:rsidR="00696827">
        <w:rPr>
          <w:sz w:val="24"/>
          <w:szCs w:val="24"/>
        </w:rPr>
        <w:t xml:space="preserve"> are linear combinations of true readings at </w:t>
      </w:r>
      <w:r w:rsidR="00696827">
        <w:rPr>
          <w:i/>
          <w:sz w:val="24"/>
          <w:szCs w:val="24"/>
        </w:rPr>
        <w:t>x</w:t>
      </w:r>
      <w:r w:rsidR="00696827">
        <w:rPr>
          <w:sz w:val="24"/>
          <w:szCs w:val="24"/>
        </w:rPr>
        <w:t xml:space="preserve"> – 1, </w:t>
      </w:r>
      <w:r w:rsidR="00696827">
        <w:rPr>
          <w:i/>
          <w:sz w:val="24"/>
          <w:szCs w:val="24"/>
        </w:rPr>
        <w:t>x</w:t>
      </w:r>
      <w:r w:rsidR="00696827">
        <w:rPr>
          <w:sz w:val="24"/>
          <w:szCs w:val="24"/>
        </w:rPr>
        <w:t xml:space="preserve">, and </w:t>
      </w:r>
      <w:r w:rsidR="00696827">
        <w:rPr>
          <w:i/>
          <w:sz w:val="24"/>
          <w:szCs w:val="24"/>
        </w:rPr>
        <w:t>x</w:t>
      </w:r>
      <w:r w:rsidR="00696827">
        <w:rPr>
          <w:sz w:val="24"/>
          <w:szCs w:val="24"/>
        </w:rPr>
        <w:t xml:space="preserve"> + 1 mm. </w:t>
      </w:r>
      <w:r w:rsidR="006C4E00">
        <w:rPr>
          <w:sz w:val="24"/>
          <w:szCs w:val="24"/>
        </w:rPr>
        <w:t>The coefficients of the linear combinations are the misreported proportions and allow determination of how much of each mm reading is transferred to its left or right neighbor or remains the same. While an alternate model could allow only misreporting for certain select mm values, when declaring the LTBI to be determined by a reading ≥ 10</w:t>
      </w:r>
      <w:r w:rsidR="00904263">
        <w:rPr>
          <w:sz w:val="24"/>
          <w:szCs w:val="24"/>
        </w:rPr>
        <w:t xml:space="preserve"> </w:t>
      </w:r>
      <w:r w:rsidR="006C4E00">
        <w:rPr>
          <w:sz w:val="24"/>
          <w:szCs w:val="24"/>
        </w:rPr>
        <w:t xml:space="preserve">mm, the redistributions at 8, 9, 10, 11, 12 mm constitute most of the effect and smoothing over all mm readings has minimal </w:t>
      </w:r>
      <w:r w:rsidR="000B3E5D">
        <w:rPr>
          <w:sz w:val="24"/>
          <w:szCs w:val="24"/>
        </w:rPr>
        <w:t>influence on t</w:t>
      </w:r>
      <w:r w:rsidR="00F62EEA">
        <w:rPr>
          <w:sz w:val="24"/>
          <w:szCs w:val="24"/>
        </w:rPr>
        <w:t xml:space="preserve">he outcome for LTBI prevalence. </w:t>
      </w:r>
    </w:p>
    <w:p w:rsidR="0039392F" w:rsidRDefault="0039392F" w:rsidP="0056144C">
      <w:pPr>
        <w:rPr>
          <w:sz w:val="24"/>
          <w:szCs w:val="24"/>
        </w:rPr>
      </w:pPr>
      <w:r>
        <w:rPr>
          <w:sz w:val="24"/>
          <w:szCs w:val="24"/>
        </w:rPr>
        <w:t>CLM necessarily leads to an underdetermined system of equations as there are 3 coefficients for readings from 2</w:t>
      </w:r>
      <w:r w:rsidR="00904263">
        <w:rPr>
          <w:sz w:val="24"/>
          <w:szCs w:val="24"/>
        </w:rPr>
        <w:t xml:space="preserve"> </w:t>
      </w:r>
      <w:r>
        <w:rPr>
          <w:sz w:val="24"/>
          <w:szCs w:val="24"/>
        </w:rPr>
        <w:t>mm to the second largest value observed and 2 coefficients for 1</w:t>
      </w:r>
      <w:r w:rsidR="00904263">
        <w:rPr>
          <w:sz w:val="24"/>
          <w:szCs w:val="24"/>
        </w:rPr>
        <w:t xml:space="preserve"> </w:t>
      </w:r>
      <w:r>
        <w:rPr>
          <w:sz w:val="24"/>
          <w:szCs w:val="24"/>
        </w:rPr>
        <w:t xml:space="preserve">mm and the maximum induration reading. </w:t>
      </w:r>
      <w:r w:rsidR="00D030CC">
        <w:rPr>
          <w:sz w:val="24"/>
          <w:szCs w:val="24"/>
        </w:rPr>
        <w:t xml:space="preserve">To account for this, CLM adopts constrained weighted least squares regression </w:t>
      </w:r>
      <w:r w:rsidR="00326C13">
        <w:rPr>
          <w:sz w:val="24"/>
          <w:szCs w:val="24"/>
        </w:rPr>
        <w:t xml:space="preserve">with </w:t>
      </w:r>
      <w:r w:rsidR="00981D76">
        <w:rPr>
          <w:sz w:val="24"/>
          <w:szCs w:val="24"/>
        </w:rPr>
        <w:t xml:space="preserve">a </w:t>
      </w:r>
      <w:r w:rsidR="00D030CC" w:rsidRPr="00D030CC">
        <w:rPr>
          <w:sz w:val="24"/>
          <w:szCs w:val="24"/>
        </w:rPr>
        <w:t>penalty for smoothing</w:t>
      </w:r>
      <w:r w:rsidR="00D030CC">
        <w:rPr>
          <w:sz w:val="24"/>
          <w:szCs w:val="24"/>
        </w:rPr>
        <w:t xml:space="preserve"> which regulates the roughness of the estimated distribution. </w:t>
      </w:r>
      <w:r w:rsidR="00294A35">
        <w:rPr>
          <w:sz w:val="24"/>
          <w:szCs w:val="24"/>
        </w:rPr>
        <w:t>A</w:t>
      </w:r>
      <w:r w:rsidR="00326C13">
        <w:rPr>
          <w:sz w:val="24"/>
          <w:szCs w:val="24"/>
        </w:rPr>
        <w:t>dditionally, CLM imposes an</w:t>
      </w:r>
      <w:r w:rsidR="00294A35">
        <w:rPr>
          <w:sz w:val="24"/>
          <w:szCs w:val="24"/>
        </w:rPr>
        <w:t xml:space="preserve"> </w:t>
      </w:r>
      <w:r w:rsidR="00326C13">
        <w:rPr>
          <w:i/>
          <w:sz w:val="24"/>
          <w:szCs w:val="24"/>
        </w:rPr>
        <w:t>L</w:t>
      </w:r>
      <w:r w:rsidR="00326C13">
        <w:rPr>
          <w:sz w:val="24"/>
          <w:szCs w:val="24"/>
          <w:vertAlign w:val="subscript"/>
        </w:rPr>
        <w:t>1</w:t>
      </w:r>
      <w:r w:rsidR="00326C13">
        <w:rPr>
          <w:sz w:val="24"/>
          <w:szCs w:val="24"/>
        </w:rPr>
        <w:t>-</w:t>
      </w:r>
      <w:r w:rsidR="00294A35">
        <w:rPr>
          <w:sz w:val="24"/>
          <w:szCs w:val="24"/>
        </w:rPr>
        <w:t xml:space="preserve">penalty to constrain the misreporting proportions to lie between 0 and 1. </w:t>
      </w:r>
      <w:r w:rsidR="00326C13">
        <w:rPr>
          <w:sz w:val="24"/>
          <w:szCs w:val="24"/>
        </w:rPr>
        <w:t xml:space="preserve">The optimal fit is found by grid search over the 2 smoothing parameters corresponding to the penalties and minimizing the </w:t>
      </w:r>
      <w:proofErr w:type="spellStart"/>
      <w:r w:rsidR="00326C13">
        <w:rPr>
          <w:sz w:val="24"/>
          <w:szCs w:val="24"/>
        </w:rPr>
        <w:t>Akaike</w:t>
      </w:r>
      <w:proofErr w:type="spellEnd"/>
      <w:r w:rsidR="00326C13">
        <w:rPr>
          <w:sz w:val="24"/>
          <w:szCs w:val="24"/>
        </w:rPr>
        <w:t xml:space="preserve"> information criterion. </w:t>
      </w:r>
      <w:r w:rsidR="0056144C">
        <w:rPr>
          <w:sz w:val="24"/>
          <w:szCs w:val="24"/>
        </w:rPr>
        <w:t xml:space="preserve">CLM aims to </w:t>
      </w:r>
      <w:r w:rsidR="0056144C" w:rsidRPr="0056144C">
        <w:rPr>
          <w:sz w:val="24"/>
          <w:szCs w:val="24"/>
        </w:rPr>
        <w:t xml:space="preserve">select </w:t>
      </w:r>
      <w:r w:rsidR="0056144C">
        <w:rPr>
          <w:sz w:val="24"/>
          <w:szCs w:val="24"/>
        </w:rPr>
        <w:t xml:space="preserve">a </w:t>
      </w:r>
      <w:r w:rsidR="0056144C" w:rsidRPr="0056144C">
        <w:rPr>
          <w:sz w:val="24"/>
          <w:szCs w:val="24"/>
        </w:rPr>
        <w:t>small nu</w:t>
      </w:r>
      <w:r w:rsidR="0056144C">
        <w:rPr>
          <w:sz w:val="24"/>
          <w:szCs w:val="24"/>
        </w:rPr>
        <w:t xml:space="preserve">mber of misreported proportions </w:t>
      </w:r>
      <w:r w:rsidR="0056144C" w:rsidRPr="0056144C">
        <w:rPr>
          <w:sz w:val="24"/>
          <w:szCs w:val="24"/>
        </w:rPr>
        <w:t xml:space="preserve">exhibiting </w:t>
      </w:r>
      <w:r w:rsidR="0056144C">
        <w:rPr>
          <w:sz w:val="24"/>
          <w:szCs w:val="24"/>
        </w:rPr>
        <w:t xml:space="preserve">the </w:t>
      </w:r>
      <w:r w:rsidR="0056144C" w:rsidRPr="0056144C">
        <w:rPr>
          <w:sz w:val="24"/>
          <w:szCs w:val="24"/>
        </w:rPr>
        <w:t xml:space="preserve">strongest effects, </w:t>
      </w:r>
      <w:r w:rsidR="0056144C" w:rsidRPr="0056144C">
        <w:rPr>
          <w:sz w:val="24"/>
          <w:szCs w:val="24"/>
        </w:rPr>
        <w:lastRenderedPageBreak/>
        <w:t xml:space="preserve">while shrinking </w:t>
      </w:r>
      <w:r w:rsidR="0056144C">
        <w:rPr>
          <w:sz w:val="24"/>
          <w:szCs w:val="24"/>
        </w:rPr>
        <w:t>the rest</w:t>
      </w:r>
      <w:r w:rsidR="0056144C" w:rsidRPr="0056144C">
        <w:rPr>
          <w:sz w:val="24"/>
          <w:szCs w:val="24"/>
        </w:rPr>
        <w:t xml:space="preserve"> to zero</w:t>
      </w:r>
      <w:r w:rsidR="0056144C">
        <w:rPr>
          <w:sz w:val="24"/>
          <w:szCs w:val="24"/>
        </w:rPr>
        <w:t xml:space="preserve">. </w:t>
      </w:r>
      <w:r w:rsidR="00386122">
        <w:rPr>
          <w:sz w:val="24"/>
          <w:szCs w:val="24"/>
        </w:rPr>
        <w:t>CLM fits were conducted using the R code generously</w:t>
      </w:r>
      <w:r w:rsidR="001B2664">
        <w:rPr>
          <w:sz w:val="24"/>
          <w:szCs w:val="24"/>
        </w:rPr>
        <w:t xml:space="preserve"> and publicly</w:t>
      </w:r>
      <w:r w:rsidR="00386122">
        <w:rPr>
          <w:sz w:val="24"/>
          <w:szCs w:val="24"/>
        </w:rPr>
        <w:t xml:space="preserve"> provided by the lead author </w:t>
      </w:r>
      <w:r w:rsidR="00386122" w:rsidRPr="00764A4A">
        <w:rPr>
          <w:sz w:val="24"/>
          <w:szCs w:val="24"/>
        </w:rPr>
        <w:t xml:space="preserve">of </w:t>
      </w:r>
      <w:r w:rsidR="006243E5">
        <w:rPr>
          <w:sz w:val="24"/>
          <w:szCs w:val="24"/>
        </w:rPr>
        <w:t>[</w:t>
      </w:r>
      <w:r w:rsidR="00764A4A" w:rsidRPr="00764A4A">
        <w:rPr>
          <w:sz w:val="24"/>
          <w:szCs w:val="24"/>
        </w:rPr>
        <w:t>11</w:t>
      </w:r>
      <w:r w:rsidR="006243E5">
        <w:rPr>
          <w:sz w:val="24"/>
          <w:szCs w:val="24"/>
        </w:rPr>
        <w:t>]</w:t>
      </w:r>
      <w:r w:rsidR="00386122" w:rsidRPr="00764A4A">
        <w:rPr>
          <w:sz w:val="24"/>
          <w:szCs w:val="24"/>
        </w:rPr>
        <w:t xml:space="preserve"> on his </w:t>
      </w:r>
      <w:r w:rsidR="000A686F" w:rsidRPr="00764A4A">
        <w:rPr>
          <w:sz w:val="24"/>
          <w:szCs w:val="24"/>
        </w:rPr>
        <w:t xml:space="preserve">personal </w:t>
      </w:r>
      <w:r w:rsidR="00386122" w:rsidRPr="00764A4A">
        <w:rPr>
          <w:sz w:val="24"/>
          <w:szCs w:val="24"/>
        </w:rPr>
        <w:t xml:space="preserve">website </w:t>
      </w:r>
      <w:r w:rsidR="006243E5">
        <w:rPr>
          <w:sz w:val="24"/>
          <w:szCs w:val="24"/>
        </w:rPr>
        <w:t>[</w:t>
      </w:r>
      <w:r w:rsidR="00764A4A" w:rsidRPr="00764A4A">
        <w:rPr>
          <w:sz w:val="24"/>
          <w:szCs w:val="24"/>
        </w:rPr>
        <w:t>13</w:t>
      </w:r>
      <w:r w:rsidR="006243E5">
        <w:rPr>
          <w:sz w:val="24"/>
          <w:szCs w:val="24"/>
        </w:rPr>
        <w:t>]</w:t>
      </w:r>
      <w:r w:rsidR="00386122" w:rsidRPr="00764A4A">
        <w:rPr>
          <w:sz w:val="24"/>
          <w:szCs w:val="24"/>
        </w:rPr>
        <w:t>.</w:t>
      </w:r>
      <w:r w:rsidR="00386122">
        <w:rPr>
          <w:sz w:val="24"/>
          <w:szCs w:val="24"/>
        </w:rPr>
        <w:t xml:space="preserve"> </w:t>
      </w:r>
    </w:p>
    <w:p w:rsidR="00B51EEE" w:rsidRDefault="00D25E38" w:rsidP="0056144C">
      <w:pPr>
        <w:rPr>
          <w:rFonts w:eastAsiaTheme="minorEastAsia"/>
          <w:sz w:val="24"/>
          <w:szCs w:val="24"/>
        </w:rPr>
      </w:pPr>
      <w:r>
        <w:rPr>
          <w:sz w:val="24"/>
          <w:szCs w:val="24"/>
        </w:rPr>
        <w:t xml:space="preserve">We applied the CLM </w:t>
      </w:r>
      <w:r w:rsidR="00FD2234">
        <w:rPr>
          <w:sz w:val="24"/>
          <w:szCs w:val="24"/>
        </w:rPr>
        <w:t>separately</w:t>
      </w:r>
      <w:r>
        <w:rPr>
          <w:sz w:val="24"/>
          <w:szCs w:val="24"/>
        </w:rPr>
        <w:t xml:space="preserve"> to the survey data</w:t>
      </w:r>
      <w:r w:rsidR="00FD2234">
        <w:rPr>
          <w:sz w:val="24"/>
          <w:szCs w:val="24"/>
        </w:rPr>
        <w:t xml:space="preserve"> for SPs by birthplace: for those born in the United States and for foreign-born</w:t>
      </w:r>
      <w:r>
        <w:rPr>
          <w:sz w:val="24"/>
          <w:szCs w:val="24"/>
        </w:rPr>
        <w:t>. We did not attempt to incorporate smoothing with a regression procedure to predict which SPs had true</w:t>
      </w:r>
      <w:r w:rsidR="00FD2234">
        <w:rPr>
          <w:sz w:val="24"/>
          <w:szCs w:val="24"/>
        </w:rPr>
        <w:t xml:space="preserve"> </w:t>
      </w:r>
      <w:r>
        <w:rPr>
          <w:sz w:val="24"/>
          <w:szCs w:val="24"/>
        </w:rPr>
        <w:t>9</w:t>
      </w:r>
      <w:r w:rsidR="00904263">
        <w:rPr>
          <w:sz w:val="24"/>
          <w:szCs w:val="24"/>
        </w:rPr>
        <w:t xml:space="preserve"> </w:t>
      </w:r>
      <w:r>
        <w:rPr>
          <w:sz w:val="24"/>
          <w:szCs w:val="24"/>
        </w:rPr>
        <w:t xml:space="preserve">mm readings and which had </w:t>
      </w:r>
      <w:r w:rsidR="00FD2234">
        <w:rPr>
          <w:sz w:val="24"/>
          <w:szCs w:val="24"/>
        </w:rPr>
        <w:t xml:space="preserve">true </w:t>
      </w:r>
      <w:r>
        <w:rPr>
          <w:sz w:val="24"/>
          <w:szCs w:val="24"/>
        </w:rPr>
        <w:t>10</w:t>
      </w:r>
      <w:r w:rsidR="00904263">
        <w:rPr>
          <w:sz w:val="24"/>
          <w:szCs w:val="24"/>
        </w:rPr>
        <w:t xml:space="preserve"> </w:t>
      </w:r>
      <w:r>
        <w:rPr>
          <w:sz w:val="24"/>
          <w:szCs w:val="24"/>
        </w:rPr>
        <w:t>mm readings as we wanted to allow for smoothing to either side of 9 and 10</w:t>
      </w:r>
      <w:r w:rsidR="00904263">
        <w:rPr>
          <w:sz w:val="24"/>
          <w:szCs w:val="24"/>
        </w:rPr>
        <w:t xml:space="preserve"> </w:t>
      </w:r>
      <w:r>
        <w:rPr>
          <w:sz w:val="24"/>
          <w:szCs w:val="24"/>
        </w:rPr>
        <w:t xml:space="preserve">mm as already described so as not so overestimate the misreporting fraction. </w:t>
      </w:r>
      <w:r w:rsidR="00FD2234">
        <w:rPr>
          <w:sz w:val="24"/>
          <w:szCs w:val="24"/>
        </w:rPr>
        <w:t>Instead</w:t>
      </w:r>
      <w:r w:rsidR="00F53F59">
        <w:rPr>
          <w:sz w:val="24"/>
          <w:szCs w:val="24"/>
        </w:rPr>
        <w:t>,</w:t>
      </w:r>
      <w:r w:rsidR="00FD2234">
        <w:rPr>
          <w:sz w:val="24"/>
          <w:szCs w:val="24"/>
        </w:rPr>
        <w:t xml:space="preserve"> </w:t>
      </w:r>
      <w:r w:rsidR="00DE1A63">
        <w:rPr>
          <w:sz w:val="24"/>
          <w:szCs w:val="24"/>
        </w:rPr>
        <w:t xml:space="preserve">we randomly assigned </w:t>
      </w:r>
      <w:r w:rsidR="00FD2234">
        <w:rPr>
          <w:sz w:val="24"/>
          <w:szCs w:val="24"/>
        </w:rPr>
        <w:t xml:space="preserve">redistribution according to the misreporting transfers between </w:t>
      </w:r>
      <w:r w:rsidR="00DE1A63">
        <w:rPr>
          <w:sz w:val="24"/>
          <w:szCs w:val="24"/>
        </w:rPr>
        <w:t>9</w:t>
      </w:r>
      <w:r w:rsidR="00904263">
        <w:rPr>
          <w:sz w:val="24"/>
          <w:szCs w:val="24"/>
        </w:rPr>
        <w:t xml:space="preserve"> </w:t>
      </w:r>
      <w:r w:rsidR="00DE1A63">
        <w:rPr>
          <w:sz w:val="24"/>
          <w:szCs w:val="24"/>
        </w:rPr>
        <w:t>mm and 10</w:t>
      </w:r>
      <w:r w:rsidR="00904263">
        <w:rPr>
          <w:sz w:val="24"/>
          <w:szCs w:val="24"/>
        </w:rPr>
        <w:t xml:space="preserve"> </w:t>
      </w:r>
      <w:r w:rsidR="00DE1A63">
        <w:rPr>
          <w:sz w:val="24"/>
          <w:szCs w:val="24"/>
        </w:rPr>
        <w:t>mm to create a digit corrected dataset. Among US-born SPs, the CLM estimated negligible transfer from 10</w:t>
      </w:r>
      <w:r w:rsidR="00904263">
        <w:rPr>
          <w:sz w:val="24"/>
          <w:szCs w:val="24"/>
        </w:rPr>
        <w:t xml:space="preserve"> </w:t>
      </w:r>
      <w:r w:rsidR="00DE1A63">
        <w:rPr>
          <w:sz w:val="24"/>
          <w:szCs w:val="24"/>
        </w:rPr>
        <w:t>mm to 9</w:t>
      </w:r>
      <w:r w:rsidR="00CD3B7F">
        <w:rPr>
          <w:sz w:val="24"/>
          <w:szCs w:val="24"/>
        </w:rPr>
        <w:t xml:space="preserve"> </w:t>
      </w:r>
      <w:r w:rsidR="00DE1A63">
        <w:rPr>
          <w:sz w:val="24"/>
          <w:szCs w:val="24"/>
        </w:rPr>
        <w:t>mm and predicted that 9 of 33 SPs with a 9</w:t>
      </w:r>
      <w:r w:rsidR="00904263">
        <w:rPr>
          <w:sz w:val="24"/>
          <w:szCs w:val="24"/>
        </w:rPr>
        <w:t xml:space="preserve"> </w:t>
      </w:r>
      <w:r w:rsidR="00DE1A63">
        <w:rPr>
          <w:sz w:val="24"/>
          <w:szCs w:val="24"/>
        </w:rPr>
        <w:t>mm reading should be transferred to 10</w:t>
      </w:r>
      <w:r w:rsidR="00904263">
        <w:rPr>
          <w:sz w:val="24"/>
          <w:szCs w:val="24"/>
        </w:rPr>
        <w:t xml:space="preserve"> </w:t>
      </w:r>
      <w:r w:rsidR="00DE1A63">
        <w:rPr>
          <w:sz w:val="24"/>
          <w:szCs w:val="24"/>
        </w:rPr>
        <w:t>mm; among foreign-born SPs, the CLM again estimated negligible transfer from 10</w:t>
      </w:r>
      <w:r w:rsidR="00904263">
        <w:rPr>
          <w:sz w:val="24"/>
          <w:szCs w:val="24"/>
        </w:rPr>
        <w:t xml:space="preserve"> </w:t>
      </w:r>
      <w:r w:rsidR="00DE1A63">
        <w:rPr>
          <w:sz w:val="24"/>
          <w:szCs w:val="24"/>
        </w:rPr>
        <w:t>mm to 9</w:t>
      </w:r>
      <w:r w:rsidR="00904263">
        <w:rPr>
          <w:sz w:val="24"/>
          <w:szCs w:val="24"/>
        </w:rPr>
        <w:t xml:space="preserve"> </w:t>
      </w:r>
      <w:r w:rsidR="00DE1A63">
        <w:rPr>
          <w:sz w:val="24"/>
          <w:szCs w:val="24"/>
        </w:rPr>
        <w:t>mm and predicted that 16 of 63 SPs with a 9</w:t>
      </w:r>
      <w:r w:rsidR="00904263">
        <w:rPr>
          <w:sz w:val="24"/>
          <w:szCs w:val="24"/>
        </w:rPr>
        <w:t xml:space="preserve"> </w:t>
      </w:r>
      <w:r w:rsidR="00DE1A63">
        <w:rPr>
          <w:sz w:val="24"/>
          <w:szCs w:val="24"/>
        </w:rPr>
        <w:t>mm reading be transferred to 10</w:t>
      </w:r>
      <w:r w:rsidR="00CD3B7F">
        <w:rPr>
          <w:sz w:val="24"/>
          <w:szCs w:val="24"/>
        </w:rPr>
        <w:t xml:space="preserve"> </w:t>
      </w:r>
      <w:r w:rsidR="00DE1A63">
        <w:rPr>
          <w:sz w:val="24"/>
          <w:szCs w:val="24"/>
        </w:rPr>
        <w:t xml:space="preserve">mm. </w:t>
      </w:r>
      <w:r w:rsidR="000C4736">
        <w:rPr>
          <w:sz w:val="24"/>
          <w:szCs w:val="24"/>
        </w:rPr>
        <w:t xml:space="preserve">Graphs of the smoothing procedure on the unweighted survey data are shown in Supplement Figure 1. </w:t>
      </w:r>
      <w:r w:rsidR="00DE1A63">
        <w:rPr>
          <w:sz w:val="24"/>
          <w:szCs w:val="24"/>
        </w:rPr>
        <w:t>Twenty such digit corrected datasets were created for both the US- and foreign-born datasets. These were</w:t>
      </w:r>
      <w:r w:rsidR="00FD2234">
        <w:rPr>
          <w:sz w:val="24"/>
          <w:szCs w:val="24"/>
        </w:rPr>
        <w:t xml:space="preserve"> adjusted for the complex survey design to extrapolate </w:t>
      </w:r>
      <w:r w:rsidR="00F53F59">
        <w:rPr>
          <w:sz w:val="24"/>
          <w:szCs w:val="24"/>
        </w:rPr>
        <w:t xml:space="preserve">to </w:t>
      </w:r>
      <w:r w:rsidR="00FD2234">
        <w:rPr>
          <w:sz w:val="24"/>
          <w:szCs w:val="24"/>
        </w:rPr>
        <w:t xml:space="preserve">the </w:t>
      </w:r>
      <w:r w:rsidR="00B90313">
        <w:rPr>
          <w:sz w:val="24"/>
          <w:szCs w:val="24"/>
        </w:rPr>
        <w:t>non-institutionalized US</w:t>
      </w:r>
      <w:r w:rsidR="00FD2234">
        <w:rPr>
          <w:sz w:val="24"/>
          <w:szCs w:val="24"/>
        </w:rPr>
        <w:t xml:space="preserve"> population aged </w:t>
      </w:r>
      <w:r w:rsidR="00F53F59">
        <w:rPr>
          <w:sz w:val="24"/>
          <w:szCs w:val="24"/>
        </w:rPr>
        <w:t>6 an</w:t>
      </w:r>
      <w:r w:rsidR="00DE1A63">
        <w:rPr>
          <w:sz w:val="24"/>
          <w:szCs w:val="24"/>
        </w:rPr>
        <w:t>d</w:t>
      </w:r>
      <w:r w:rsidR="00F53F59">
        <w:rPr>
          <w:sz w:val="24"/>
          <w:szCs w:val="24"/>
        </w:rPr>
        <w:t xml:space="preserve"> above and </w:t>
      </w:r>
      <w:r w:rsidR="00981D76">
        <w:rPr>
          <w:sz w:val="24"/>
          <w:szCs w:val="24"/>
        </w:rPr>
        <w:t xml:space="preserve">to </w:t>
      </w:r>
      <w:r w:rsidR="00F53F59">
        <w:rPr>
          <w:sz w:val="24"/>
          <w:szCs w:val="24"/>
        </w:rPr>
        <w:t xml:space="preserve">estimate </w:t>
      </w:r>
      <w:r w:rsidR="008966D3">
        <w:rPr>
          <w:sz w:val="24"/>
          <w:szCs w:val="24"/>
        </w:rPr>
        <w:t xml:space="preserve">TST positivity using the logit-method for proportions described previously. </w:t>
      </w:r>
      <w:r w:rsidR="00DE1A63">
        <w:rPr>
          <w:sz w:val="24"/>
          <w:szCs w:val="24"/>
        </w:rPr>
        <w:t>We adopted the techniques used in multiple imputa</w:t>
      </w:r>
      <w:r w:rsidR="008966D3">
        <w:rPr>
          <w:sz w:val="24"/>
          <w:szCs w:val="24"/>
        </w:rPr>
        <w:t xml:space="preserve">tion: from </w:t>
      </w:r>
      <w:r w:rsidR="008966D3">
        <w:rPr>
          <w:i/>
          <w:sz w:val="24"/>
          <w:szCs w:val="24"/>
        </w:rPr>
        <w:t>m</w:t>
      </w:r>
      <w:r w:rsidR="008966D3">
        <w:rPr>
          <w:sz w:val="24"/>
          <w:szCs w:val="24"/>
        </w:rPr>
        <w:t xml:space="preserve"> estimated </w:t>
      </w:r>
      <w:proofErr w:type="gramStart"/>
      <w:r w:rsidR="008966D3">
        <w:rPr>
          <w:sz w:val="24"/>
          <w:szCs w:val="24"/>
        </w:rPr>
        <w:t xml:space="preserve">proportions </w:t>
      </w:r>
      <w:proofErr w:type="gramEnd"/>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T</m:t>
                </m:r>
              </m:e>
            </m:acc>
          </m:e>
          <m:sub>
            <m:r>
              <w:rPr>
                <w:rFonts w:ascii="Cambria Math" w:hAnsi="Cambria Math"/>
                <w:sz w:val="24"/>
                <w:szCs w:val="24"/>
              </w:rPr>
              <m:t>1</m:t>
            </m:r>
          </m:sub>
        </m:sSub>
      </m:oMath>
      <w:r w:rsidR="008966D3">
        <w:rPr>
          <w:rFonts w:eastAsiaTheme="minorEastAsia"/>
          <w:sz w:val="24"/>
          <w:szCs w:val="24"/>
        </w:rPr>
        <w:t xml:space="preserve">, …, </w:t>
      </w:r>
      <m:oMath>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T</m:t>
                </m:r>
              </m:e>
            </m:acc>
          </m:e>
          <m:sub>
            <m:r>
              <w:rPr>
                <w:rFonts w:ascii="Cambria Math" w:eastAsiaTheme="minorEastAsia" w:hAnsi="Cambria Math"/>
                <w:sz w:val="24"/>
                <w:szCs w:val="24"/>
              </w:rPr>
              <m:t>m</m:t>
            </m:r>
          </m:sub>
        </m:sSub>
      </m:oMath>
      <w:r w:rsidR="008966D3">
        <w:rPr>
          <w:rFonts w:eastAsiaTheme="minorEastAsia"/>
          <w:sz w:val="24"/>
          <w:szCs w:val="24"/>
        </w:rPr>
        <w:t xml:space="preserve"> with variances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m</m:t>
            </m:r>
          </m:sub>
        </m:sSub>
      </m:oMath>
      <w:r w:rsidR="008966D3">
        <w:rPr>
          <w:rFonts w:eastAsiaTheme="minorEastAsia"/>
          <w:sz w:val="24"/>
          <w:szCs w:val="24"/>
        </w:rPr>
        <w:t xml:space="preserve"> we compute</w:t>
      </w:r>
      <w:r w:rsidR="004B29E2">
        <w:rPr>
          <w:rFonts w:eastAsiaTheme="minorEastAsia"/>
          <w:sz w:val="24"/>
          <w:szCs w:val="24"/>
        </w:rPr>
        <w:t>d</w:t>
      </w:r>
      <w:r w:rsidR="008966D3">
        <w:rPr>
          <w:rFonts w:eastAsiaTheme="minorEastAsia"/>
          <w:sz w:val="24"/>
          <w:szCs w:val="24"/>
        </w:rPr>
        <w:t xml:space="preserve"> the overall estimate as the mean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T</m:t>
            </m:r>
          </m:e>
        </m:acc>
        <m:r>
          <w:rPr>
            <w:rFonts w:ascii="Cambria Math" w:eastAsiaTheme="minorEastAsia" w:hAnsi="Cambria Math"/>
            <w:sz w:val="24"/>
            <w:szCs w:val="24"/>
          </w:rPr>
          <m:t xml:space="preserve">= </m:t>
        </m:r>
        <m:box>
          <m:boxPr>
            <m:ctrlPr>
              <w:rPr>
                <w:rFonts w:ascii="Cambria Math" w:eastAsiaTheme="minorEastAsia" w:hAnsi="Cambria Math"/>
                <w:i/>
                <w:sz w:val="24"/>
                <w:szCs w:val="24"/>
              </w:rPr>
            </m:ctrlPr>
          </m:boxPr>
          <m:e>
            <m:argPr>
              <m:argSz m:val="-1"/>
            </m:argP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m</m:t>
                </m:r>
              </m:den>
            </m:f>
          </m:e>
        </m:box>
        <m:nary>
          <m:naryPr>
            <m:chr m:val="∑"/>
            <m:limLoc m:val="subSup"/>
            <m:ctrlPr>
              <w:rPr>
                <w:rFonts w:ascii="Cambria Math" w:eastAsiaTheme="minorEastAsia" w:hAnsi="Cambria Math"/>
                <w:i/>
                <w:sz w:val="24"/>
                <w:szCs w:val="24"/>
              </w:rPr>
            </m:ctrlPr>
          </m:naryPr>
          <m:sub>
            <m:r>
              <w:rPr>
                <w:rFonts w:ascii="Cambria Math" w:eastAsiaTheme="minorEastAsia" w:hAnsi="Cambria Math"/>
                <w:sz w:val="24"/>
                <w:szCs w:val="24"/>
              </w:rPr>
              <m:t>j=1</m:t>
            </m:r>
          </m:sub>
          <m:sup>
            <m:r>
              <w:rPr>
                <w:rFonts w:ascii="Cambria Math" w:eastAsiaTheme="minorEastAsia" w:hAnsi="Cambria Math"/>
                <w:sz w:val="24"/>
                <w:szCs w:val="24"/>
              </w:rPr>
              <m:t>m</m:t>
            </m:r>
          </m:sup>
          <m:e>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T</m:t>
                    </m:r>
                  </m:e>
                </m:acc>
              </m:e>
              <m:sub>
                <m:r>
                  <w:rPr>
                    <w:rFonts w:ascii="Cambria Math" w:eastAsiaTheme="minorEastAsia" w:hAnsi="Cambria Math"/>
                    <w:sz w:val="24"/>
                    <w:szCs w:val="24"/>
                  </w:rPr>
                  <m:t>j</m:t>
                </m:r>
              </m:sub>
            </m:sSub>
          </m:e>
        </m:nary>
      </m:oMath>
      <w:r w:rsidR="00584DCF">
        <w:rPr>
          <w:rFonts w:eastAsiaTheme="minorEastAsia"/>
          <w:sz w:val="24"/>
          <w:szCs w:val="24"/>
        </w:rPr>
        <w:t xml:space="preserve"> and the overall variance, by taking into account variance between and within estimates</w:t>
      </w:r>
      <w:r w:rsidR="0039429C">
        <w:rPr>
          <w:rFonts w:eastAsiaTheme="minorEastAsia"/>
          <w:sz w:val="24"/>
          <w:szCs w:val="24"/>
        </w:rPr>
        <w:t xml:space="preserve">, </w:t>
      </w:r>
      <w:r w:rsidR="00584DCF">
        <w:rPr>
          <w:rFonts w:eastAsiaTheme="minorEastAsia"/>
          <w:sz w:val="24"/>
          <w:szCs w:val="24"/>
        </w:rPr>
        <w:t xml:space="preserve">as </w:t>
      </w:r>
      <m:oMath>
        <m:acc>
          <m:accPr>
            <m:ctrlPr>
              <w:rPr>
                <w:rFonts w:ascii="Cambria Math" w:eastAsiaTheme="minorEastAsia" w:hAnsi="Cambria Math"/>
                <w:i/>
                <w:sz w:val="24"/>
                <w:szCs w:val="24"/>
              </w:rPr>
            </m:ctrlPr>
          </m:accPr>
          <m:e>
            <m:r>
              <w:rPr>
                <w:rFonts w:ascii="Cambria Math" w:eastAsiaTheme="minorEastAsia" w:hAnsi="Cambria Math"/>
                <w:sz w:val="24"/>
                <w:szCs w:val="24"/>
              </w:rPr>
              <m:t>Var</m:t>
            </m:r>
          </m:e>
        </m:acc>
        <m:r>
          <w:rPr>
            <w:rFonts w:ascii="Cambria Math" w:eastAsiaTheme="minorEastAsia" w:hAnsi="Cambria Math"/>
            <w:sz w:val="24"/>
            <w:szCs w:val="24"/>
          </w:rPr>
          <m:t xml:space="preserve"> </m:t>
        </m:r>
        <m:d>
          <m:dPr>
            <m:begChr m:val="["/>
            <m:endChr m:val="]"/>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r>
                  <w:rPr>
                    <w:rFonts w:ascii="Cambria Math" w:eastAsiaTheme="minorEastAsia" w:hAnsi="Cambria Math"/>
                    <w:sz w:val="24"/>
                    <w:szCs w:val="24"/>
                  </w:rPr>
                  <m:t>T</m:t>
                </m:r>
              </m:e>
            </m:acc>
          </m:e>
        </m:d>
        <m:r>
          <w:rPr>
            <w:rFonts w:ascii="Cambria Math" w:eastAsiaTheme="minorEastAsia" w:hAnsi="Cambria Math"/>
            <w:sz w:val="24"/>
            <w:szCs w:val="24"/>
          </w:rPr>
          <m:t xml:space="preserve">= </m:t>
        </m:r>
        <m:box>
          <m:boxPr>
            <m:ctrlPr>
              <w:rPr>
                <w:rFonts w:ascii="Cambria Math" w:eastAsiaTheme="minorEastAsia" w:hAnsi="Cambria Math"/>
                <w:i/>
                <w:sz w:val="24"/>
                <w:szCs w:val="24"/>
              </w:rPr>
            </m:ctrlPr>
          </m:boxPr>
          <m:e>
            <m:argPr>
              <m:argSz m:val="-1"/>
            </m:argP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m</m:t>
                </m:r>
              </m:den>
            </m:f>
          </m:e>
        </m:box>
        <m:nary>
          <m:naryPr>
            <m:chr m:val="∑"/>
            <m:limLoc m:val="subSup"/>
            <m:ctrlPr>
              <w:rPr>
                <w:rFonts w:ascii="Cambria Math" w:eastAsiaTheme="minorEastAsia" w:hAnsi="Cambria Math"/>
                <w:i/>
                <w:sz w:val="24"/>
                <w:szCs w:val="24"/>
              </w:rPr>
            </m:ctrlPr>
          </m:naryPr>
          <m:sub>
            <m:r>
              <w:rPr>
                <w:rFonts w:ascii="Cambria Math" w:eastAsiaTheme="minorEastAsia" w:hAnsi="Cambria Math"/>
                <w:sz w:val="24"/>
                <w:szCs w:val="24"/>
              </w:rPr>
              <m:t>j=1</m:t>
            </m:r>
          </m:sub>
          <m:sup>
            <m:r>
              <w:rPr>
                <w:rFonts w:ascii="Cambria Math" w:eastAsiaTheme="minorEastAsia" w:hAnsi="Cambria Math"/>
                <w:sz w:val="24"/>
                <w:szCs w:val="24"/>
              </w:rPr>
              <m:t>m</m:t>
            </m:r>
          </m:sup>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j</m:t>
                </m:r>
              </m:sub>
            </m:sSub>
          </m:e>
        </m:nary>
        <m:r>
          <w:rPr>
            <w:rFonts w:ascii="Cambria Math" w:eastAsiaTheme="minorEastAsia" w:hAnsi="Cambria Math"/>
            <w:sz w:val="24"/>
            <w:szCs w:val="24"/>
          </w:rPr>
          <m:t>+</m:t>
        </m:r>
        <m:d>
          <m:dPr>
            <m:ctrlPr>
              <w:rPr>
                <w:rFonts w:ascii="Cambria Math" w:eastAsiaTheme="minorEastAsia" w:hAnsi="Cambria Math"/>
                <w:i/>
                <w:sz w:val="24"/>
                <w:szCs w:val="24"/>
              </w:rPr>
            </m:ctrlPr>
          </m:dPr>
          <m:e>
            <m:box>
              <m:boxPr>
                <m:ctrlPr>
                  <w:rPr>
                    <w:rFonts w:ascii="Cambria Math" w:eastAsiaTheme="minorEastAsia" w:hAnsi="Cambria Math"/>
                    <w:i/>
                    <w:sz w:val="24"/>
                    <w:szCs w:val="24"/>
                  </w:rPr>
                </m:ctrlPr>
              </m:boxPr>
              <m:e>
                <m:argPr>
                  <m:argSz m:val="-1"/>
                </m:argPr>
                <m:f>
                  <m:fPr>
                    <m:ctrlPr>
                      <w:rPr>
                        <w:rFonts w:ascii="Cambria Math" w:eastAsiaTheme="minorEastAsia" w:hAnsi="Cambria Math"/>
                        <w:i/>
                        <w:sz w:val="24"/>
                        <w:szCs w:val="24"/>
                      </w:rPr>
                    </m:ctrlPr>
                  </m:fPr>
                  <m:num>
                    <m:r>
                      <w:rPr>
                        <w:rFonts w:ascii="Cambria Math" w:eastAsiaTheme="minorEastAsia" w:hAnsi="Cambria Math"/>
                        <w:sz w:val="24"/>
                        <w:szCs w:val="24"/>
                      </w:rPr>
                      <m:t>m+1</m:t>
                    </m:r>
                  </m:num>
                  <m:den>
                    <m:r>
                      <w:rPr>
                        <w:rFonts w:ascii="Cambria Math" w:eastAsiaTheme="minorEastAsia" w:hAnsi="Cambria Math"/>
                        <w:sz w:val="24"/>
                        <w:szCs w:val="24"/>
                      </w:rPr>
                      <m:t>m</m:t>
                    </m:r>
                  </m:den>
                </m:f>
              </m:e>
            </m:box>
          </m:e>
        </m:d>
        <m:r>
          <w:rPr>
            <w:rFonts w:ascii="Cambria Math" w:eastAsiaTheme="minorEastAsia" w:hAnsi="Cambria Math"/>
            <w:sz w:val="24"/>
            <w:szCs w:val="24"/>
          </w:rPr>
          <m:t xml:space="preserve"> </m:t>
        </m:r>
        <m:box>
          <m:boxPr>
            <m:ctrlPr>
              <w:rPr>
                <w:rFonts w:ascii="Cambria Math" w:eastAsiaTheme="minorEastAsia" w:hAnsi="Cambria Math"/>
                <w:i/>
                <w:sz w:val="24"/>
                <w:szCs w:val="24"/>
              </w:rPr>
            </m:ctrlPr>
          </m:boxPr>
          <m:e>
            <m:argPr>
              <m:argSz m:val="-1"/>
            </m:argP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m-1</m:t>
                </m:r>
              </m:den>
            </m:f>
          </m:e>
        </m:box>
        <m:r>
          <w:rPr>
            <w:rFonts w:ascii="Cambria Math" w:eastAsiaTheme="minorEastAsia" w:hAnsi="Cambria Math"/>
            <w:sz w:val="24"/>
            <w:szCs w:val="24"/>
          </w:rPr>
          <m:t xml:space="preserve"> </m:t>
        </m:r>
        <m:nary>
          <m:naryPr>
            <m:chr m:val="∑"/>
            <m:limLoc m:val="subSup"/>
            <m:ctrlPr>
              <w:rPr>
                <w:rFonts w:ascii="Cambria Math" w:eastAsiaTheme="minorEastAsia" w:hAnsi="Cambria Math"/>
                <w:i/>
                <w:sz w:val="24"/>
                <w:szCs w:val="24"/>
              </w:rPr>
            </m:ctrlPr>
          </m:naryPr>
          <m:sub>
            <m:r>
              <w:rPr>
                <w:rFonts w:ascii="Cambria Math" w:eastAsiaTheme="minorEastAsia" w:hAnsi="Cambria Math"/>
                <w:sz w:val="24"/>
                <w:szCs w:val="24"/>
              </w:rPr>
              <m:t>j=1</m:t>
            </m:r>
          </m:sub>
          <m:sup>
            <m:r>
              <w:rPr>
                <w:rFonts w:ascii="Cambria Math" w:eastAsiaTheme="minorEastAsia" w:hAnsi="Cambria Math"/>
                <w:sz w:val="24"/>
                <w:szCs w:val="24"/>
              </w:rPr>
              <m:t>m</m:t>
            </m:r>
          </m:sup>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T</m:t>
                            </m:r>
                          </m:e>
                        </m:acc>
                      </m:e>
                      <m:sub>
                        <m:r>
                          <w:rPr>
                            <w:rFonts w:ascii="Cambria Math" w:eastAsiaTheme="minorEastAsia" w:hAnsi="Cambria Math"/>
                            <w:sz w:val="24"/>
                            <w:szCs w:val="24"/>
                          </w:rPr>
                          <m:t>j</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T</m:t>
                        </m:r>
                      </m:e>
                    </m:acc>
                  </m:e>
                </m:d>
              </m:e>
              <m:sup>
                <m:r>
                  <w:rPr>
                    <w:rFonts w:ascii="Cambria Math" w:eastAsiaTheme="minorEastAsia" w:hAnsi="Cambria Math"/>
                    <w:sz w:val="24"/>
                    <w:szCs w:val="24"/>
                  </w:rPr>
                  <m:t>2</m:t>
                </m:r>
              </m:sup>
            </m:sSup>
          </m:e>
        </m:nary>
      </m:oMath>
      <w:r w:rsidR="00584DCF">
        <w:rPr>
          <w:rFonts w:eastAsiaTheme="minorEastAsia"/>
          <w:sz w:val="24"/>
          <w:szCs w:val="24"/>
        </w:rPr>
        <w:t xml:space="preserve">. </w:t>
      </w:r>
    </w:p>
    <w:p w:rsidR="00806E40" w:rsidRDefault="004B29E2" w:rsidP="00212016">
      <w:pPr>
        <w:rPr>
          <w:sz w:val="24"/>
          <w:szCs w:val="24"/>
        </w:rPr>
      </w:pPr>
      <w:r>
        <w:rPr>
          <w:rFonts w:eastAsiaTheme="minorEastAsia"/>
          <w:sz w:val="24"/>
          <w:szCs w:val="24"/>
        </w:rPr>
        <w:t>The same</w:t>
      </w:r>
      <w:r w:rsidR="000C4736">
        <w:rPr>
          <w:rFonts w:eastAsiaTheme="minorEastAsia"/>
          <w:sz w:val="24"/>
          <w:szCs w:val="24"/>
        </w:rPr>
        <w:t xml:space="preserve"> digit correction </w:t>
      </w:r>
      <w:r>
        <w:rPr>
          <w:rFonts w:eastAsiaTheme="minorEastAsia"/>
          <w:sz w:val="24"/>
          <w:szCs w:val="24"/>
        </w:rPr>
        <w:t>method</w:t>
      </w:r>
      <w:r w:rsidR="000C4736">
        <w:rPr>
          <w:rFonts w:eastAsiaTheme="minorEastAsia"/>
          <w:sz w:val="24"/>
          <w:szCs w:val="24"/>
        </w:rPr>
        <w:t xml:space="preserve"> was applied to the </w:t>
      </w:r>
      <w:r w:rsidR="00B51EEE">
        <w:rPr>
          <w:rFonts w:eastAsiaTheme="minorEastAsia"/>
          <w:sz w:val="24"/>
          <w:szCs w:val="24"/>
        </w:rPr>
        <w:t xml:space="preserve">NHANES 1999-2000 survey cycle data. </w:t>
      </w:r>
    </w:p>
    <w:p w:rsidR="00E20C4B" w:rsidRPr="00387CEB" w:rsidRDefault="00E20C4B" w:rsidP="00E20C4B">
      <w:pPr>
        <w:rPr>
          <w:i/>
          <w:sz w:val="24"/>
          <w:szCs w:val="24"/>
        </w:rPr>
      </w:pPr>
      <w:r w:rsidRPr="00387CEB">
        <w:rPr>
          <w:i/>
          <w:sz w:val="24"/>
          <w:szCs w:val="24"/>
        </w:rPr>
        <w:t xml:space="preserve">Comparison with other approaches to estimating LBI prevalence </w:t>
      </w:r>
    </w:p>
    <w:p w:rsidR="00A15C67" w:rsidRDefault="00E20C4B" w:rsidP="00E20C4B">
      <w:pPr>
        <w:rPr>
          <w:sz w:val="24"/>
          <w:szCs w:val="24"/>
        </w:rPr>
        <w:sectPr w:rsidR="00A15C67" w:rsidSect="00A15C67">
          <w:headerReference w:type="default" r:id="rId8"/>
          <w:pgSz w:w="12240" w:h="15840"/>
          <w:pgMar w:top="1440" w:right="1440" w:bottom="1440" w:left="1440" w:header="720" w:footer="720" w:gutter="0"/>
          <w:lnNumType w:countBy="1" w:restart="continuous"/>
          <w:cols w:space="720"/>
          <w:docGrid w:linePitch="360"/>
        </w:sectPr>
      </w:pPr>
      <w:r w:rsidRPr="00C32134">
        <w:rPr>
          <w:sz w:val="24"/>
          <w:szCs w:val="24"/>
        </w:rPr>
        <w:t>Determination of latent TB infection from an induration reading of 10</w:t>
      </w:r>
      <w:r w:rsidR="00CD3B7F">
        <w:rPr>
          <w:sz w:val="24"/>
          <w:szCs w:val="24"/>
        </w:rPr>
        <w:t xml:space="preserve"> </w:t>
      </w:r>
      <w:r w:rsidRPr="00C32134">
        <w:rPr>
          <w:sz w:val="24"/>
          <w:szCs w:val="24"/>
        </w:rPr>
        <w:t>mm or greater is one of several commonly used criteria, including the definition of a positive TST result for persons who are contact to a TB case. Others include: 15</w:t>
      </w:r>
      <w:r w:rsidR="00CD3B7F">
        <w:rPr>
          <w:sz w:val="24"/>
          <w:szCs w:val="24"/>
        </w:rPr>
        <w:t xml:space="preserve"> </w:t>
      </w:r>
      <w:r w:rsidRPr="00C32134">
        <w:rPr>
          <w:sz w:val="24"/>
          <w:szCs w:val="24"/>
        </w:rPr>
        <w:t>mm cut-off; 14</w:t>
      </w:r>
      <w:r w:rsidR="00CD3B7F">
        <w:rPr>
          <w:sz w:val="24"/>
          <w:szCs w:val="24"/>
        </w:rPr>
        <w:t xml:space="preserve"> </w:t>
      </w:r>
      <w:r w:rsidRPr="00C32134">
        <w:rPr>
          <w:sz w:val="24"/>
          <w:szCs w:val="24"/>
        </w:rPr>
        <w:t>mm and above adjusted by a “sensitivity multiplier” of 1.22; or the frequency of 17</w:t>
      </w:r>
      <w:r w:rsidR="00CD3B7F">
        <w:rPr>
          <w:sz w:val="24"/>
          <w:szCs w:val="24"/>
        </w:rPr>
        <w:t xml:space="preserve"> </w:t>
      </w:r>
      <w:r w:rsidRPr="00C32134">
        <w:rPr>
          <w:sz w:val="24"/>
          <w:szCs w:val="24"/>
        </w:rPr>
        <w:t>mm indurations plus twice the frequency of 18</w:t>
      </w:r>
      <w:r w:rsidR="00CD3B7F">
        <w:rPr>
          <w:sz w:val="24"/>
          <w:szCs w:val="24"/>
        </w:rPr>
        <w:t xml:space="preserve"> </w:t>
      </w:r>
      <w:r w:rsidRPr="00C32134">
        <w:rPr>
          <w:sz w:val="24"/>
          <w:szCs w:val="24"/>
        </w:rPr>
        <w:t>mm</w:t>
      </w:r>
      <w:r>
        <w:rPr>
          <w:sz w:val="24"/>
          <w:szCs w:val="24"/>
        </w:rPr>
        <w:t xml:space="preserve"> and above (“mirror method</w:t>
      </w:r>
      <w:r w:rsidR="008613E8">
        <w:rPr>
          <w:sz w:val="24"/>
          <w:szCs w:val="24"/>
        </w:rPr>
        <w:t>”) [</w:t>
      </w:r>
      <w:r w:rsidR="00764A4A" w:rsidRPr="00764A4A">
        <w:rPr>
          <w:sz w:val="24"/>
          <w:szCs w:val="24"/>
        </w:rPr>
        <w:t>14</w:t>
      </w:r>
      <w:r w:rsidR="008613E8">
        <w:rPr>
          <w:sz w:val="24"/>
          <w:szCs w:val="24"/>
        </w:rPr>
        <w:t>]</w:t>
      </w:r>
      <w:r w:rsidRPr="00764A4A">
        <w:rPr>
          <w:sz w:val="24"/>
          <w:szCs w:val="24"/>
        </w:rPr>
        <w:t>. From a different perspective, a Bayesian mixture method has been developed, which assumes that the probability density of induration readings comprises a mixture of three underlying distributions representing TB infection, cross-reactions arising from environmental mycobacteria and, if appropri</w:t>
      </w:r>
      <w:r w:rsidR="008613E8">
        <w:rPr>
          <w:sz w:val="24"/>
          <w:szCs w:val="24"/>
        </w:rPr>
        <w:t>ate, BCG vaccination reactions [</w:t>
      </w:r>
      <w:r w:rsidR="00764A4A" w:rsidRPr="00764A4A">
        <w:rPr>
          <w:sz w:val="24"/>
          <w:szCs w:val="24"/>
        </w:rPr>
        <w:t>15</w:t>
      </w:r>
      <w:r w:rsidR="008613E8">
        <w:rPr>
          <w:sz w:val="24"/>
          <w:szCs w:val="24"/>
        </w:rPr>
        <w:t>]</w:t>
      </w:r>
      <w:r w:rsidRPr="00764A4A">
        <w:rPr>
          <w:sz w:val="24"/>
          <w:szCs w:val="24"/>
        </w:rPr>
        <w:t xml:space="preserve">. Unlike the previously mentioned approaches, the mixture method is computationally intensive, but it is arguably less arbitrary than these others in that it doesn’t rely on more arbitrary cut-off points. Nevertheless, the epidemiological validity of its underlying assumptions has been disputed.  The mixture method may be prone to interpretability problems, in that a lack of clear distinction between the environmental mycobacteria and BCG vaccination reaction </w:t>
      </w:r>
      <w:r w:rsidRPr="00764A4A">
        <w:rPr>
          <w:sz w:val="24"/>
          <w:szCs w:val="24"/>
        </w:rPr>
        <w:lastRenderedPageBreak/>
        <w:t xml:space="preserve">components has been demonstrated for some induration datasets </w:t>
      </w:r>
      <w:r w:rsidR="008613E8">
        <w:rPr>
          <w:sz w:val="24"/>
          <w:szCs w:val="24"/>
        </w:rPr>
        <w:t>[</w:t>
      </w:r>
      <w:r w:rsidRPr="00764A4A">
        <w:rPr>
          <w:sz w:val="24"/>
          <w:szCs w:val="24"/>
        </w:rPr>
        <w:t>16</w:t>
      </w:r>
      <w:r w:rsidR="008613E8">
        <w:rPr>
          <w:sz w:val="24"/>
          <w:szCs w:val="24"/>
        </w:rPr>
        <w:t>]</w:t>
      </w:r>
      <w:r w:rsidRPr="00764A4A">
        <w:rPr>
          <w:sz w:val="24"/>
          <w:szCs w:val="24"/>
        </w:rPr>
        <w:t>. W</w:t>
      </w:r>
      <w:r w:rsidRPr="00C32134">
        <w:rPr>
          <w:sz w:val="24"/>
          <w:szCs w:val="24"/>
        </w:rPr>
        <w:t>e decided not to apply the Bayesian mixture method for three reasons: unlike the 1999-2000 study, the 2011-2012 survey did not contain information on BCG status; to our knowledge, there has been no development of a theory that can incorporate the multistage complex sampling design of the NHANES survey and thus permit statistically rigorous variance calculations; and pronounced digit preference patterns in the 2011-2012 induration data would bias the estimation of the mixture distributions.</w:t>
      </w:r>
    </w:p>
    <w:p w:rsidR="00E20C4B" w:rsidRDefault="00E20C4B" w:rsidP="00E20C4B">
      <w:pPr>
        <w:rPr>
          <w:sz w:val="24"/>
          <w:szCs w:val="24"/>
        </w:rPr>
      </w:pPr>
    </w:p>
    <w:p w:rsidR="00681DFB" w:rsidRDefault="00681DFB" w:rsidP="00212016">
      <w:pPr>
        <w:rPr>
          <w:sz w:val="24"/>
          <w:szCs w:val="24"/>
        </w:rPr>
      </w:pPr>
      <w:r>
        <w:rPr>
          <w:sz w:val="24"/>
          <w:szCs w:val="24"/>
        </w:rPr>
        <w:t>References</w:t>
      </w:r>
    </w:p>
    <w:p w:rsidR="009B23AE" w:rsidRDefault="00C359B4" w:rsidP="00C359B4">
      <w:pPr>
        <w:pStyle w:val="ListParagraph"/>
        <w:numPr>
          <w:ilvl w:val="0"/>
          <w:numId w:val="2"/>
        </w:numPr>
        <w:rPr>
          <w:sz w:val="24"/>
          <w:szCs w:val="24"/>
        </w:rPr>
      </w:pPr>
      <w:r>
        <w:rPr>
          <w:sz w:val="24"/>
          <w:szCs w:val="24"/>
        </w:rPr>
        <w:t>National Health and Nutrition Examination Survey</w:t>
      </w:r>
      <w:r w:rsidR="005567F6">
        <w:rPr>
          <w:sz w:val="24"/>
          <w:szCs w:val="24"/>
        </w:rPr>
        <w:t>. Tuberculosis s</w:t>
      </w:r>
      <w:r>
        <w:rPr>
          <w:sz w:val="24"/>
          <w:szCs w:val="24"/>
        </w:rPr>
        <w:t xml:space="preserve">kin </w:t>
      </w:r>
      <w:r w:rsidR="005567F6">
        <w:rPr>
          <w:sz w:val="24"/>
          <w:szCs w:val="24"/>
        </w:rPr>
        <w:t>test procedures m</w:t>
      </w:r>
      <w:r>
        <w:rPr>
          <w:sz w:val="24"/>
          <w:szCs w:val="24"/>
        </w:rPr>
        <w:t>anual. Atlanta</w:t>
      </w:r>
      <w:r w:rsidR="00E901D3">
        <w:rPr>
          <w:sz w:val="24"/>
          <w:szCs w:val="24"/>
        </w:rPr>
        <w:t>, GA</w:t>
      </w:r>
      <w:r>
        <w:rPr>
          <w:sz w:val="24"/>
          <w:szCs w:val="24"/>
        </w:rPr>
        <w:t xml:space="preserve">: Centers for Disease Control and Prevention, Jan 2011.  Available:  </w:t>
      </w:r>
      <w:hyperlink r:id="rId9" w:history="1">
        <w:r w:rsidRPr="009B1E21">
          <w:rPr>
            <w:rStyle w:val="Hyperlink"/>
            <w:sz w:val="24"/>
            <w:szCs w:val="24"/>
          </w:rPr>
          <w:t>http://www.cdc.gov/nchs/data/nhanes/nhanes_11_12/TBSkinTestManual.pdf</w:t>
        </w:r>
      </w:hyperlink>
      <w:r>
        <w:rPr>
          <w:sz w:val="24"/>
          <w:szCs w:val="24"/>
        </w:rPr>
        <w:t xml:space="preserve">.  Accessed </w:t>
      </w:r>
      <w:r w:rsidR="005567F6">
        <w:rPr>
          <w:sz w:val="24"/>
          <w:szCs w:val="24"/>
        </w:rPr>
        <w:t>2014</w:t>
      </w:r>
      <w:r>
        <w:rPr>
          <w:sz w:val="24"/>
          <w:szCs w:val="24"/>
        </w:rPr>
        <w:t xml:space="preserve"> Dec </w:t>
      </w:r>
      <w:r w:rsidR="005567F6">
        <w:rPr>
          <w:sz w:val="24"/>
          <w:szCs w:val="24"/>
        </w:rPr>
        <w:t>16</w:t>
      </w:r>
      <w:r>
        <w:rPr>
          <w:sz w:val="24"/>
          <w:szCs w:val="24"/>
        </w:rPr>
        <w:t xml:space="preserve">. </w:t>
      </w:r>
    </w:p>
    <w:p w:rsidR="00681DFB" w:rsidRDefault="009B23AE" w:rsidP="00E901D3">
      <w:pPr>
        <w:pStyle w:val="ListParagraph"/>
        <w:numPr>
          <w:ilvl w:val="0"/>
          <w:numId w:val="2"/>
        </w:numPr>
        <w:rPr>
          <w:sz w:val="24"/>
          <w:szCs w:val="24"/>
        </w:rPr>
      </w:pPr>
      <w:r>
        <w:rPr>
          <w:sz w:val="24"/>
          <w:szCs w:val="24"/>
        </w:rPr>
        <w:t xml:space="preserve">National Health and Nutrition Examination Survey. </w:t>
      </w:r>
      <w:r w:rsidR="00E901D3">
        <w:rPr>
          <w:sz w:val="24"/>
          <w:szCs w:val="24"/>
        </w:rPr>
        <w:t xml:space="preserve">Laboratory </w:t>
      </w:r>
      <w:r w:rsidR="005567F6">
        <w:rPr>
          <w:sz w:val="24"/>
          <w:szCs w:val="24"/>
        </w:rPr>
        <w:t>procedures m</w:t>
      </w:r>
      <w:r>
        <w:rPr>
          <w:sz w:val="24"/>
          <w:szCs w:val="24"/>
        </w:rPr>
        <w:t>anual. Atlanta</w:t>
      </w:r>
      <w:r w:rsidR="00E901D3">
        <w:rPr>
          <w:sz w:val="24"/>
          <w:szCs w:val="24"/>
        </w:rPr>
        <w:t>, GA</w:t>
      </w:r>
      <w:r>
        <w:rPr>
          <w:sz w:val="24"/>
          <w:szCs w:val="24"/>
        </w:rPr>
        <w:t>: Centers for Disease Control and Prevention, Mar 2011.  Available</w:t>
      </w:r>
      <w:r w:rsidR="00CB7140">
        <w:rPr>
          <w:sz w:val="24"/>
          <w:szCs w:val="24"/>
        </w:rPr>
        <w:t>:</w:t>
      </w:r>
      <w:r>
        <w:rPr>
          <w:sz w:val="24"/>
          <w:szCs w:val="24"/>
        </w:rPr>
        <w:t xml:space="preserve">  </w:t>
      </w:r>
      <w:hyperlink r:id="rId10" w:history="1">
        <w:r w:rsidR="00E901D3" w:rsidRPr="009B1E21">
          <w:rPr>
            <w:rStyle w:val="Hyperlink"/>
            <w:sz w:val="24"/>
            <w:szCs w:val="24"/>
          </w:rPr>
          <w:t>http://www.cdc.gov/nchs/data/nhanes/nhanes_11_12/2011-12_Laboratory_Procedures_Manual.pdf</w:t>
        </w:r>
      </w:hyperlink>
      <w:r w:rsidR="00E901D3">
        <w:rPr>
          <w:sz w:val="24"/>
          <w:szCs w:val="24"/>
        </w:rPr>
        <w:t>.  Accessed</w:t>
      </w:r>
      <w:r w:rsidR="005567F6">
        <w:rPr>
          <w:sz w:val="24"/>
          <w:szCs w:val="24"/>
        </w:rPr>
        <w:t xml:space="preserve"> 2014</w:t>
      </w:r>
      <w:r w:rsidR="00E901D3">
        <w:rPr>
          <w:sz w:val="24"/>
          <w:szCs w:val="24"/>
        </w:rPr>
        <w:t xml:space="preserve"> Dec </w:t>
      </w:r>
      <w:r w:rsidR="005567F6">
        <w:rPr>
          <w:sz w:val="24"/>
          <w:szCs w:val="24"/>
        </w:rPr>
        <w:t>16</w:t>
      </w:r>
      <w:r w:rsidR="00E901D3">
        <w:rPr>
          <w:sz w:val="24"/>
          <w:szCs w:val="24"/>
        </w:rPr>
        <w:t>.</w:t>
      </w:r>
    </w:p>
    <w:p w:rsidR="00BF0C40" w:rsidRDefault="00BF0C40" w:rsidP="00BF0C40">
      <w:pPr>
        <w:pStyle w:val="ListParagraph"/>
        <w:numPr>
          <w:ilvl w:val="0"/>
          <w:numId w:val="2"/>
        </w:numPr>
        <w:rPr>
          <w:sz w:val="24"/>
          <w:szCs w:val="24"/>
        </w:rPr>
      </w:pPr>
      <w:r>
        <w:rPr>
          <w:sz w:val="24"/>
          <w:szCs w:val="24"/>
        </w:rPr>
        <w:t xml:space="preserve">University of Washington.  Laboratory procedure manual.  Seattle, WA: University of Washington, Sep 2013.  Available from: </w:t>
      </w:r>
      <w:hyperlink r:id="rId11" w:history="1">
        <w:r w:rsidR="008B3196" w:rsidRPr="00EE2AAC">
          <w:rPr>
            <w:rStyle w:val="Hyperlink"/>
            <w:sz w:val="24"/>
            <w:szCs w:val="24"/>
          </w:rPr>
          <w:t>http://www.cdc.gov/nchs/data/nhanes/nhanes_11_12/Tuberculosis%20TB_QFT_met.pdf</w:t>
        </w:r>
      </w:hyperlink>
      <w:r w:rsidR="008B3196">
        <w:rPr>
          <w:sz w:val="24"/>
          <w:szCs w:val="24"/>
        </w:rPr>
        <w:t>.  Accessed 2015 March 4.</w:t>
      </w:r>
    </w:p>
    <w:p w:rsidR="00D72B9D" w:rsidRDefault="00D72B9D" w:rsidP="00D72B9D">
      <w:pPr>
        <w:pStyle w:val="ListParagraph"/>
        <w:numPr>
          <w:ilvl w:val="0"/>
          <w:numId w:val="2"/>
        </w:numPr>
        <w:rPr>
          <w:sz w:val="24"/>
          <w:szCs w:val="24"/>
        </w:rPr>
      </w:pPr>
      <w:r>
        <w:rPr>
          <w:sz w:val="24"/>
          <w:szCs w:val="24"/>
        </w:rPr>
        <w:t xml:space="preserve">Current Population Survey. Washington, DC: United States Census Bureau.  Available:  </w:t>
      </w:r>
      <w:hyperlink r:id="rId12" w:history="1">
        <w:r w:rsidRPr="005B7A53">
          <w:rPr>
            <w:rStyle w:val="Hyperlink"/>
            <w:sz w:val="24"/>
            <w:szCs w:val="24"/>
          </w:rPr>
          <w:t>https://www.census.gov/cps/</w:t>
        </w:r>
      </w:hyperlink>
      <w:r>
        <w:rPr>
          <w:sz w:val="24"/>
          <w:szCs w:val="24"/>
        </w:rPr>
        <w:t>.  Accessed</w:t>
      </w:r>
      <w:r w:rsidR="005567F6">
        <w:rPr>
          <w:sz w:val="24"/>
          <w:szCs w:val="24"/>
        </w:rPr>
        <w:t xml:space="preserve"> 2014</w:t>
      </w:r>
      <w:r>
        <w:rPr>
          <w:sz w:val="24"/>
          <w:szCs w:val="24"/>
        </w:rPr>
        <w:t xml:space="preserve"> July </w:t>
      </w:r>
      <w:r w:rsidR="005567F6">
        <w:rPr>
          <w:sz w:val="24"/>
          <w:szCs w:val="24"/>
        </w:rPr>
        <w:t>7</w:t>
      </w:r>
      <w:r>
        <w:rPr>
          <w:sz w:val="24"/>
          <w:szCs w:val="24"/>
        </w:rPr>
        <w:t>.</w:t>
      </w:r>
    </w:p>
    <w:p w:rsidR="00D72B9D" w:rsidRDefault="00D72B9D" w:rsidP="00D72B9D">
      <w:pPr>
        <w:pStyle w:val="ListParagraph"/>
        <w:numPr>
          <w:ilvl w:val="0"/>
          <w:numId w:val="2"/>
        </w:numPr>
        <w:rPr>
          <w:sz w:val="24"/>
          <w:szCs w:val="24"/>
        </w:rPr>
      </w:pPr>
      <w:r>
        <w:rPr>
          <w:sz w:val="24"/>
          <w:szCs w:val="24"/>
        </w:rPr>
        <w:t xml:space="preserve">American Community Survey.  Washington, DC: United States Census Bureau.  Available:  </w:t>
      </w:r>
      <w:hyperlink r:id="rId13" w:history="1">
        <w:r w:rsidRPr="005B7A53">
          <w:rPr>
            <w:rStyle w:val="Hyperlink"/>
            <w:sz w:val="24"/>
            <w:szCs w:val="24"/>
          </w:rPr>
          <w:t>https://www.census.gov/acs/www/about_the_survey/american_community_survey/</w:t>
        </w:r>
      </w:hyperlink>
      <w:r>
        <w:rPr>
          <w:sz w:val="24"/>
          <w:szCs w:val="24"/>
        </w:rPr>
        <w:t>.  Accessed</w:t>
      </w:r>
      <w:r w:rsidR="005567F6">
        <w:rPr>
          <w:sz w:val="24"/>
          <w:szCs w:val="24"/>
        </w:rPr>
        <w:t xml:space="preserve"> 2014</w:t>
      </w:r>
      <w:r>
        <w:rPr>
          <w:sz w:val="24"/>
          <w:szCs w:val="24"/>
        </w:rPr>
        <w:t xml:space="preserve"> Oct </w:t>
      </w:r>
      <w:r w:rsidR="005567F6">
        <w:rPr>
          <w:sz w:val="24"/>
          <w:szCs w:val="24"/>
        </w:rPr>
        <w:t>24</w:t>
      </w:r>
      <w:r>
        <w:rPr>
          <w:sz w:val="24"/>
          <w:szCs w:val="24"/>
        </w:rPr>
        <w:t>.</w:t>
      </w:r>
    </w:p>
    <w:p w:rsidR="007D4BE4" w:rsidRPr="007D4BE4" w:rsidRDefault="007D4BE4" w:rsidP="007D4BE4">
      <w:pPr>
        <w:pStyle w:val="ListParagraph"/>
        <w:numPr>
          <w:ilvl w:val="0"/>
          <w:numId w:val="2"/>
        </w:numPr>
        <w:rPr>
          <w:sz w:val="24"/>
          <w:szCs w:val="24"/>
        </w:rPr>
      </w:pPr>
      <w:r w:rsidRPr="007D4BE4">
        <w:rPr>
          <w:sz w:val="24"/>
          <w:szCs w:val="24"/>
        </w:rPr>
        <w:t xml:space="preserve">R Core Team (2014). R: A language and environment for statistical computing. R Foundation for Statistical Computing. Vienna, Austria. URL: </w:t>
      </w:r>
      <w:hyperlink r:id="rId14" w:history="1">
        <w:r w:rsidRPr="007D4BE4">
          <w:rPr>
            <w:rStyle w:val="Hyperlink"/>
            <w:sz w:val="24"/>
            <w:szCs w:val="24"/>
          </w:rPr>
          <w:t>http://www.R-project.org/</w:t>
        </w:r>
      </w:hyperlink>
      <w:r w:rsidRPr="007D4BE4">
        <w:rPr>
          <w:sz w:val="24"/>
          <w:szCs w:val="24"/>
        </w:rPr>
        <w:t>.</w:t>
      </w:r>
    </w:p>
    <w:p w:rsidR="007D4BE4" w:rsidRPr="007D4BE4" w:rsidRDefault="007D4BE4" w:rsidP="007D4BE4">
      <w:pPr>
        <w:pStyle w:val="ListParagraph"/>
        <w:numPr>
          <w:ilvl w:val="0"/>
          <w:numId w:val="2"/>
        </w:numPr>
        <w:rPr>
          <w:sz w:val="24"/>
          <w:szCs w:val="24"/>
        </w:rPr>
      </w:pPr>
      <w:r w:rsidRPr="007D4BE4">
        <w:rPr>
          <w:sz w:val="24"/>
          <w:szCs w:val="24"/>
        </w:rPr>
        <w:t xml:space="preserve">T. Lumley Analysis of complex survey samples. J. Stat. </w:t>
      </w:r>
      <w:proofErr w:type="spellStart"/>
      <w:r w:rsidRPr="007D4BE4">
        <w:rPr>
          <w:sz w:val="24"/>
          <w:szCs w:val="24"/>
        </w:rPr>
        <w:t>Softw</w:t>
      </w:r>
      <w:proofErr w:type="spellEnd"/>
      <w:r w:rsidRPr="007D4BE4">
        <w:rPr>
          <w:sz w:val="24"/>
          <w:szCs w:val="24"/>
        </w:rPr>
        <w:t>., 2004, 9(1): 1-19.</w:t>
      </w:r>
    </w:p>
    <w:p w:rsidR="007D4BE4" w:rsidRDefault="007D4BE4" w:rsidP="00AE6CEC">
      <w:pPr>
        <w:pStyle w:val="ListParagraph"/>
        <w:numPr>
          <w:ilvl w:val="0"/>
          <w:numId w:val="2"/>
        </w:numPr>
        <w:rPr>
          <w:sz w:val="24"/>
          <w:szCs w:val="24"/>
        </w:rPr>
      </w:pPr>
      <w:r w:rsidRPr="007D4BE4">
        <w:rPr>
          <w:sz w:val="24"/>
          <w:szCs w:val="24"/>
        </w:rPr>
        <w:t>U.S. Centers for Disease Control and Prevention. National Health and Nutrition Examination Survey: Sample Design, 2011-2014. Available</w:t>
      </w:r>
      <w:r w:rsidR="00CB7140">
        <w:rPr>
          <w:sz w:val="24"/>
          <w:szCs w:val="24"/>
        </w:rPr>
        <w:t>:</w:t>
      </w:r>
      <w:r w:rsidRPr="007D4BE4">
        <w:rPr>
          <w:sz w:val="24"/>
          <w:szCs w:val="24"/>
        </w:rPr>
        <w:t xml:space="preserve"> </w:t>
      </w:r>
      <w:hyperlink r:id="rId15" w:history="1">
        <w:r w:rsidR="005A3F82" w:rsidRPr="003E31C0">
          <w:rPr>
            <w:rStyle w:val="Hyperlink"/>
            <w:sz w:val="24"/>
            <w:szCs w:val="24"/>
          </w:rPr>
          <w:t>http://www.cdc.gov/nchs/data/series/sr_02/sr02_162.pdf</w:t>
        </w:r>
      </w:hyperlink>
      <w:r w:rsidR="005A3F82">
        <w:rPr>
          <w:sz w:val="24"/>
          <w:szCs w:val="24"/>
        </w:rPr>
        <w:t xml:space="preserve"> </w:t>
      </w:r>
      <w:r w:rsidRPr="007D4BE4">
        <w:rPr>
          <w:sz w:val="24"/>
          <w:szCs w:val="24"/>
        </w:rPr>
        <w:t>March, 2014.</w:t>
      </w:r>
    </w:p>
    <w:p w:rsidR="007D4BE4" w:rsidRDefault="007D4BE4" w:rsidP="007D4BE4">
      <w:pPr>
        <w:pStyle w:val="ListParagraph"/>
        <w:numPr>
          <w:ilvl w:val="0"/>
          <w:numId w:val="2"/>
        </w:numPr>
        <w:rPr>
          <w:sz w:val="24"/>
          <w:szCs w:val="24"/>
        </w:rPr>
      </w:pPr>
      <w:r w:rsidRPr="007D4BE4">
        <w:rPr>
          <w:sz w:val="24"/>
          <w:szCs w:val="24"/>
        </w:rPr>
        <w:t xml:space="preserve">T. Lumley. Complex Surveys: A Guide to Analysis Using R. John Wiley &amp; Sons. Hoboken, NJ. 2010. </w:t>
      </w:r>
    </w:p>
    <w:p w:rsidR="00AD75BF" w:rsidRPr="00AD75BF" w:rsidRDefault="00AD75BF" w:rsidP="00AD75BF">
      <w:pPr>
        <w:pStyle w:val="ListParagraph"/>
        <w:numPr>
          <w:ilvl w:val="0"/>
          <w:numId w:val="2"/>
        </w:numPr>
        <w:rPr>
          <w:sz w:val="24"/>
          <w:szCs w:val="24"/>
        </w:rPr>
      </w:pPr>
      <w:proofErr w:type="spellStart"/>
      <w:r w:rsidRPr="00AD75BF">
        <w:rPr>
          <w:sz w:val="24"/>
          <w:szCs w:val="24"/>
        </w:rPr>
        <w:t>Eilers</w:t>
      </w:r>
      <w:proofErr w:type="spellEnd"/>
      <w:r w:rsidRPr="00AD75BF">
        <w:rPr>
          <w:sz w:val="24"/>
          <w:szCs w:val="24"/>
        </w:rPr>
        <w:t xml:space="preserve"> PHC, </w:t>
      </w:r>
      <w:proofErr w:type="spellStart"/>
      <w:r w:rsidRPr="00AD75BF">
        <w:rPr>
          <w:sz w:val="24"/>
          <w:szCs w:val="24"/>
        </w:rPr>
        <w:t>Borgdorff</w:t>
      </w:r>
      <w:proofErr w:type="spellEnd"/>
      <w:r w:rsidRPr="00AD75BF">
        <w:rPr>
          <w:sz w:val="24"/>
          <w:szCs w:val="24"/>
        </w:rPr>
        <w:t xml:space="preserve"> MW. Modeling and correction of digit preference in tuberculin surveys. Int. J. </w:t>
      </w:r>
      <w:proofErr w:type="spellStart"/>
      <w:r w:rsidRPr="00AD75BF">
        <w:rPr>
          <w:sz w:val="24"/>
          <w:szCs w:val="24"/>
        </w:rPr>
        <w:t>Tuberc</w:t>
      </w:r>
      <w:proofErr w:type="spellEnd"/>
      <w:r w:rsidRPr="00AD75BF">
        <w:rPr>
          <w:sz w:val="24"/>
          <w:szCs w:val="24"/>
        </w:rPr>
        <w:t>. Lung Dis. 2004. 8(2): 232-9.</w:t>
      </w:r>
    </w:p>
    <w:p w:rsidR="00AD75BF" w:rsidRPr="00AD75BF" w:rsidRDefault="00AD75BF" w:rsidP="00AD75BF">
      <w:pPr>
        <w:pStyle w:val="ListParagraph"/>
        <w:numPr>
          <w:ilvl w:val="0"/>
          <w:numId w:val="2"/>
        </w:numPr>
        <w:rPr>
          <w:sz w:val="24"/>
          <w:szCs w:val="24"/>
        </w:rPr>
      </w:pPr>
      <w:proofErr w:type="spellStart"/>
      <w:r w:rsidRPr="00AD75BF">
        <w:rPr>
          <w:sz w:val="24"/>
          <w:szCs w:val="24"/>
        </w:rPr>
        <w:lastRenderedPageBreak/>
        <w:t>Camarda</w:t>
      </w:r>
      <w:proofErr w:type="spellEnd"/>
      <w:r w:rsidRPr="00AD75BF">
        <w:rPr>
          <w:sz w:val="24"/>
          <w:szCs w:val="24"/>
        </w:rPr>
        <w:t xml:space="preserve"> C, </w:t>
      </w:r>
      <w:proofErr w:type="spellStart"/>
      <w:r w:rsidRPr="00AD75BF">
        <w:rPr>
          <w:sz w:val="24"/>
          <w:szCs w:val="24"/>
        </w:rPr>
        <w:t>Eilers</w:t>
      </w:r>
      <w:proofErr w:type="spellEnd"/>
      <w:r w:rsidRPr="00AD75BF">
        <w:rPr>
          <w:sz w:val="24"/>
          <w:szCs w:val="24"/>
        </w:rPr>
        <w:t xml:space="preserve"> PHC, </w:t>
      </w:r>
      <w:proofErr w:type="spellStart"/>
      <w:r w:rsidRPr="00AD75BF">
        <w:rPr>
          <w:sz w:val="24"/>
          <w:szCs w:val="24"/>
        </w:rPr>
        <w:t>Gampe</w:t>
      </w:r>
      <w:proofErr w:type="spellEnd"/>
      <w:r w:rsidRPr="00AD75BF">
        <w:rPr>
          <w:sz w:val="24"/>
          <w:szCs w:val="24"/>
        </w:rPr>
        <w:t xml:space="preserve"> J. Modelling general patterns of digit preference. Stat. Model. 2008. 8(4): 385-401. </w:t>
      </w:r>
    </w:p>
    <w:p w:rsidR="00AD75BF" w:rsidRDefault="00AD75BF" w:rsidP="00AD75BF">
      <w:pPr>
        <w:pStyle w:val="ListParagraph"/>
        <w:numPr>
          <w:ilvl w:val="0"/>
          <w:numId w:val="2"/>
        </w:numPr>
        <w:rPr>
          <w:sz w:val="24"/>
          <w:szCs w:val="24"/>
        </w:rPr>
      </w:pPr>
      <w:proofErr w:type="spellStart"/>
      <w:r w:rsidRPr="00AD75BF">
        <w:rPr>
          <w:sz w:val="24"/>
          <w:szCs w:val="24"/>
        </w:rPr>
        <w:t>Eilers</w:t>
      </w:r>
      <w:proofErr w:type="spellEnd"/>
      <w:r w:rsidRPr="00AD75BF">
        <w:rPr>
          <w:sz w:val="24"/>
          <w:szCs w:val="24"/>
        </w:rPr>
        <w:t xml:space="preserve"> PHC. Ill-posed problems with counts, the composite link model and penalized likelihood. Stat. Model. 2007. 7(3): 239-54. </w:t>
      </w:r>
    </w:p>
    <w:p w:rsidR="00AD75BF" w:rsidRPr="00AD75BF" w:rsidRDefault="00AD75BF" w:rsidP="00AD75BF">
      <w:pPr>
        <w:pStyle w:val="ListParagraph"/>
        <w:numPr>
          <w:ilvl w:val="0"/>
          <w:numId w:val="2"/>
        </w:numPr>
        <w:rPr>
          <w:sz w:val="24"/>
          <w:szCs w:val="24"/>
        </w:rPr>
      </w:pPr>
      <w:r w:rsidRPr="00AD75BF">
        <w:rPr>
          <w:sz w:val="24"/>
          <w:szCs w:val="24"/>
        </w:rPr>
        <w:t xml:space="preserve">CG </w:t>
      </w:r>
      <w:proofErr w:type="spellStart"/>
      <w:r w:rsidRPr="00AD75BF">
        <w:rPr>
          <w:sz w:val="24"/>
          <w:szCs w:val="24"/>
        </w:rPr>
        <w:t>Camarda</w:t>
      </w:r>
      <w:proofErr w:type="spellEnd"/>
      <w:r w:rsidRPr="00AD75BF">
        <w:rPr>
          <w:sz w:val="24"/>
          <w:szCs w:val="24"/>
        </w:rPr>
        <w:t xml:space="preserve">, Digit Preference Model. URL:  https://sites.google.com/site/carlogiovannicamarda/r-stuff/digit-preference-model Accessed August 25, 2014.  </w:t>
      </w:r>
    </w:p>
    <w:p w:rsidR="00AE6CEC" w:rsidRPr="00AE6CEC" w:rsidRDefault="00AE6CEC" w:rsidP="00AE6CEC">
      <w:pPr>
        <w:pStyle w:val="ListParagraph"/>
        <w:numPr>
          <w:ilvl w:val="0"/>
          <w:numId w:val="2"/>
        </w:numPr>
        <w:rPr>
          <w:sz w:val="24"/>
          <w:szCs w:val="24"/>
        </w:rPr>
      </w:pPr>
      <w:r w:rsidRPr="00AE6CEC">
        <w:rPr>
          <w:sz w:val="24"/>
          <w:szCs w:val="24"/>
        </w:rPr>
        <w:t xml:space="preserve">Fine PE, Bruce J, </w:t>
      </w:r>
      <w:proofErr w:type="spellStart"/>
      <w:r w:rsidRPr="00AE6CEC">
        <w:rPr>
          <w:sz w:val="24"/>
          <w:szCs w:val="24"/>
        </w:rPr>
        <w:t>Ponnighaus</w:t>
      </w:r>
      <w:proofErr w:type="spellEnd"/>
      <w:r w:rsidRPr="00AE6CEC">
        <w:rPr>
          <w:sz w:val="24"/>
          <w:szCs w:val="24"/>
        </w:rPr>
        <w:t xml:space="preserve"> JM, </w:t>
      </w:r>
      <w:proofErr w:type="spellStart"/>
      <w:r w:rsidRPr="00AE6CEC">
        <w:rPr>
          <w:sz w:val="24"/>
          <w:szCs w:val="24"/>
        </w:rPr>
        <w:t>Nkhosa</w:t>
      </w:r>
      <w:proofErr w:type="spellEnd"/>
      <w:r w:rsidRPr="00AE6CEC">
        <w:rPr>
          <w:sz w:val="24"/>
          <w:szCs w:val="24"/>
        </w:rPr>
        <w:t xml:space="preserve"> P, </w:t>
      </w:r>
      <w:proofErr w:type="spellStart"/>
      <w:r w:rsidRPr="00AE6CEC">
        <w:rPr>
          <w:sz w:val="24"/>
          <w:szCs w:val="24"/>
        </w:rPr>
        <w:t>Harawa</w:t>
      </w:r>
      <w:proofErr w:type="spellEnd"/>
      <w:r w:rsidRPr="00AE6CEC">
        <w:rPr>
          <w:sz w:val="24"/>
          <w:szCs w:val="24"/>
        </w:rPr>
        <w:t xml:space="preserve"> A, </w:t>
      </w:r>
      <w:proofErr w:type="spellStart"/>
      <w:r w:rsidRPr="00AE6CEC">
        <w:rPr>
          <w:sz w:val="24"/>
          <w:szCs w:val="24"/>
        </w:rPr>
        <w:t>Vynnycky</w:t>
      </w:r>
      <w:proofErr w:type="spellEnd"/>
      <w:r w:rsidRPr="00AE6CEC">
        <w:rPr>
          <w:sz w:val="24"/>
          <w:szCs w:val="24"/>
        </w:rPr>
        <w:t xml:space="preserve"> E. Tuberculin sensitivity: conversions and reversions in a rural African population. </w:t>
      </w:r>
      <w:proofErr w:type="spellStart"/>
      <w:r w:rsidRPr="00AE6CEC">
        <w:rPr>
          <w:sz w:val="24"/>
          <w:szCs w:val="24"/>
        </w:rPr>
        <w:t>Int</w:t>
      </w:r>
      <w:proofErr w:type="spellEnd"/>
      <w:r w:rsidRPr="00AE6CEC">
        <w:rPr>
          <w:sz w:val="24"/>
          <w:szCs w:val="24"/>
        </w:rPr>
        <w:t xml:space="preserve"> J </w:t>
      </w:r>
      <w:proofErr w:type="spellStart"/>
      <w:r w:rsidRPr="00AE6CEC">
        <w:rPr>
          <w:sz w:val="24"/>
          <w:szCs w:val="24"/>
        </w:rPr>
        <w:t>Tuberc</w:t>
      </w:r>
      <w:proofErr w:type="spellEnd"/>
      <w:r w:rsidRPr="00AE6CEC">
        <w:rPr>
          <w:sz w:val="24"/>
          <w:szCs w:val="24"/>
        </w:rPr>
        <w:t xml:space="preserve"> Lung Dis. 1999 Nov</w:t>
      </w:r>
      <w:proofErr w:type="gramStart"/>
      <w:r w:rsidRPr="00AE6CEC">
        <w:rPr>
          <w:sz w:val="24"/>
          <w:szCs w:val="24"/>
        </w:rPr>
        <w:t>;3</w:t>
      </w:r>
      <w:proofErr w:type="gramEnd"/>
      <w:r w:rsidRPr="00AE6CEC">
        <w:rPr>
          <w:sz w:val="24"/>
          <w:szCs w:val="24"/>
        </w:rPr>
        <w:t xml:space="preserve">(11):962-75. </w:t>
      </w:r>
    </w:p>
    <w:p w:rsidR="00AE6CEC" w:rsidRPr="00AE6CEC" w:rsidRDefault="00AE6CEC" w:rsidP="00AE6CEC">
      <w:pPr>
        <w:pStyle w:val="ListParagraph"/>
        <w:numPr>
          <w:ilvl w:val="0"/>
          <w:numId w:val="2"/>
        </w:numPr>
        <w:rPr>
          <w:sz w:val="24"/>
          <w:szCs w:val="24"/>
        </w:rPr>
      </w:pPr>
      <w:proofErr w:type="spellStart"/>
      <w:r w:rsidRPr="00AE6CEC">
        <w:rPr>
          <w:sz w:val="24"/>
          <w:szCs w:val="24"/>
        </w:rPr>
        <w:t>Neuenschwander</w:t>
      </w:r>
      <w:proofErr w:type="spellEnd"/>
      <w:r w:rsidRPr="00AE6CEC">
        <w:rPr>
          <w:sz w:val="24"/>
          <w:szCs w:val="24"/>
        </w:rPr>
        <w:t xml:space="preserve"> BE, </w:t>
      </w:r>
      <w:proofErr w:type="spellStart"/>
      <w:r w:rsidRPr="00AE6CEC">
        <w:rPr>
          <w:sz w:val="24"/>
          <w:szCs w:val="24"/>
        </w:rPr>
        <w:t>Zwahlen</w:t>
      </w:r>
      <w:proofErr w:type="spellEnd"/>
      <w:r w:rsidRPr="00AE6CEC">
        <w:rPr>
          <w:sz w:val="24"/>
          <w:szCs w:val="24"/>
        </w:rPr>
        <w:t xml:space="preserve"> M, Kim SJ, Lee EG, </w:t>
      </w:r>
      <w:proofErr w:type="spellStart"/>
      <w:r w:rsidRPr="00AE6CEC">
        <w:rPr>
          <w:sz w:val="24"/>
          <w:szCs w:val="24"/>
        </w:rPr>
        <w:t>Rieder</w:t>
      </w:r>
      <w:proofErr w:type="spellEnd"/>
      <w:r w:rsidRPr="00AE6CEC">
        <w:rPr>
          <w:sz w:val="24"/>
          <w:szCs w:val="24"/>
        </w:rPr>
        <w:t xml:space="preserve"> HL. Determination of the prevalence of infection with Mycobacterium tuberculosis among persons vaccinated against Bacillus </w:t>
      </w:r>
      <w:proofErr w:type="spellStart"/>
      <w:r w:rsidRPr="00AE6CEC">
        <w:rPr>
          <w:sz w:val="24"/>
          <w:szCs w:val="24"/>
        </w:rPr>
        <w:t>Calmette</w:t>
      </w:r>
      <w:proofErr w:type="spellEnd"/>
      <w:r w:rsidRPr="00AE6CEC">
        <w:rPr>
          <w:sz w:val="24"/>
          <w:szCs w:val="24"/>
        </w:rPr>
        <w:t xml:space="preserve">-Guerin in South Korea. Am J </w:t>
      </w:r>
      <w:proofErr w:type="spellStart"/>
      <w:r w:rsidRPr="00AE6CEC">
        <w:rPr>
          <w:sz w:val="24"/>
          <w:szCs w:val="24"/>
        </w:rPr>
        <w:t>Epidemiol</w:t>
      </w:r>
      <w:proofErr w:type="spellEnd"/>
      <w:r w:rsidRPr="00AE6CEC">
        <w:rPr>
          <w:sz w:val="24"/>
          <w:szCs w:val="24"/>
        </w:rPr>
        <w:t>. 2002 Apr 1</w:t>
      </w:r>
      <w:proofErr w:type="gramStart"/>
      <w:r w:rsidRPr="00AE6CEC">
        <w:rPr>
          <w:sz w:val="24"/>
          <w:szCs w:val="24"/>
        </w:rPr>
        <w:t>;155</w:t>
      </w:r>
      <w:proofErr w:type="gramEnd"/>
      <w:r w:rsidRPr="00AE6CEC">
        <w:rPr>
          <w:sz w:val="24"/>
          <w:szCs w:val="24"/>
        </w:rPr>
        <w:t xml:space="preserve">(7):654-63. </w:t>
      </w:r>
    </w:p>
    <w:p w:rsidR="00AE6CEC" w:rsidRPr="00AE6CEC" w:rsidRDefault="00AE6CEC" w:rsidP="00AE6CEC">
      <w:pPr>
        <w:pStyle w:val="ListParagraph"/>
        <w:numPr>
          <w:ilvl w:val="0"/>
          <w:numId w:val="2"/>
        </w:numPr>
        <w:rPr>
          <w:sz w:val="24"/>
          <w:szCs w:val="24"/>
        </w:rPr>
      </w:pPr>
      <w:r w:rsidRPr="00AE6CEC">
        <w:rPr>
          <w:sz w:val="24"/>
          <w:szCs w:val="24"/>
        </w:rPr>
        <w:t xml:space="preserve">Davies GR, Fine PE, </w:t>
      </w:r>
      <w:proofErr w:type="spellStart"/>
      <w:r w:rsidRPr="00AE6CEC">
        <w:rPr>
          <w:sz w:val="24"/>
          <w:szCs w:val="24"/>
        </w:rPr>
        <w:t>Vynnycky</w:t>
      </w:r>
      <w:proofErr w:type="spellEnd"/>
      <w:r w:rsidRPr="00AE6CEC">
        <w:rPr>
          <w:sz w:val="24"/>
          <w:szCs w:val="24"/>
        </w:rPr>
        <w:t xml:space="preserve"> E. Mixture analysis of tuberculin survey data from northern Malawi and critique of the method. </w:t>
      </w:r>
      <w:proofErr w:type="spellStart"/>
      <w:r w:rsidRPr="00AE6CEC">
        <w:rPr>
          <w:sz w:val="24"/>
          <w:szCs w:val="24"/>
        </w:rPr>
        <w:t>Int</w:t>
      </w:r>
      <w:proofErr w:type="spellEnd"/>
      <w:r w:rsidRPr="00AE6CEC">
        <w:rPr>
          <w:sz w:val="24"/>
          <w:szCs w:val="24"/>
        </w:rPr>
        <w:t xml:space="preserve"> J </w:t>
      </w:r>
      <w:proofErr w:type="spellStart"/>
      <w:r w:rsidRPr="00AE6CEC">
        <w:rPr>
          <w:sz w:val="24"/>
          <w:szCs w:val="24"/>
        </w:rPr>
        <w:t>Tuberc</w:t>
      </w:r>
      <w:proofErr w:type="spellEnd"/>
      <w:r w:rsidRPr="00AE6CEC">
        <w:rPr>
          <w:sz w:val="24"/>
          <w:szCs w:val="24"/>
        </w:rPr>
        <w:t xml:space="preserve"> Lung Dis. 2006 Sep</w:t>
      </w:r>
      <w:proofErr w:type="gramStart"/>
      <w:r w:rsidRPr="00AE6CEC">
        <w:rPr>
          <w:sz w:val="24"/>
          <w:szCs w:val="24"/>
        </w:rPr>
        <w:t>;10</w:t>
      </w:r>
      <w:proofErr w:type="gramEnd"/>
      <w:r w:rsidRPr="00AE6CEC">
        <w:rPr>
          <w:sz w:val="24"/>
          <w:szCs w:val="24"/>
        </w:rPr>
        <w:t xml:space="preserve">(9):1023-9. </w:t>
      </w:r>
    </w:p>
    <w:p w:rsidR="007B0438" w:rsidRDefault="007B0438">
      <w:pPr>
        <w:rPr>
          <w:sz w:val="24"/>
          <w:szCs w:val="24"/>
        </w:rPr>
      </w:pPr>
      <w:r>
        <w:rPr>
          <w:sz w:val="24"/>
          <w:szCs w:val="24"/>
        </w:rPr>
        <w:br w:type="page"/>
      </w:r>
    </w:p>
    <w:p w:rsidR="007B0438" w:rsidRPr="00967F8A" w:rsidRDefault="007B0438" w:rsidP="007B0438">
      <w:pPr>
        <w:rPr>
          <w:sz w:val="24"/>
          <w:szCs w:val="24"/>
        </w:rPr>
      </w:pPr>
      <w:r>
        <w:rPr>
          <w:sz w:val="24"/>
          <w:szCs w:val="24"/>
        </w:rPr>
        <w:lastRenderedPageBreak/>
        <w:t xml:space="preserve">Supplement </w:t>
      </w:r>
      <w:r w:rsidRPr="00967F8A">
        <w:rPr>
          <w:sz w:val="24"/>
          <w:szCs w:val="24"/>
        </w:rPr>
        <w:t>Table</w:t>
      </w:r>
      <w:r>
        <w:rPr>
          <w:sz w:val="24"/>
          <w:szCs w:val="24"/>
        </w:rPr>
        <w:t xml:space="preserve"> 1</w:t>
      </w:r>
      <w:r w:rsidRPr="00967F8A">
        <w:rPr>
          <w:sz w:val="24"/>
          <w:szCs w:val="24"/>
        </w:rPr>
        <w:t>: Comparison of weight estimates for population percentages of demographic variables in the population ages 6+, 2011-2012 (mobile examination center).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47"/>
        <w:gridCol w:w="3078"/>
        <w:gridCol w:w="3135"/>
      </w:tblGrid>
      <w:tr w:rsidR="007B0438" w:rsidTr="006243E5">
        <w:tc>
          <w:tcPr>
            <w:tcW w:w="3432" w:type="dxa"/>
          </w:tcPr>
          <w:p w:rsidR="007B0438" w:rsidRPr="00967F8A" w:rsidRDefault="007B0438" w:rsidP="006243E5">
            <w:pPr>
              <w:rPr>
                <w:sz w:val="20"/>
                <w:szCs w:val="20"/>
              </w:rPr>
            </w:pPr>
          </w:p>
        </w:tc>
        <w:tc>
          <w:tcPr>
            <w:tcW w:w="3432" w:type="dxa"/>
          </w:tcPr>
          <w:p w:rsidR="007B0438" w:rsidRPr="00967F8A" w:rsidRDefault="007B0438" w:rsidP="006243E5">
            <w:pPr>
              <w:jc w:val="center"/>
              <w:rPr>
                <w:sz w:val="20"/>
                <w:szCs w:val="20"/>
              </w:rPr>
            </w:pPr>
            <w:r>
              <w:rPr>
                <w:sz w:val="20"/>
                <w:szCs w:val="20"/>
              </w:rPr>
              <w:t>NHANES W</w:t>
            </w:r>
            <w:r w:rsidRPr="00967F8A">
              <w:rPr>
                <w:sz w:val="20"/>
                <w:szCs w:val="20"/>
              </w:rPr>
              <w:t>eight</w:t>
            </w:r>
          </w:p>
        </w:tc>
        <w:tc>
          <w:tcPr>
            <w:tcW w:w="3432" w:type="dxa"/>
          </w:tcPr>
          <w:p w:rsidR="007B0438" w:rsidRPr="00967F8A" w:rsidRDefault="007B0438" w:rsidP="006243E5">
            <w:pPr>
              <w:ind w:firstLine="720"/>
              <w:jc w:val="center"/>
              <w:rPr>
                <w:sz w:val="20"/>
                <w:szCs w:val="20"/>
              </w:rPr>
            </w:pPr>
            <w:r>
              <w:rPr>
                <w:sz w:val="20"/>
                <w:szCs w:val="20"/>
              </w:rPr>
              <w:t>New W</w:t>
            </w:r>
            <w:r w:rsidRPr="00967F8A">
              <w:rPr>
                <w:sz w:val="20"/>
                <w:szCs w:val="20"/>
              </w:rPr>
              <w:t>eight</w:t>
            </w:r>
          </w:p>
        </w:tc>
      </w:tr>
      <w:tr w:rsidR="007B0438" w:rsidTr="006243E5">
        <w:tc>
          <w:tcPr>
            <w:tcW w:w="3432" w:type="dxa"/>
          </w:tcPr>
          <w:p w:rsidR="007B0438" w:rsidRPr="00967F8A" w:rsidRDefault="007B0438" w:rsidP="006243E5">
            <w:pPr>
              <w:rPr>
                <w:sz w:val="20"/>
                <w:szCs w:val="20"/>
              </w:rPr>
            </w:pPr>
            <w:r w:rsidRPr="00967F8A">
              <w:rPr>
                <w:sz w:val="20"/>
                <w:szCs w:val="20"/>
              </w:rPr>
              <w:t>Sex</w:t>
            </w:r>
          </w:p>
        </w:tc>
        <w:tc>
          <w:tcPr>
            <w:tcW w:w="3432" w:type="dxa"/>
          </w:tcPr>
          <w:p w:rsidR="007B0438" w:rsidRPr="00967F8A" w:rsidRDefault="007B0438" w:rsidP="006243E5">
            <w:pPr>
              <w:jc w:val="center"/>
              <w:rPr>
                <w:sz w:val="20"/>
                <w:szCs w:val="20"/>
              </w:rPr>
            </w:pPr>
          </w:p>
        </w:tc>
        <w:tc>
          <w:tcPr>
            <w:tcW w:w="3432" w:type="dxa"/>
          </w:tcPr>
          <w:p w:rsidR="007B0438" w:rsidRPr="00967F8A" w:rsidRDefault="007B0438" w:rsidP="006243E5">
            <w:pPr>
              <w:jc w:val="center"/>
              <w:rPr>
                <w:sz w:val="20"/>
                <w:szCs w:val="20"/>
              </w:rPr>
            </w:pPr>
          </w:p>
        </w:tc>
      </w:tr>
      <w:tr w:rsidR="007B0438" w:rsidTr="006243E5">
        <w:tc>
          <w:tcPr>
            <w:tcW w:w="3432" w:type="dxa"/>
          </w:tcPr>
          <w:p w:rsidR="007B0438" w:rsidRPr="00967F8A" w:rsidRDefault="007B0438" w:rsidP="006243E5">
            <w:pPr>
              <w:rPr>
                <w:sz w:val="20"/>
                <w:szCs w:val="20"/>
              </w:rPr>
            </w:pPr>
            <w:r w:rsidRPr="00967F8A">
              <w:rPr>
                <w:sz w:val="20"/>
                <w:szCs w:val="20"/>
              </w:rPr>
              <w:t>Female</w:t>
            </w:r>
          </w:p>
        </w:tc>
        <w:tc>
          <w:tcPr>
            <w:tcW w:w="3432" w:type="dxa"/>
          </w:tcPr>
          <w:p w:rsidR="007B0438" w:rsidRPr="00967F8A" w:rsidRDefault="007B0438" w:rsidP="006243E5">
            <w:pPr>
              <w:jc w:val="center"/>
              <w:rPr>
                <w:sz w:val="20"/>
                <w:szCs w:val="20"/>
              </w:rPr>
            </w:pPr>
            <w:r w:rsidRPr="00967F8A">
              <w:rPr>
                <w:sz w:val="20"/>
                <w:szCs w:val="20"/>
              </w:rPr>
              <w:t>51.4</w:t>
            </w:r>
          </w:p>
        </w:tc>
        <w:tc>
          <w:tcPr>
            <w:tcW w:w="3432" w:type="dxa"/>
          </w:tcPr>
          <w:p w:rsidR="007B0438" w:rsidRPr="00967F8A" w:rsidRDefault="007B0438" w:rsidP="006243E5">
            <w:pPr>
              <w:jc w:val="center"/>
              <w:rPr>
                <w:sz w:val="20"/>
                <w:szCs w:val="20"/>
              </w:rPr>
            </w:pPr>
            <w:r w:rsidRPr="00967F8A">
              <w:rPr>
                <w:sz w:val="20"/>
                <w:szCs w:val="20"/>
              </w:rPr>
              <w:t>51.5</w:t>
            </w:r>
          </w:p>
        </w:tc>
      </w:tr>
      <w:tr w:rsidR="007B0438" w:rsidTr="006243E5">
        <w:tc>
          <w:tcPr>
            <w:tcW w:w="3432" w:type="dxa"/>
          </w:tcPr>
          <w:p w:rsidR="007B0438" w:rsidRPr="00967F8A" w:rsidRDefault="007B0438" w:rsidP="006243E5">
            <w:pPr>
              <w:rPr>
                <w:sz w:val="20"/>
                <w:szCs w:val="20"/>
              </w:rPr>
            </w:pPr>
            <w:r w:rsidRPr="00967F8A">
              <w:rPr>
                <w:sz w:val="20"/>
                <w:szCs w:val="20"/>
              </w:rPr>
              <w:t>Male</w:t>
            </w:r>
          </w:p>
        </w:tc>
        <w:tc>
          <w:tcPr>
            <w:tcW w:w="3432" w:type="dxa"/>
          </w:tcPr>
          <w:p w:rsidR="007B0438" w:rsidRPr="00967F8A" w:rsidRDefault="007B0438" w:rsidP="006243E5">
            <w:pPr>
              <w:jc w:val="center"/>
              <w:rPr>
                <w:sz w:val="20"/>
                <w:szCs w:val="20"/>
              </w:rPr>
            </w:pPr>
            <w:r w:rsidRPr="00967F8A">
              <w:rPr>
                <w:sz w:val="20"/>
                <w:szCs w:val="20"/>
              </w:rPr>
              <w:t>48.6</w:t>
            </w:r>
          </w:p>
        </w:tc>
        <w:tc>
          <w:tcPr>
            <w:tcW w:w="3432" w:type="dxa"/>
          </w:tcPr>
          <w:p w:rsidR="007B0438" w:rsidRPr="00967F8A" w:rsidRDefault="007B0438" w:rsidP="006243E5">
            <w:pPr>
              <w:jc w:val="center"/>
              <w:rPr>
                <w:sz w:val="20"/>
                <w:szCs w:val="20"/>
              </w:rPr>
            </w:pPr>
            <w:r w:rsidRPr="00967F8A">
              <w:rPr>
                <w:sz w:val="20"/>
                <w:szCs w:val="20"/>
              </w:rPr>
              <w:t>48.5</w:t>
            </w:r>
          </w:p>
        </w:tc>
      </w:tr>
      <w:tr w:rsidR="007B0438" w:rsidTr="006243E5">
        <w:tc>
          <w:tcPr>
            <w:tcW w:w="3432" w:type="dxa"/>
          </w:tcPr>
          <w:p w:rsidR="007B0438" w:rsidRPr="00967F8A" w:rsidRDefault="007B0438" w:rsidP="006243E5">
            <w:pPr>
              <w:rPr>
                <w:sz w:val="20"/>
                <w:szCs w:val="20"/>
              </w:rPr>
            </w:pPr>
            <w:r w:rsidRPr="00967F8A">
              <w:rPr>
                <w:sz w:val="20"/>
                <w:szCs w:val="20"/>
              </w:rPr>
              <w:t xml:space="preserve">Age group, </w:t>
            </w:r>
            <w:proofErr w:type="spellStart"/>
            <w:r w:rsidRPr="00967F8A">
              <w:rPr>
                <w:sz w:val="20"/>
                <w:szCs w:val="20"/>
              </w:rPr>
              <w:t>yr</w:t>
            </w:r>
            <w:proofErr w:type="spellEnd"/>
          </w:p>
        </w:tc>
        <w:tc>
          <w:tcPr>
            <w:tcW w:w="3432" w:type="dxa"/>
          </w:tcPr>
          <w:p w:rsidR="007B0438" w:rsidRPr="00967F8A" w:rsidRDefault="007B0438" w:rsidP="006243E5">
            <w:pPr>
              <w:jc w:val="center"/>
              <w:rPr>
                <w:sz w:val="20"/>
                <w:szCs w:val="20"/>
              </w:rPr>
            </w:pPr>
          </w:p>
        </w:tc>
        <w:tc>
          <w:tcPr>
            <w:tcW w:w="3432" w:type="dxa"/>
          </w:tcPr>
          <w:p w:rsidR="007B0438" w:rsidRPr="00967F8A" w:rsidRDefault="007B0438" w:rsidP="006243E5">
            <w:pPr>
              <w:jc w:val="center"/>
              <w:rPr>
                <w:sz w:val="20"/>
                <w:szCs w:val="20"/>
              </w:rPr>
            </w:pPr>
          </w:p>
        </w:tc>
      </w:tr>
      <w:tr w:rsidR="007B0438" w:rsidTr="006243E5">
        <w:tc>
          <w:tcPr>
            <w:tcW w:w="3432" w:type="dxa"/>
          </w:tcPr>
          <w:p w:rsidR="007B0438" w:rsidRPr="00967F8A" w:rsidRDefault="007B0438" w:rsidP="006243E5">
            <w:pPr>
              <w:rPr>
                <w:sz w:val="20"/>
                <w:szCs w:val="20"/>
              </w:rPr>
            </w:pPr>
            <w:r w:rsidRPr="00967F8A">
              <w:rPr>
                <w:sz w:val="20"/>
                <w:szCs w:val="20"/>
              </w:rPr>
              <w:t>6-14</w:t>
            </w:r>
          </w:p>
        </w:tc>
        <w:tc>
          <w:tcPr>
            <w:tcW w:w="3432" w:type="dxa"/>
          </w:tcPr>
          <w:p w:rsidR="007B0438" w:rsidRPr="00967F8A" w:rsidRDefault="007B0438" w:rsidP="006243E5">
            <w:pPr>
              <w:jc w:val="center"/>
              <w:rPr>
                <w:sz w:val="20"/>
                <w:szCs w:val="20"/>
              </w:rPr>
            </w:pPr>
            <w:r w:rsidRPr="00967F8A">
              <w:rPr>
                <w:sz w:val="20"/>
                <w:szCs w:val="20"/>
              </w:rPr>
              <w:t>13.4</w:t>
            </w:r>
          </w:p>
        </w:tc>
        <w:tc>
          <w:tcPr>
            <w:tcW w:w="3432" w:type="dxa"/>
          </w:tcPr>
          <w:p w:rsidR="007B0438" w:rsidRPr="00967F8A" w:rsidRDefault="007B0438" w:rsidP="006243E5">
            <w:pPr>
              <w:jc w:val="center"/>
              <w:rPr>
                <w:sz w:val="20"/>
                <w:szCs w:val="20"/>
              </w:rPr>
            </w:pPr>
            <w:r w:rsidRPr="00967F8A">
              <w:rPr>
                <w:sz w:val="20"/>
                <w:szCs w:val="20"/>
              </w:rPr>
              <w:t>13.2</w:t>
            </w:r>
          </w:p>
        </w:tc>
      </w:tr>
      <w:tr w:rsidR="007B0438" w:rsidTr="006243E5">
        <w:tc>
          <w:tcPr>
            <w:tcW w:w="3432" w:type="dxa"/>
          </w:tcPr>
          <w:p w:rsidR="007B0438" w:rsidRPr="00967F8A" w:rsidRDefault="007B0438" w:rsidP="006243E5">
            <w:pPr>
              <w:rPr>
                <w:sz w:val="20"/>
                <w:szCs w:val="20"/>
              </w:rPr>
            </w:pPr>
            <w:r w:rsidRPr="00967F8A">
              <w:rPr>
                <w:sz w:val="20"/>
                <w:szCs w:val="20"/>
              </w:rPr>
              <w:t>15-24</w:t>
            </w:r>
          </w:p>
        </w:tc>
        <w:tc>
          <w:tcPr>
            <w:tcW w:w="3432" w:type="dxa"/>
          </w:tcPr>
          <w:p w:rsidR="007B0438" w:rsidRPr="00967F8A" w:rsidRDefault="007B0438" w:rsidP="006243E5">
            <w:pPr>
              <w:jc w:val="center"/>
              <w:rPr>
                <w:sz w:val="20"/>
                <w:szCs w:val="20"/>
              </w:rPr>
            </w:pPr>
            <w:r w:rsidRPr="00967F8A">
              <w:rPr>
                <w:sz w:val="20"/>
                <w:szCs w:val="20"/>
              </w:rPr>
              <w:t>15.2</w:t>
            </w:r>
          </w:p>
        </w:tc>
        <w:tc>
          <w:tcPr>
            <w:tcW w:w="3432" w:type="dxa"/>
          </w:tcPr>
          <w:p w:rsidR="007B0438" w:rsidRPr="00967F8A" w:rsidRDefault="007B0438" w:rsidP="006243E5">
            <w:pPr>
              <w:jc w:val="center"/>
              <w:rPr>
                <w:sz w:val="20"/>
                <w:szCs w:val="20"/>
              </w:rPr>
            </w:pPr>
            <w:r w:rsidRPr="00967F8A">
              <w:rPr>
                <w:sz w:val="20"/>
                <w:szCs w:val="20"/>
              </w:rPr>
              <w:t>14.9</w:t>
            </w:r>
          </w:p>
        </w:tc>
      </w:tr>
      <w:tr w:rsidR="007B0438" w:rsidTr="006243E5">
        <w:tc>
          <w:tcPr>
            <w:tcW w:w="3432" w:type="dxa"/>
          </w:tcPr>
          <w:p w:rsidR="007B0438" w:rsidRPr="00967F8A" w:rsidRDefault="007B0438" w:rsidP="006243E5">
            <w:pPr>
              <w:rPr>
                <w:sz w:val="20"/>
                <w:szCs w:val="20"/>
              </w:rPr>
            </w:pPr>
            <w:r w:rsidRPr="00967F8A">
              <w:rPr>
                <w:sz w:val="20"/>
                <w:szCs w:val="20"/>
              </w:rPr>
              <w:t>25-44</w:t>
            </w:r>
          </w:p>
        </w:tc>
        <w:tc>
          <w:tcPr>
            <w:tcW w:w="3432" w:type="dxa"/>
          </w:tcPr>
          <w:p w:rsidR="007B0438" w:rsidRPr="00967F8A" w:rsidRDefault="007B0438" w:rsidP="006243E5">
            <w:pPr>
              <w:jc w:val="center"/>
              <w:rPr>
                <w:sz w:val="20"/>
                <w:szCs w:val="20"/>
              </w:rPr>
            </w:pPr>
            <w:r w:rsidRPr="00967F8A">
              <w:rPr>
                <w:sz w:val="20"/>
                <w:szCs w:val="20"/>
              </w:rPr>
              <w:t>28.2</w:t>
            </w:r>
          </w:p>
        </w:tc>
        <w:tc>
          <w:tcPr>
            <w:tcW w:w="3432" w:type="dxa"/>
          </w:tcPr>
          <w:p w:rsidR="007B0438" w:rsidRPr="00967F8A" w:rsidRDefault="007B0438" w:rsidP="006243E5">
            <w:pPr>
              <w:jc w:val="center"/>
              <w:rPr>
                <w:sz w:val="20"/>
                <w:szCs w:val="20"/>
              </w:rPr>
            </w:pPr>
            <w:r w:rsidRPr="00967F8A">
              <w:rPr>
                <w:sz w:val="20"/>
                <w:szCs w:val="20"/>
              </w:rPr>
              <w:t>28.3</w:t>
            </w:r>
          </w:p>
        </w:tc>
      </w:tr>
      <w:tr w:rsidR="007B0438" w:rsidTr="006243E5">
        <w:tc>
          <w:tcPr>
            <w:tcW w:w="3432" w:type="dxa"/>
          </w:tcPr>
          <w:p w:rsidR="007B0438" w:rsidRPr="00967F8A" w:rsidRDefault="007B0438" w:rsidP="006243E5">
            <w:pPr>
              <w:rPr>
                <w:sz w:val="20"/>
                <w:szCs w:val="20"/>
              </w:rPr>
            </w:pPr>
            <w:r w:rsidRPr="00967F8A">
              <w:rPr>
                <w:sz w:val="20"/>
                <w:szCs w:val="20"/>
              </w:rPr>
              <w:t>45-64</w:t>
            </w:r>
          </w:p>
        </w:tc>
        <w:tc>
          <w:tcPr>
            <w:tcW w:w="3432" w:type="dxa"/>
          </w:tcPr>
          <w:p w:rsidR="007B0438" w:rsidRPr="00967F8A" w:rsidRDefault="007B0438" w:rsidP="006243E5">
            <w:pPr>
              <w:jc w:val="center"/>
              <w:rPr>
                <w:sz w:val="20"/>
                <w:szCs w:val="20"/>
              </w:rPr>
            </w:pPr>
            <w:r w:rsidRPr="00967F8A">
              <w:rPr>
                <w:sz w:val="20"/>
                <w:szCs w:val="20"/>
              </w:rPr>
              <w:t>29.1</w:t>
            </w:r>
          </w:p>
        </w:tc>
        <w:tc>
          <w:tcPr>
            <w:tcW w:w="3432" w:type="dxa"/>
          </w:tcPr>
          <w:p w:rsidR="007B0438" w:rsidRPr="00967F8A" w:rsidRDefault="007B0438" w:rsidP="006243E5">
            <w:pPr>
              <w:jc w:val="center"/>
              <w:rPr>
                <w:sz w:val="20"/>
                <w:szCs w:val="20"/>
              </w:rPr>
            </w:pPr>
            <w:r w:rsidRPr="00967F8A">
              <w:rPr>
                <w:sz w:val="20"/>
                <w:szCs w:val="20"/>
              </w:rPr>
              <w:t>29.4</w:t>
            </w:r>
          </w:p>
        </w:tc>
      </w:tr>
      <w:tr w:rsidR="007B0438" w:rsidTr="006243E5">
        <w:tc>
          <w:tcPr>
            <w:tcW w:w="3432" w:type="dxa"/>
          </w:tcPr>
          <w:p w:rsidR="007B0438" w:rsidRPr="00967F8A" w:rsidRDefault="007B0438" w:rsidP="006243E5">
            <w:pPr>
              <w:rPr>
                <w:sz w:val="20"/>
                <w:szCs w:val="20"/>
              </w:rPr>
            </w:pPr>
            <w:r w:rsidRPr="00967F8A">
              <w:rPr>
                <w:sz w:val="20"/>
                <w:szCs w:val="20"/>
                <w:u w:val="single"/>
              </w:rPr>
              <w:t>&gt;</w:t>
            </w:r>
            <w:r w:rsidRPr="00967F8A">
              <w:rPr>
                <w:sz w:val="20"/>
                <w:szCs w:val="20"/>
              </w:rPr>
              <w:t>65</w:t>
            </w:r>
          </w:p>
        </w:tc>
        <w:tc>
          <w:tcPr>
            <w:tcW w:w="3432" w:type="dxa"/>
          </w:tcPr>
          <w:p w:rsidR="007B0438" w:rsidRPr="00967F8A" w:rsidRDefault="007B0438" w:rsidP="006243E5">
            <w:pPr>
              <w:jc w:val="center"/>
              <w:rPr>
                <w:sz w:val="20"/>
                <w:szCs w:val="20"/>
              </w:rPr>
            </w:pPr>
            <w:r w:rsidRPr="00967F8A">
              <w:rPr>
                <w:sz w:val="20"/>
                <w:szCs w:val="20"/>
              </w:rPr>
              <w:t>14.0</w:t>
            </w:r>
          </w:p>
        </w:tc>
        <w:tc>
          <w:tcPr>
            <w:tcW w:w="3432" w:type="dxa"/>
          </w:tcPr>
          <w:p w:rsidR="007B0438" w:rsidRPr="00967F8A" w:rsidRDefault="007B0438" w:rsidP="006243E5">
            <w:pPr>
              <w:jc w:val="center"/>
              <w:rPr>
                <w:sz w:val="20"/>
                <w:szCs w:val="20"/>
              </w:rPr>
            </w:pPr>
            <w:r w:rsidRPr="00967F8A">
              <w:rPr>
                <w:sz w:val="20"/>
                <w:szCs w:val="20"/>
              </w:rPr>
              <w:t>14.2</w:t>
            </w:r>
          </w:p>
        </w:tc>
      </w:tr>
      <w:tr w:rsidR="007B0438" w:rsidTr="006243E5">
        <w:tc>
          <w:tcPr>
            <w:tcW w:w="3432" w:type="dxa"/>
          </w:tcPr>
          <w:p w:rsidR="007B0438" w:rsidRPr="00967F8A" w:rsidRDefault="007B0438" w:rsidP="006243E5">
            <w:pPr>
              <w:rPr>
                <w:sz w:val="20"/>
                <w:szCs w:val="20"/>
              </w:rPr>
            </w:pPr>
            <w:r w:rsidRPr="00967F8A">
              <w:rPr>
                <w:sz w:val="20"/>
                <w:szCs w:val="20"/>
              </w:rPr>
              <w:t>Race/ethnicity</w:t>
            </w:r>
          </w:p>
        </w:tc>
        <w:tc>
          <w:tcPr>
            <w:tcW w:w="3432" w:type="dxa"/>
          </w:tcPr>
          <w:p w:rsidR="007B0438" w:rsidRPr="00967F8A" w:rsidRDefault="007B0438" w:rsidP="006243E5">
            <w:pPr>
              <w:jc w:val="center"/>
              <w:rPr>
                <w:sz w:val="20"/>
                <w:szCs w:val="20"/>
              </w:rPr>
            </w:pPr>
          </w:p>
        </w:tc>
        <w:tc>
          <w:tcPr>
            <w:tcW w:w="3432" w:type="dxa"/>
          </w:tcPr>
          <w:p w:rsidR="007B0438" w:rsidRPr="00967F8A" w:rsidRDefault="007B0438" w:rsidP="006243E5">
            <w:pPr>
              <w:jc w:val="center"/>
              <w:rPr>
                <w:sz w:val="20"/>
                <w:szCs w:val="20"/>
              </w:rPr>
            </w:pPr>
          </w:p>
        </w:tc>
      </w:tr>
      <w:tr w:rsidR="007B0438" w:rsidTr="006243E5">
        <w:tc>
          <w:tcPr>
            <w:tcW w:w="3432" w:type="dxa"/>
          </w:tcPr>
          <w:p w:rsidR="007B0438" w:rsidRPr="00967F8A" w:rsidRDefault="007B0438" w:rsidP="006243E5">
            <w:pPr>
              <w:rPr>
                <w:sz w:val="20"/>
                <w:szCs w:val="20"/>
              </w:rPr>
            </w:pPr>
            <w:r w:rsidRPr="00967F8A">
              <w:rPr>
                <w:sz w:val="20"/>
                <w:szCs w:val="20"/>
              </w:rPr>
              <w:t>Non-Hispanic white</w:t>
            </w:r>
          </w:p>
        </w:tc>
        <w:tc>
          <w:tcPr>
            <w:tcW w:w="3432" w:type="dxa"/>
          </w:tcPr>
          <w:p w:rsidR="007B0438" w:rsidRPr="00967F8A" w:rsidRDefault="007B0438" w:rsidP="006243E5">
            <w:pPr>
              <w:jc w:val="center"/>
              <w:rPr>
                <w:sz w:val="20"/>
                <w:szCs w:val="20"/>
              </w:rPr>
            </w:pPr>
            <w:r w:rsidRPr="00967F8A">
              <w:rPr>
                <w:sz w:val="20"/>
                <w:szCs w:val="20"/>
              </w:rPr>
              <w:t>63.9</w:t>
            </w:r>
          </w:p>
        </w:tc>
        <w:tc>
          <w:tcPr>
            <w:tcW w:w="3432" w:type="dxa"/>
          </w:tcPr>
          <w:p w:rsidR="007B0438" w:rsidRPr="00967F8A" w:rsidRDefault="007B0438" w:rsidP="006243E5">
            <w:pPr>
              <w:jc w:val="center"/>
              <w:rPr>
                <w:sz w:val="20"/>
                <w:szCs w:val="20"/>
              </w:rPr>
            </w:pPr>
            <w:r w:rsidRPr="00967F8A">
              <w:rPr>
                <w:sz w:val="20"/>
                <w:szCs w:val="20"/>
              </w:rPr>
              <w:t>63.6</w:t>
            </w:r>
          </w:p>
        </w:tc>
      </w:tr>
      <w:tr w:rsidR="007B0438" w:rsidTr="006243E5">
        <w:tc>
          <w:tcPr>
            <w:tcW w:w="3432" w:type="dxa"/>
          </w:tcPr>
          <w:p w:rsidR="007B0438" w:rsidRPr="00967F8A" w:rsidRDefault="007B0438" w:rsidP="006243E5">
            <w:pPr>
              <w:rPr>
                <w:sz w:val="20"/>
                <w:szCs w:val="20"/>
              </w:rPr>
            </w:pPr>
            <w:r w:rsidRPr="00967F8A">
              <w:rPr>
                <w:sz w:val="20"/>
                <w:szCs w:val="20"/>
              </w:rPr>
              <w:t>Non-Hispanic black</w:t>
            </w:r>
          </w:p>
        </w:tc>
        <w:tc>
          <w:tcPr>
            <w:tcW w:w="3432" w:type="dxa"/>
          </w:tcPr>
          <w:p w:rsidR="007B0438" w:rsidRPr="00967F8A" w:rsidRDefault="007B0438" w:rsidP="006243E5">
            <w:pPr>
              <w:jc w:val="center"/>
              <w:rPr>
                <w:sz w:val="20"/>
                <w:szCs w:val="20"/>
              </w:rPr>
            </w:pPr>
            <w:r w:rsidRPr="00967F8A">
              <w:rPr>
                <w:sz w:val="20"/>
                <w:szCs w:val="20"/>
              </w:rPr>
              <w:t>12.2</w:t>
            </w:r>
          </w:p>
        </w:tc>
        <w:tc>
          <w:tcPr>
            <w:tcW w:w="3432" w:type="dxa"/>
          </w:tcPr>
          <w:p w:rsidR="007B0438" w:rsidRPr="00967F8A" w:rsidRDefault="007B0438" w:rsidP="006243E5">
            <w:pPr>
              <w:jc w:val="center"/>
              <w:rPr>
                <w:sz w:val="20"/>
                <w:szCs w:val="20"/>
              </w:rPr>
            </w:pPr>
            <w:r w:rsidRPr="00967F8A">
              <w:rPr>
                <w:sz w:val="20"/>
                <w:szCs w:val="20"/>
              </w:rPr>
              <w:t>12.0</w:t>
            </w:r>
          </w:p>
        </w:tc>
      </w:tr>
      <w:tr w:rsidR="007B0438" w:rsidTr="006243E5">
        <w:tc>
          <w:tcPr>
            <w:tcW w:w="3432" w:type="dxa"/>
          </w:tcPr>
          <w:p w:rsidR="007B0438" w:rsidRPr="00967F8A" w:rsidRDefault="007B0438" w:rsidP="006243E5">
            <w:pPr>
              <w:rPr>
                <w:sz w:val="20"/>
                <w:szCs w:val="20"/>
              </w:rPr>
            </w:pPr>
            <w:r w:rsidRPr="00967F8A">
              <w:rPr>
                <w:sz w:val="20"/>
                <w:szCs w:val="20"/>
              </w:rPr>
              <w:t>Hispanic</w:t>
            </w:r>
          </w:p>
        </w:tc>
        <w:tc>
          <w:tcPr>
            <w:tcW w:w="3432" w:type="dxa"/>
          </w:tcPr>
          <w:p w:rsidR="007B0438" w:rsidRPr="00967F8A" w:rsidRDefault="007B0438" w:rsidP="006243E5">
            <w:pPr>
              <w:jc w:val="center"/>
              <w:rPr>
                <w:sz w:val="20"/>
                <w:szCs w:val="20"/>
              </w:rPr>
            </w:pPr>
            <w:r w:rsidRPr="00967F8A">
              <w:rPr>
                <w:sz w:val="20"/>
                <w:szCs w:val="20"/>
              </w:rPr>
              <w:t>16.0</w:t>
            </w:r>
          </w:p>
        </w:tc>
        <w:tc>
          <w:tcPr>
            <w:tcW w:w="3432" w:type="dxa"/>
          </w:tcPr>
          <w:p w:rsidR="007B0438" w:rsidRPr="00967F8A" w:rsidRDefault="007B0438" w:rsidP="006243E5">
            <w:pPr>
              <w:jc w:val="center"/>
              <w:rPr>
                <w:sz w:val="20"/>
                <w:szCs w:val="20"/>
              </w:rPr>
            </w:pPr>
            <w:r w:rsidRPr="00967F8A">
              <w:rPr>
                <w:sz w:val="20"/>
                <w:szCs w:val="20"/>
              </w:rPr>
              <w:t>17.2</w:t>
            </w:r>
          </w:p>
        </w:tc>
      </w:tr>
      <w:tr w:rsidR="007B0438" w:rsidTr="006243E5">
        <w:tc>
          <w:tcPr>
            <w:tcW w:w="3432" w:type="dxa"/>
          </w:tcPr>
          <w:p w:rsidR="007B0438" w:rsidRPr="00967F8A" w:rsidRDefault="007B0438" w:rsidP="006243E5">
            <w:pPr>
              <w:rPr>
                <w:sz w:val="20"/>
                <w:szCs w:val="20"/>
              </w:rPr>
            </w:pPr>
            <w:r w:rsidRPr="00967F8A">
              <w:rPr>
                <w:sz w:val="20"/>
                <w:szCs w:val="20"/>
              </w:rPr>
              <w:t>Non-Hispanic Asian</w:t>
            </w:r>
          </w:p>
        </w:tc>
        <w:tc>
          <w:tcPr>
            <w:tcW w:w="3432" w:type="dxa"/>
          </w:tcPr>
          <w:p w:rsidR="007B0438" w:rsidRPr="00967F8A" w:rsidRDefault="007B0438" w:rsidP="006243E5">
            <w:pPr>
              <w:jc w:val="center"/>
              <w:rPr>
                <w:sz w:val="20"/>
                <w:szCs w:val="20"/>
              </w:rPr>
            </w:pPr>
            <w:r w:rsidRPr="00967F8A">
              <w:rPr>
                <w:sz w:val="20"/>
                <w:szCs w:val="20"/>
              </w:rPr>
              <w:t>5.1</w:t>
            </w:r>
          </w:p>
        </w:tc>
        <w:tc>
          <w:tcPr>
            <w:tcW w:w="3432" w:type="dxa"/>
          </w:tcPr>
          <w:p w:rsidR="007B0438" w:rsidRPr="00967F8A" w:rsidRDefault="007B0438" w:rsidP="006243E5">
            <w:pPr>
              <w:jc w:val="center"/>
              <w:rPr>
                <w:sz w:val="20"/>
                <w:szCs w:val="20"/>
              </w:rPr>
            </w:pPr>
            <w:r w:rsidRPr="00967F8A">
              <w:rPr>
                <w:sz w:val="20"/>
                <w:szCs w:val="20"/>
              </w:rPr>
              <w:t>4.6</w:t>
            </w:r>
          </w:p>
        </w:tc>
      </w:tr>
      <w:tr w:rsidR="007B0438" w:rsidTr="006243E5">
        <w:tc>
          <w:tcPr>
            <w:tcW w:w="3432" w:type="dxa"/>
          </w:tcPr>
          <w:p w:rsidR="007B0438" w:rsidRPr="00967F8A" w:rsidRDefault="007B0438" w:rsidP="006243E5">
            <w:pPr>
              <w:rPr>
                <w:sz w:val="20"/>
                <w:szCs w:val="20"/>
              </w:rPr>
            </w:pPr>
            <w:r w:rsidRPr="00967F8A">
              <w:rPr>
                <w:sz w:val="20"/>
                <w:szCs w:val="20"/>
              </w:rPr>
              <w:t>Other</w:t>
            </w:r>
            <w:r w:rsidRPr="00967F8A">
              <w:rPr>
                <w:sz w:val="20"/>
                <w:szCs w:val="20"/>
              </w:rPr>
              <w:tab/>
            </w:r>
          </w:p>
        </w:tc>
        <w:tc>
          <w:tcPr>
            <w:tcW w:w="3432" w:type="dxa"/>
          </w:tcPr>
          <w:p w:rsidR="007B0438" w:rsidRPr="00967F8A" w:rsidRDefault="007B0438" w:rsidP="006243E5">
            <w:pPr>
              <w:jc w:val="center"/>
              <w:rPr>
                <w:sz w:val="20"/>
                <w:szCs w:val="20"/>
              </w:rPr>
            </w:pPr>
            <w:r w:rsidRPr="00967F8A">
              <w:rPr>
                <w:sz w:val="20"/>
                <w:szCs w:val="20"/>
              </w:rPr>
              <w:t>2.8</w:t>
            </w:r>
          </w:p>
        </w:tc>
        <w:tc>
          <w:tcPr>
            <w:tcW w:w="3432" w:type="dxa"/>
          </w:tcPr>
          <w:p w:rsidR="007B0438" w:rsidRPr="00967F8A" w:rsidRDefault="007B0438" w:rsidP="006243E5">
            <w:pPr>
              <w:jc w:val="center"/>
              <w:rPr>
                <w:sz w:val="20"/>
                <w:szCs w:val="20"/>
              </w:rPr>
            </w:pPr>
            <w:r w:rsidRPr="00967F8A">
              <w:rPr>
                <w:sz w:val="20"/>
                <w:szCs w:val="20"/>
              </w:rPr>
              <w:t>2.7</w:t>
            </w:r>
          </w:p>
        </w:tc>
      </w:tr>
      <w:tr w:rsidR="007B0438" w:rsidTr="006243E5">
        <w:tc>
          <w:tcPr>
            <w:tcW w:w="3432" w:type="dxa"/>
          </w:tcPr>
          <w:p w:rsidR="007B0438" w:rsidRPr="00967F8A" w:rsidRDefault="007B0438" w:rsidP="006243E5">
            <w:pPr>
              <w:rPr>
                <w:sz w:val="20"/>
                <w:szCs w:val="20"/>
              </w:rPr>
            </w:pPr>
            <w:r w:rsidRPr="00967F8A">
              <w:rPr>
                <w:sz w:val="20"/>
                <w:szCs w:val="20"/>
              </w:rPr>
              <w:t>Poverty</w:t>
            </w:r>
          </w:p>
        </w:tc>
        <w:tc>
          <w:tcPr>
            <w:tcW w:w="3432" w:type="dxa"/>
          </w:tcPr>
          <w:p w:rsidR="007B0438" w:rsidRPr="00967F8A" w:rsidRDefault="007B0438" w:rsidP="006243E5">
            <w:pPr>
              <w:jc w:val="center"/>
              <w:rPr>
                <w:sz w:val="20"/>
                <w:szCs w:val="20"/>
              </w:rPr>
            </w:pPr>
          </w:p>
        </w:tc>
        <w:tc>
          <w:tcPr>
            <w:tcW w:w="3432" w:type="dxa"/>
          </w:tcPr>
          <w:p w:rsidR="007B0438" w:rsidRPr="00967F8A" w:rsidRDefault="007B0438" w:rsidP="006243E5">
            <w:pPr>
              <w:jc w:val="center"/>
              <w:rPr>
                <w:sz w:val="20"/>
                <w:szCs w:val="20"/>
              </w:rPr>
            </w:pPr>
          </w:p>
        </w:tc>
      </w:tr>
      <w:tr w:rsidR="007B0438" w:rsidTr="006243E5">
        <w:tc>
          <w:tcPr>
            <w:tcW w:w="3432" w:type="dxa"/>
          </w:tcPr>
          <w:p w:rsidR="007B0438" w:rsidRPr="00967F8A" w:rsidRDefault="007B0438" w:rsidP="006243E5">
            <w:pPr>
              <w:rPr>
                <w:sz w:val="20"/>
                <w:szCs w:val="20"/>
              </w:rPr>
            </w:pPr>
            <w:r w:rsidRPr="00967F8A">
              <w:rPr>
                <w:sz w:val="20"/>
                <w:szCs w:val="20"/>
              </w:rPr>
              <w:t>At or above poverty</w:t>
            </w:r>
          </w:p>
        </w:tc>
        <w:tc>
          <w:tcPr>
            <w:tcW w:w="3432" w:type="dxa"/>
          </w:tcPr>
          <w:p w:rsidR="007B0438" w:rsidRPr="00967F8A" w:rsidRDefault="007B0438" w:rsidP="006243E5">
            <w:pPr>
              <w:jc w:val="center"/>
              <w:rPr>
                <w:sz w:val="20"/>
                <w:szCs w:val="20"/>
              </w:rPr>
            </w:pPr>
            <w:r w:rsidRPr="00967F8A">
              <w:rPr>
                <w:sz w:val="20"/>
                <w:szCs w:val="20"/>
              </w:rPr>
              <w:t>75.6</w:t>
            </w:r>
          </w:p>
        </w:tc>
        <w:tc>
          <w:tcPr>
            <w:tcW w:w="3432" w:type="dxa"/>
          </w:tcPr>
          <w:p w:rsidR="007B0438" w:rsidRPr="00967F8A" w:rsidRDefault="007B0438" w:rsidP="006243E5">
            <w:pPr>
              <w:jc w:val="center"/>
              <w:rPr>
                <w:sz w:val="20"/>
                <w:szCs w:val="20"/>
              </w:rPr>
            </w:pPr>
            <w:r w:rsidRPr="00967F8A">
              <w:rPr>
                <w:sz w:val="20"/>
                <w:szCs w:val="20"/>
              </w:rPr>
              <w:t>75.7</w:t>
            </w:r>
          </w:p>
        </w:tc>
      </w:tr>
      <w:tr w:rsidR="007B0438" w:rsidTr="006243E5">
        <w:tc>
          <w:tcPr>
            <w:tcW w:w="3432" w:type="dxa"/>
          </w:tcPr>
          <w:p w:rsidR="007B0438" w:rsidRPr="00967F8A" w:rsidRDefault="007B0438" w:rsidP="006243E5">
            <w:pPr>
              <w:rPr>
                <w:sz w:val="20"/>
                <w:szCs w:val="20"/>
              </w:rPr>
            </w:pPr>
            <w:r w:rsidRPr="00967F8A">
              <w:rPr>
                <w:sz w:val="20"/>
                <w:szCs w:val="20"/>
              </w:rPr>
              <w:t>Below poverty</w:t>
            </w:r>
          </w:p>
        </w:tc>
        <w:tc>
          <w:tcPr>
            <w:tcW w:w="3432" w:type="dxa"/>
          </w:tcPr>
          <w:p w:rsidR="007B0438" w:rsidRPr="00967F8A" w:rsidRDefault="007B0438" w:rsidP="006243E5">
            <w:pPr>
              <w:jc w:val="center"/>
              <w:rPr>
                <w:sz w:val="20"/>
                <w:szCs w:val="20"/>
              </w:rPr>
            </w:pPr>
            <w:r w:rsidRPr="00967F8A">
              <w:rPr>
                <w:sz w:val="20"/>
                <w:szCs w:val="20"/>
              </w:rPr>
              <w:t>18.2</w:t>
            </w:r>
          </w:p>
        </w:tc>
        <w:tc>
          <w:tcPr>
            <w:tcW w:w="3432" w:type="dxa"/>
          </w:tcPr>
          <w:p w:rsidR="007B0438" w:rsidRPr="00967F8A" w:rsidRDefault="007B0438" w:rsidP="006243E5">
            <w:pPr>
              <w:jc w:val="center"/>
              <w:rPr>
                <w:sz w:val="20"/>
                <w:szCs w:val="20"/>
              </w:rPr>
            </w:pPr>
            <w:r w:rsidRPr="00967F8A">
              <w:rPr>
                <w:sz w:val="20"/>
                <w:szCs w:val="20"/>
              </w:rPr>
              <w:t>18.5</w:t>
            </w:r>
          </w:p>
        </w:tc>
      </w:tr>
      <w:tr w:rsidR="007B0438" w:rsidTr="006243E5">
        <w:tc>
          <w:tcPr>
            <w:tcW w:w="3432" w:type="dxa"/>
          </w:tcPr>
          <w:p w:rsidR="007B0438" w:rsidRPr="00967F8A" w:rsidRDefault="007B0438" w:rsidP="006243E5">
            <w:pPr>
              <w:rPr>
                <w:sz w:val="20"/>
                <w:szCs w:val="20"/>
              </w:rPr>
            </w:pPr>
            <w:r w:rsidRPr="00967F8A">
              <w:rPr>
                <w:sz w:val="20"/>
                <w:szCs w:val="20"/>
              </w:rPr>
              <w:t>Missing</w:t>
            </w:r>
            <w:r w:rsidRPr="00967F8A">
              <w:rPr>
                <w:sz w:val="20"/>
                <w:szCs w:val="20"/>
              </w:rPr>
              <w:tab/>
            </w:r>
          </w:p>
        </w:tc>
        <w:tc>
          <w:tcPr>
            <w:tcW w:w="3432" w:type="dxa"/>
          </w:tcPr>
          <w:p w:rsidR="007B0438" w:rsidRPr="00967F8A" w:rsidRDefault="007B0438" w:rsidP="006243E5">
            <w:pPr>
              <w:jc w:val="center"/>
              <w:rPr>
                <w:sz w:val="20"/>
                <w:szCs w:val="20"/>
              </w:rPr>
            </w:pPr>
            <w:r w:rsidRPr="00967F8A">
              <w:rPr>
                <w:sz w:val="20"/>
                <w:szCs w:val="20"/>
              </w:rPr>
              <w:t>6.2</w:t>
            </w:r>
          </w:p>
        </w:tc>
        <w:tc>
          <w:tcPr>
            <w:tcW w:w="3432" w:type="dxa"/>
          </w:tcPr>
          <w:p w:rsidR="007B0438" w:rsidRPr="00967F8A" w:rsidRDefault="007B0438" w:rsidP="006243E5">
            <w:pPr>
              <w:jc w:val="center"/>
              <w:rPr>
                <w:sz w:val="20"/>
                <w:szCs w:val="20"/>
              </w:rPr>
            </w:pPr>
            <w:r w:rsidRPr="00967F8A">
              <w:rPr>
                <w:sz w:val="20"/>
                <w:szCs w:val="20"/>
              </w:rPr>
              <w:t>5.8</w:t>
            </w:r>
          </w:p>
        </w:tc>
      </w:tr>
      <w:tr w:rsidR="007B0438" w:rsidTr="006243E5">
        <w:tc>
          <w:tcPr>
            <w:tcW w:w="3432" w:type="dxa"/>
          </w:tcPr>
          <w:p w:rsidR="007B0438" w:rsidRPr="00967F8A" w:rsidRDefault="007B0438" w:rsidP="006243E5">
            <w:pPr>
              <w:rPr>
                <w:sz w:val="20"/>
                <w:szCs w:val="20"/>
              </w:rPr>
            </w:pPr>
            <w:r w:rsidRPr="00967F8A">
              <w:rPr>
                <w:sz w:val="20"/>
                <w:szCs w:val="20"/>
              </w:rPr>
              <w:t>Education</w:t>
            </w:r>
          </w:p>
        </w:tc>
        <w:tc>
          <w:tcPr>
            <w:tcW w:w="3432" w:type="dxa"/>
          </w:tcPr>
          <w:p w:rsidR="007B0438" w:rsidRPr="00967F8A" w:rsidRDefault="007B0438" w:rsidP="006243E5">
            <w:pPr>
              <w:jc w:val="center"/>
              <w:rPr>
                <w:sz w:val="20"/>
                <w:szCs w:val="20"/>
              </w:rPr>
            </w:pPr>
          </w:p>
        </w:tc>
        <w:tc>
          <w:tcPr>
            <w:tcW w:w="3432" w:type="dxa"/>
          </w:tcPr>
          <w:p w:rsidR="007B0438" w:rsidRPr="00967F8A" w:rsidRDefault="007B0438" w:rsidP="006243E5">
            <w:pPr>
              <w:jc w:val="center"/>
              <w:rPr>
                <w:sz w:val="20"/>
                <w:szCs w:val="20"/>
              </w:rPr>
            </w:pPr>
          </w:p>
        </w:tc>
      </w:tr>
      <w:tr w:rsidR="007B0438" w:rsidTr="006243E5">
        <w:tc>
          <w:tcPr>
            <w:tcW w:w="3432" w:type="dxa"/>
          </w:tcPr>
          <w:p w:rsidR="007B0438" w:rsidRPr="00967F8A" w:rsidRDefault="007B0438" w:rsidP="006243E5">
            <w:pPr>
              <w:rPr>
                <w:sz w:val="20"/>
                <w:szCs w:val="20"/>
              </w:rPr>
            </w:pPr>
            <w:r w:rsidRPr="00967F8A">
              <w:rPr>
                <w:sz w:val="20"/>
                <w:szCs w:val="20"/>
              </w:rPr>
              <w:t>&lt;High school</w:t>
            </w:r>
          </w:p>
        </w:tc>
        <w:tc>
          <w:tcPr>
            <w:tcW w:w="3432" w:type="dxa"/>
          </w:tcPr>
          <w:p w:rsidR="007B0438" w:rsidRPr="00967F8A" w:rsidRDefault="007B0438" w:rsidP="006243E5">
            <w:pPr>
              <w:jc w:val="center"/>
              <w:rPr>
                <w:sz w:val="20"/>
                <w:szCs w:val="20"/>
              </w:rPr>
            </w:pPr>
            <w:r w:rsidRPr="00967F8A">
              <w:rPr>
                <w:sz w:val="20"/>
                <w:szCs w:val="20"/>
              </w:rPr>
              <w:t>32.0</w:t>
            </w:r>
          </w:p>
        </w:tc>
        <w:tc>
          <w:tcPr>
            <w:tcW w:w="3432" w:type="dxa"/>
          </w:tcPr>
          <w:p w:rsidR="007B0438" w:rsidRPr="00967F8A" w:rsidRDefault="007B0438" w:rsidP="006243E5">
            <w:pPr>
              <w:jc w:val="center"/>
              <w:rPr>
                <w:sz w:val="20"/>
                <w:szCs w:val="20"/>
              </w:rPr>
            </w:pPr>
            <w:r w:rsidRPr="00967F8A">
              <w:rPr>
                <w:sz w:val="20"/>
                <w:szCs w:val="20"/>
              </w:rPr>
              <w:t>32.0</w:t>
            </w:r>
          </w:p>
        </w:tc>
      </w:tr>
      <w:tr w:rsidR="007B0438" w:rsidTr="006243E5">
        <w:tc>
          <w:tcPr>
            <w:tcW w:w="3432" w:type="dxa"/>
          </w:tcPr>
          <w:p w:rsidR="007B0438" w:rsidRPr="00967F8A" w:rsidRDefault="007B0438" w:rsidP="006243E5">
            <w:pPr>
              <w:rPr>
                <w:sz w:val="20"/>
                <w:szCs w:val="20"/>
              </w:rPr>
            </w:pPr>
            <w:r w:rsidRPr="00967F8A">
              <w:rPr>
                <w:sz w:val="20"/>
                <w:szCs w:val="20"/>
              </w:rPr>
              <w:t>High school graduate</w:t>
            </w:r>
          </w:p>
        </w:tc>
        <w:tc>
          <w:tcPr>
            <w:tcW w:w="3432" w:type="dxa"/>
          </w:tcPr>
          <w:p w:rsidR="007B0438" w:rsidRPr="00967F8A" w:rsidRDefault="007B0438" w:rsidP="006243E5">
            <w:pPr>
              <w:jc w:val="center"/>
              <w:rPr>
                <w:sz w:val="20"/>
                <w:szCs w:val="20"/>
              </w:rPr>
            </w:pPr>
            <w:r w:rsidRPr="00967F8A">
              <w:rPr>
                <w:sz w:val="20"/>
                <w:szCs w:val="20"/>
              </w:rPr>
              <w:t>16.9</w:t>
            </w:r>
          </w:p>
        </w:tc>
        <w:tc>
          <w:tcPr>
            <w:tcW w:w="3432" w:type="dxa"/>
          </w:tcPr>
          <w:p w:rsidR="007B0438" w:rsidRPr="00967F8A" w:rsidRDefault="007B0438" w:rsidP="006243E5">
            <w:pPr>
              <w:jc w:val="center"/>
              <w:rPr>
                <w:sz w:val="20"/>
                <w:szCs w:val="20"/>
              </w:rPr>
            </w:pPr>
            <w:r w:rsidRPr="00967F8A">
              <w:rPr>
                <w:sz w:val="20"/>
                <w:szCs w:val="20"/>
              </w:rPr>
              <w:t>17.2</w:t>
            </w:r>
          </w:p>
        </w:tc>
      </w:tr>
      <w:tr w:rsidR="007B0438" w:rsidTr="006243E5">
        <w:tc>
          <w:tcPr>
            <w:tcW w:w="3432" w:type="dxa"/>
          </w:tcPr>
          <w:p w:rsidR="007B0438" w:rsidRPr="00967F8A" w:rsidRDefault="007B0438" w:rsidP="006243E5">
            <w:pPr>
              <w:rPr>
                <w:sz w:val="20"/>
                <w:szCs w:val="20"/>
              </w:rPr>
            </w:pPr>
            <w:r w:rsidRPr="00967F8A">
              <w:rPr>
                <w:sz w:val="20"/>
                <w:szCs w:val="20"/>
              </w:rPr>
              <w:t>Beyond high school</w:t>
            </w:r>
          </w:p>
        </w:tc>
        <w:tc>
          <w:tcPr>
            <w:tcW w:w="3432" w:type="dxa"/>
          </w:tcPr>
          <w:p w:rsidR="007B0438" w:rsidRPr="00967F8A" w:rsidRDefault="007B0438" w:rsidP="006243E5">
            <w:pPr>
              <w:jc w:val="center"/>
              <w:rPr>
                <w:sz w:val="20"/>
                <w:szCs w:val="20"/>
              </w:rPr>
            </w:pPr>
            <w:r w:rsidRPr="00967F8A">
              <w:rPr>
                <w:sz w:val="20"/>
                <w:szCs w:val="20"/>
              </w:rPr>
              <w:t>51.1</w:t>
            </w:r>
          </w:p>
        </w:tc>
        <w:tc>
          <w:tcPr>
            <w:tcW w:w="3432" w:type="dxa"/>
          </w:tcPr>
          <w:p w:rsidR="007B0438" w:rsidRPr="00967F8A" w:rsidRDefault="007B0438" w:rsidP="006243E5">
            <w:pPr>
              <w:jc w:val="center"/>
              <w:rPr>
                <w:sz w:val="20"/>
                <w:szCs w:val="20"/>
              </w:rPr>
            </w:pPr>
            <w:r w:rsidRPr="00967F8A">
              <w:rPr>
                <w:sz w:val="20"/>
                <w:szCs w:val="20"/>
              </w:rPr>
              <w:t>50.8</w:t>
            </w:r>
          </w:p>
        </w:tc>
      </w:tr>
      <w:tr w:rsidR="007B0438" w:rsidTr="006243E5">
        <w:tc>
          <w:tcPr>
            <w:tcW w:w="3432" w:type="dxa"/>
          </w:tcPr>
          <w:p w:rsidR="007B0438" w:rsidRPr="00967F8A" w:rsidRDefault="007B0438" w:rsidP="006243E5">
            <w:pPr>
              <w:rPr>
                <w:sz w:val="20"/>
                <w:szCs w:val="20"/>
              </w:rPr>
            </w:pPr>
            <w:r w:rsidRPr="00967F8A">
              <w:rPr>
                <w:sz w:val="20"/>
                <w:szCs w:val="20"/>
              </w:rPr>
              <w:t>Birthplace</w:t>
            </w:r>
          </w:p>
        </w:tc>
        <w:tc>
          <w:tcPr>
            <w:tcW w:w="3432" w:type="dxa"/>
          </w:tcPr>
          <w:p w:rsidR="007B0438" w:rsidRPr="00967F8A" w:rsidRDefault="007B0438" w:rsidP="006243E5">
            <w:pPr>
              <w:jc w:val="center"/>
              <w:rPr>
                <w:sz w:val="20"/>
                <w:szCs w:val="20"/>
              </w:rPr>
            </w:pPr>
          </w:p>
        </w:tc>
        <w:tc>
          <w:tcPr>
            <w:tcW w:w="3432" w:type="dxa"/>
          </w:tcPr>
          <w:p w:rsidR="007B0438" w:rsidRPr="00967F8A" w:rsidRDefault="007B0438" w:rsidP="006243E5">
            <w:pPr>
              <w:jc w:val="center"/>
              <w:rPr>
                <w:sz w:val="20"/>
                <w:szCs w:val="20"/>
              </w:rPr>
            </w:pPr>
          </w:p>
        </w:tc>
      </w:tr>
      <w:tr w:rsidR="007B0438" w:rsidTr="006243E5">
        <w:tc>
          <w:tcPr>
            <w:tcW w:w="3432" w:type="dxa"/>
          </w:tcPr>
          <w:p w:rsidR="007B0438" w:rsidRPr="00967F8A" w:rsidRDefault="007B0438" w:rsidP="006243E5">
            <w:pPr>
              <w:rPr>
                <w:sz w:val="20"/>
                <w:szCs w:val="20"/>
              </w:rPr>
            </w:pPr>
            <w:r w:rsidRPr="00967F8A">
              <w:rPr>
                <w:sz w:val="20"/>
                <w:szCs w:val="20"/>
              </w:rPr>
              <w:t>United States</w:t>
            </w:r>
          </w:p>
        </w:tc>
        <w:tc>
          <w:tcPr>
            <w:tcW w:w="3432" w:type="dxa"/>
          </w:tcPr>
          <w:p w:rsidR="007B0438" w:rsidRPr="00967F8A" w:rsidRDefault="007B0438" w:rsidP="006243E5">
            <w:pPr>
              <w:jc w:val="center"/>
              <w:rPr>
                <w:sz w:val="20"/>
                <w:szCs w:val="20"/>
              </w:rPr>
            </w:pPr>
            <w:r w:rsidRPr="00967F8A">
              <w:rPr>
                <w:sz w:val="20"/>
                <w:szCs w:val="20"/>
              </w:rPr>
              <w:t>83.8</w:t>
            </w:r>
          </w:p>
        </w:tc>
        <w:tc>
          <w:tcPr>
            <w:tcW w:w="3432" w:type="dxa"/>
          </w:tcPr>
          <w:p w:rsidR="007B0438" w:rsidRPr="00967F8A" w:rsidRDefault="007B0438" w:rsidP="006243E5">
            <w:pPr>
              <w:jc w:val="center"/>
              <w:rPr>
                <w:sz w:val="20"/>
                <w:szCs w:val="20"/>
              </w:rPr>
            </w:pPr>
            <w:r w:rsidRPr="00967F8A">
              <w:rPr>
                <w:sz w:val="20"/>
                <w:szCs w:val="20"/>
              </w:rPr>
              <w:t>83.6</w:t>
            </w:r>
          </w:p>
        </w:tc>
      </w:tr>
      <w:tr w:rsidR="007B0438" w:rsidTr="006243E5">
        <w:tc>
          <w:tcPr>
            <w:tcW w:w="3432" w:type="dxa"/>
          </w:tcPr>
          <w:p w:rsidR="007B0438" w:rsidRPr="00967F8A" w:rsidRDefault="007B0438" w:rsidP="006243E5">
            <w:pPr>
              <w:rPr>
                <w:sz w:val="20"/>
                <w:szCs w:val="20"/>
              </w:rPr>
            </w:pPr>
            <w:r w:rsidRPr="00967F8A">
              <w:rPr>
                <w:sz w:val="20"/>
                <w:szCs w:val="20"/>
              </w:rPr>
              <w:t>Foreign-born</w:t>
            </w:r>
          </w:p>
        </w:tc>
        <w:tc>
          <w:tcPr>
            <w:tcW w:w="3432" w:type="dxa"/>
          </w:tcPr>
          <w:p w:rsidR="007B0438" w:rsidRPr="00967F8A" w:rsidRDefault="007B0438" w:rsidP="006243E5">
            <w:pPr>
              <w:jc w:val="center"/>
              <w:rPr>
                <w:sz w:val="20"/>
                <w:szCs w:val="20"/>
              </w:rPr>
            </w:pPr>
            <w:r w:rsidRPr="00967F8A">
              <w:rPr>
                <w:sz w:val="20"/>
                <w:szCs w:val="20"/>
              </w:rPr>
              <w:t>16.2</w:t>
            </w:r>
          </w:p>
        </w:tc>
        <w:tc>
          <w:tcPr>
            <w:tcW w:w="3432" w:type="dxa"/>
          </w:tcPr>
          <w:p w:rsidR="007B0438" w:rsidRPr="00967F8A" w:rsidRDefault="007B0438" w:rsidP="006243E5">
            <w:pPr>
              <w:jc w:val="center"/>
              <w:rPr>
                <w:sz w:val="20"/>
                <w:szCs w:val="20"/>
              </w:rPr>
            </w:pPr>
            <w:r w:rsidRPr="00967F8A">
              <w:rPr>
                <w:sz w:val="20"/>
                <w:szCs w:val="20"/>
              </w:rPr>
              <w:t>16.4</w:t>
            </w:r>
          </w:p>
        </w:tc>
      </w:tr>
    </w:tbl>
    <w:p w:rsidR="00886A1E" w:rsidRPr="007D4BE4" w:rsidRDefault="00886A1E" w:rsidP="007B0438">
      <w:pPr>
        <w:pStyle w:val="ListParagraph"/>
        <w:rPr>
          <w:sz w:val="24"/>
          <w:szCs w:val="24"/>
        </w:rPr>
      </w:pPr>
    </w:p>
    <w:p w:rsidR="003C2B42" w:rsidRDefault="00886A1E" w:rsidP="007B0438">
      <w:pPr>
        <w:rPr>
          <w:sz w:val="24"/>
          <w:szCs w:val="24"/>
        </w:rPr>
      </w:pPr>
      <w:r>
        <w:rPr>
          <w:sz w:val="24"/>
          <w:szCs w:val="24"/>
        </w:rPr>
        <w:t xml:space="preserve">Supplement Table 2: </w:t>
      </w:r>
      <w:r w:rsidRPr="00886A1E">
        <w:rPr>
          <w:sz w:val="24"/>
          <w:szCs w:val="24"/>
        </w:rPr>
        <w:t>Tuberculin Skin Test Positive (Defined as Induration of 5 mm or Greater) Prevalence in the Civilian, Noninstitutionalized U.S. Population, Ages 6+, 2011-2012</w:t>
      </w:r>
    </w:p>
    <w:tbl>
      <w:tblPr>
        <w:tblW w:w="6322" w:type="dxa"/>
        <w:tblLook w:val="04A0" w:firstRow="1" w:lastRow="0" w:firstColumn="1" w:lastColumn="0" w:noHBand="0" w:noVBand="1"/>
      </w:tblPr>
      <w:tblGrid>
        <w:gridCol w:w="3129"/>
        <w:gridCol w:w="3193"/>
      </w:tblGrid>
      <w:tr w:rsidR="00886A1E" w:rsidRPr="00886A1E" w:rsidTr="00886A1E">
        <w:trPr>
          <w:trHeight w:val="828"/>
        </w:trPr>
        <w:tc>
          <w:tcPr>
            <w:tcW w:w="3129" w:type="dxa"/>
            <w:tcBorders>
              <w:top w:val="nil"/>
              <w:left w:val="nil"/>
              <w:bottom w:val="single" w:sz="4" w:space="0" w:color="auto"/>
              <w:right w:val="single" w:sz="4" w:space="0" w:color="auto"/>
            </w:tcBorders>
            <w:shd w:val="clear" w:color="auto" w:fill="auto"/>
            <w:noWrap/>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Characteristics</w:t>
            </w:r>
          </w:p>
        </w:tc>
        <w:tc>
          <w:tcPr>
            <w:tcW w:w="3193" w:type="dxa"/>
            <w:tcBorders>
              <w:top w:val="nil"/>
              <w:left w:val="single" w:sz="4" w:space="0" w:color="auto"/>
              <w:bottom w:val="single" w:sz="4" w:space="0" w:color="auto"/>
              <w:right w:val="nil"/>
            </w:tcBorders>
            <w:shd w:val="clear" w:color="auto" w:fill="auto"/>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xml:space="preserve">TST Positive Prevalence, </w:t>
            </w:r>
            <w:r w:rsidRPr="00886A1E">
              <w:rPr>
                <w:rFonts w:ascii="Calibri" w:eastAsia="Times New Roman" w:hAnsi="Calibri" w:cs="Times New Roman"/>
                <w:color w:val="000000"/>
                <w:sz w:val="20"/>
                <w:szCs w:val="20"/>
              </w:rPr>
              <w:br/>
              <w:t>% (95% CI)</w:t>
            </w:r>
          </w:p>
        </w:tc>
      </w:tr>
      <w:tr w:rsidR="00886A1E" w:rsidRPr="00886A1E" w:rsidTr="00886A1E">
        <w:trPr>
          <w:trHeight w:val="288"/>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All participants</w:t>
            </w:r>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8.1  (6.1-10.8)</w:t>
            </w:r>
          </w:p>
        </w:tc>
      </w:tr>
      <w:tr w:rsidR="00886A1E" w:rsidRPr="00886A1E" w:rsidTr="00886A1E">
        <w:trPr>
          <w:trHeight w:val="276"/>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Sex</w:t>
            </w:r>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w:t>
            </w:r>
          </w:p>
        </w:tc>
      </w:tr>
      <w:tr w:rsidR="00886A1E" w:rsidRPr="00886A1E" w:rsidTr="00886A1E">
        <w:trPr>
          <w:trHeight w:val="288"/>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Female</w:t>
            </w:r>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7.0  (5.1 -9.5)</w:t>
            </w:r>
          </w:p>
        </w:tc>
      </w:tr>
      <w:tr w:rsidR="00886A1E" w:rsidRPr="00886A1E" w:rsidTr="00886A1E">
        <w:trPr>
          <w:trHeight w:val="288"/>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Male</w:t>
            </w:r>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9.4  (7.0-12.4)</w:t>
            </w:r>
          </w:p>
        </w:tc>
      </w:tr>
      <w:tr w:rsidR="00886A1E" w:rsidRPr="00886A1E" w:rsidTr="00886A1E">
        <w:trPr>
          <w:trHeight w:val="276"/>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xml:space="preserve">Age group, </w:t>
            </w:r>
            <w:proofErr w:type="spellStart"/>
            <w:r w:rsidRPr="00886A1E">
              <w:rPr>
                <w:rFonts w:ascii="Calibri" w:eastAsia="Times New Roman" w:hAnsi="Calibri" w:cs="Times New Roman"/>
                <w:color w:val="000000"/>
                <w:sz w:val="20"/>
                <w:szCs w:val="20"/>
              </w:rPr>
              <w:t>yr</w:t>
            </w:r>
            <w:proofErr w:type="spellEnd"/>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w:t>
            </w:r>
          </w:p>
        </w:tc>
      </w:tr>
      <w:tr w:rsidR="00886A1E" w:rsidRPr="00886A1E" w:rsidTr="00886A1E">
        <w:trPr>
          <w:trHeight w:val="288"/>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6–14</w:t>
            </w:r>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3.5  (2.6 -4.7)</w:t>
            </w:r>
          </w:p>
        </w:tc>
      </w:tr>
      <w:tr w:rsidR="00886A1E" w:rsidRPr="00886A1E" w:rsidTr="00886A1E">
        <w:trPr>
          <w:trHeight w:val="288"/>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15–24</w:t>
            </w:r>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5.6  (3.7 -8.4)</w:t>
            </w:r>
          </w:p>
        </w:tc>
      </w:tr>
      <w:tr w:rsidR="00886A1E" w:rsidRPr="00886A1E" w:rsidTr="00886A1E">
        <w:trPr>
          <w:trHeight w:val="288"/>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25–44</w:t>
            </w:r>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10.4  (6.8-15.7)</w:t>
            </w:r>
          </w:p>
        </w:tc>
      </w:tr>
      <w:tr w:rsidR="00886A1E" w:rsidRPr="00886A1E" w:rsidTr="009C3A7B">
        <w:trPr>
          <w:trHeight w:val="288"/>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45–64</w:t>
            </w:r>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10.0  (7.6-13.0)</w:t>
            </w:r>
          </w:p>
        </w:tc>
      </w:tr>
      <w:tr w:rsidR="00886A1E" w:rsidRPr="00886A1E" w:rsidTr="009C3A7B">
        <w:trPr>
          <w:trHeight w:val="288"/>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&gt;65</w:t>
            </w:r>
          </w:p>
        </w:tc>
        <w:tc>
          <w:tcPr>
            <w:tcW w:w="3193" w:type="dxa"/>
            <w:tcBorders>
              <w:top w:val="single" w:sz="4" w:space="0" w:color="auto"/>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6.8  (4.7 -9.6)</w:t>
            </w:r>
          </w:p>
        </w:tc>
      </w:tr>
      <w:tr w:rsidR="00886A1E" w:rsidRPr="00886A1E" w:rsidTr="009C3A7B">
        <w:trPr>
          <w:trHeight w:val="276"/>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lastRenderedPageBreak/>
              <w:t>Race/ethnicity</w:t>
            </w:r>
          </w:p>
        </w:tc>
        <w:tc>
          <w:tcPr>
            <w:tcW w:w="3193" w:type="dxa"/>
            <w:tcBorders>
              <w:top w:val="single" w:sz="4" w:space="0" w:color="auto"/>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w:t>
            </w:r>
          </w:p>
        </w:tc>
      </w:tr>
      <w:tr w:rsidR="00886A1E" w:rsidRPr="00886A1E" w:rsidTr="00806E40">
        <w:trPr>
          <w:trHeight w:val="332"/>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Non-Hispanic white</w:t>
            </w:r>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2.3  (1.6 -3.5)</w:t>
            </w:r>
          </w:p>
        </w:tc>
      </w:tr>
      <w:tr w:rsidR="00886A1E" w:rsidRPr="00886A1E" w:rsidTr="00806E40">
        <w:trPr>
          <w:trHeight w:val="359"/>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Non-Hispanic black</w:t>
            </w:r>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11.3  (8.8-14.4)</w:t>
            </w:r>
          </w:p>
        </w:tc>
      </w:tr>
      <w:tr w:rsidR="00886A1E" w:rsidRPr="00886A1E" w:rsidTr="00886A1E">
        <w:trPr>
          <w:trHeight w:val="288"/>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Hispanic</w:t>
            </w:r>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20.7 (15.6-26.9)</w:t>
            </w:r>
          </w:p>
        </w:tc>
      </w:tr>
      <w:tr w:rsidR="00886A1E" w:rsidRPr="00886A1E" w:rsidTr="00806E40">
        <w:trPr>
          <w:trHeight w:val="314"/>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Non-Hispanic Asian</w:t>
            </w:r>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36.1 (30.5-42.2)</w:t>
            </w:r>
          </w:p>
        </w:tc>
      </w:tr>
      <w:tr w:rsidR="00886A1E" w:rsidRPr="00886A1E" w:rsidTr="00886A1E">
        <w:trPr>
          <w:trHeight w:val="288"/>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Other</w:t>
            </w:r>
          </w:p>
        </w:tc>
        <w:tc>
          <w:tcPr>
            <w:tcW w:w="3193" w:type="dxa"/>
            <w:tcBorders>
              <w:top w:val="nil"/>
              <w:left w:val="single" w:sz="4" w:space="0" w:color="auto"/>
              <w:bottom w:val="nil"/>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3.5  (1.3 -9.3)</w:t>
            </w:r>
          </w:p>
        </w:tc>
      </w:tr>
      <w:tr w:rsidR="00886A1E" w:rsidRPr="00886A1E" w:rsidTr="00886A1E">
        <w:trPr>
          <w:trHeight w:val="276"/>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proofErr w:type="spellStart"/>
            <w:r w:rsidRPr="00886A1E">
              <w:rPr>
                <w:rFonts w:ascii="Calibri" w:eastAsia="Times New Roman" w:hAnsi="Calibri" w:cs="Times New Roman"/>
                <w:color w:val="000000"/>
                <w:sz w:val="20"/>
                <w:szCs w:val="20"/>
              </w:rPr>
              <w:t>Poverty</w:t>
            </w:r>
            <w:r w:rsidR="007B6246" w:rsidRPr="007B6246">
              <w:rPr>
                <w:rFonts w:ascii="Calibri" w:eastAsia="Times New Roman" w:hAnsi="Calibri" w:cs="Times New Roman"/>
                <w:color w:val="000000"/>
                <w:sz w:val="20"/>
                <w:szCs w:val="20"/>
                <w:vertAlign w:val="superscript"/>
              </w:rPr>
              <w:t>a</w:t>
            </w:r>
            <w:proofErr w:type="spellEnd"/>
          </w:p>
        </w:tc>
        <w:tc>
          <w:tcPr>
            <w:tcW w:w="3193" w:type="dxa"/>
            <w:tcBorders>
              <w:top w:val="single" w:sz="4" w:space="0" w:color="auto"/>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w:t>
            </w:r>
          </w:p>
        </w:tc>
      </w:tr>
      <w:tr w:rsidR="00886A1E" w:rsidRPr="00886A1E" w:rsidTr="00806E40">
        <w:trPr>
          <w:trHeight w:val="305"/>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Poverty income index &gt;1</w:t>
            </w:r>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7.4  (5.3-10.2)</w:t>
            </w:r>
          </w:p>
        </w:tc>
      </w:tr>
      <w:tr w:rsidR="00886A1E" w:rsidRPr="00886A1E" w:rsidTr="00806E40">
        <w:trPr>
          <w:trHeight w:val="58"/>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Poverty income index &lt; 1</w:t>
            </w:r>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10.5  (8.5-13.0)</w:t>
            </w:r>
          </w:p>
        </w:tc>
      </w:tr>
      <w:tr w:rsidR="00886A1E" w:rsidRPr="00886A1E" w:rsidTr="00886A1E">
        <w:trPr>
          <w:trHeight w:val="276"/>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Education level</w:t>
            </w:r>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w:t>
            </w:r>
          </w:p>
        </w:tc>
      </w:tr>
      <w:tr w:rsidR="00886A1E" w:rsidRPr="00886A1E" w:rsidTr="00886A1E">
        <w:trPr>
          <w:trHeight w:val="288"/>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&lt;High school</w:t>
            </w:r>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10.9  (7.9-15.0)</w:t>
            </w:r>
          </w:p>
        </w:tc>
      </w:tr>
      <w:tr w:rsidR="00886A1E" w:rsidRPr="00886A1E" w:rsidTr="00806E40">
        <w:trPr>
          <w:trHeight w:val="305"/>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High school graduate</w:t>
            </w:r>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8.4  (5.8-12.0)</w:t>
            </w:r>
          </w:p>
        </w:tc>
      </w:tr>
      <w:tr w:rsidR="00886A1E" w:rsidRPr="00886A1E" w:rsidTr="00806E40">
        <w:trPr>
          <w:trHeight w:val="278"/>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06E40" w:rsidP="00886A1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86A1E" w:rsidRPr="00886A1E">
              <w:rPr>
                <w:rFonts w:ascii="Calibri" w:eastAsia="Times New Roman" w:hAnsi="Calibri" w:cs="Times New Roman"/>
                <w:color w:val="000000"/>
                <w:sz w:val="20"/>
                <w:szCs w:val="20"/>
              </w:rPr>
              <w:t>Beyond high school</w:t>
            </w:r>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06E40">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6.3  (4.8 -8.2)</w:t>
            </w:r>
          </w:p>
        </w:tc>
      </w:tr>
      <w:tr w:rsidR="00886A1E" w:rsidRPr="00886A1E" w:rsidTr="00886A1E">
        <w:trPr>
          <w:trHeight w:val="276"/>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Birthplace</w:t>
            </w:r>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w:t>
            </w:r>
          </w:p>
        </w:tc>
      </w:tr>
      <w:tr w:rsidR="00886A1E" w:rsidRPr="00886A1E" w:rsidTr="00886A1E">
        <w:trPr>
          <w:trHeight w:val="288"/>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United States</w:t>
            </w:r>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3.1  (2.0 -4.8)</w:t>
            </w:r>
          </w:p>
        </w:tc>
      </w:tr>
      <w:tr w:rsidR="00886A1E" w:rsidRPr="00886A1E" w:rsidTr="00886A1E">
        <w:trPr>
          <w:trHeight w:val="288"/>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Foreign-born</w:t>
            </w:r>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33.7 (27.8-40.1)</w:t>
            </w:r>
          </w:p>
        </w:tc>
      </w:tr>
      <w:tr w:rsidR="00886A1E" w:rsidRPr="00886A1E" w:rsidTr="00886A1E">
        <w:trPr>
          <w:trHeight w:val="276"/>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proofErr w:type="spellStart"/>
            <w:r w:rsidRPr="00886A1E">
              <w:rPr>
                <w:rFonts w:ascii="Calibri" w:eastAsia="Times New Roman" w:hAnsi="Calibri" w:cs="Times New Roman"/>
                <w:color w:val="000000"/>
                <w:sz w:val="20"/>
                <w:szCs w:val="20"/>
              </w:rPr>
              <w:t>Diabetes</w:t>
            </w:r>
            <w:r w:rsidR="007B6246">
              <w:rPr>
                <w:rFonts w:ascii="Calibri" w:eastAsia="Times New Roman" w:hAnsi="Calibri" w:cs="Times New Roman"/>
                <w:color w:val="000000"/>
                <w:sz w:val="20"/>
                <w:szCs w:val="20"/>
                <w:vertAlign w:val="superscript"/>
              </w:rPr>
              <w:t>b</w:t>
            </w:r>
            <w:proofErr w:type="spellEnd"/>
            <w:r w:rsidRPr="00886A1E">
              <w:rPr>
                <w:rFonts w:ascii="Calibri" w:eastAsia="Times New Roman" w:hAnsi="Calibri" w:cs="Times New Roman"/>
                <w:color w:val="000000"/>
                <w:sz w:val="20"/>
                <w:szCs w:val="20"/>
              </w:rPr>
              <w:t xml:space="preserve"> </w:t>
            </w:r>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w:t>
            </w:r>
          </w:p>
        </w:tc>
      </w:tr>
      <w:tr w:rsidR="00886A1E" w:rsidRPr="00886A1E" w:rsidTr="00886A1E">
        <w:trPr>
          <w:trHeight w:val="288"/>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Normal</w:t>
            </w:r>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7.2  (5.2 -9.9)</w:t>
            </w:r>
          </w:p>
        </w:tc>
      </w:tr>
      <w:tr w:rsidR="00886A1E" w:rsidRPr="00886A1E" w:rsidTr="00886A1E">
        <w:trPr>
          <w:trHeight w:val="288"/>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Prediabetes</w:t>
            </w:r>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11.3  (8.3-15.2)</w:t>
            </w:r>
          </w:p>
        </w:tc>
      </w:tr>
      <w:tr w:rsidR="00886A1E" w:rsidRPr="00886A1E" w:rsidTr="00886A1E">
        <w:trPr>
          <w:trHeight w:val="288"/>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xml:space="preserve">  Diabetes</w:t>
            </w:r>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14.0 (10.5-18.4)</w:t>
            </w:r>
          </w:p>
        </w:tc>
      </w:tr>
      <w:tr w:rsidR="00886A1E" w:rsidRPr="00886A1E" w:rsidTr="00806E40">
        <w:trPr>
          <w:trHeight w:val="269"/>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xml:space="preserve">Body Mass </w:t>
            </w:r>
            <w:proofErr w:type="spellStart"/>
            <w:r w:rsidRPr="00886A1E">
              <w:rPr>
                <w:rFonts w:ascii="Calibri" w:eastAsia="Times New Roman" w:hAnsi="Calibri" w:cs="Times New Roman"/>
                <w:color w:val="000000"/>
                <w:sz w:val="20"/>
                <w:szCs w:val="20"/>
              </w:rPr>
              <w:t>Index</w:t>
            </w:r>
            <w:r w:rsidR="007B6246">
              <w:rPr>
                <w:rFonts w:ascii="Calibri" w:eastAsia="Times New Roman" w:hAnsi="Calibri" w:cs="Times New Roman"/>
                <w:color w:val="000000"/>
                <w:sz w:val="20"/>
                <w:szCs w:val="20"/>
                <w:vertAlign w:val="superscript"/>
              </w:rPr>
              <w:t>c</w:t>
            </w:r>
            <w:proofErr w:type="spellEnd"/>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w:t>
            </w:r>
          </w:p>
        </w:tc>
      </w:tr>
      <w:tr w:rsidR="00886A1E" w:rsidRPr="00886A1E" w:rsidTr="00806E40">
        <w:trPr>
          <w:trHeight w:val="58"/>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Underweight</w:t>
            </w:r>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7.6  (3.8-14.7)</w:t>
            </w:r>
          </w:p>
        </w:tc>
      </w:tr>
      <w:tr w:rsidR="00886A1E" w:rsidRPr="00886A1E" w:rsidTr="00886A1E">
        <w:trPr>
          <w:trHeight w:val="288"/>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Normal</w:t>
            </w:r>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7.8  (5.6-10.6)</w:t>
            </w:r>
          </w:p>
        </w:tc>
      </w:tr>
      <w:tr w:rsidR="00886A1E" w:rsidRPr="00886A1E" w:rsidTr="00886A1E">
        <w:trPr>
          <w:trHeight w:val="288"/>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Overweight</w:t>
            </w:r>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8.6  (6.5-11.2)</w:t>
            </w:r>
          </w:p>
        </w:tc>
      </w:tr>
      <w:tr w:rsidR="00886A1E" w:rsidRPr="00886A1E" w:rsidTr="00886A1E">
        <w:trPr>
          <w:trHeight w:val="288"/>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Obese</w:t>
            </w:r>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8.4  (5.9-11.8)</w:t>
            </w:r>
          </w:p>
        </w:tc>
      </w:tr>
      <w:tr w:rsidR="00886A1E" w:rsidRPr="00886A1E" w:rsidTr="00806E40">
        <w:trPr>
          <w:trHeight w:val="278"/>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Cigarette Smoking Status</w:t>
            </w:r>
          </w:p>
        </w:tc>
        <w:tc>
          <w:tcPr>
            <w:tcW w:w="3193" w:type="dxa"/>
            <w:tcBorders>
              <w:top w:val="nil"/>
              <w:left w:val="single" w:sz="4" w:space="0" w:color="auto"/>
              <w:bottom w:val="single" w:sz="4" w:space="0" w:color="auto"/>
              <w:right w:val="nil"/>
            </w:tcBorders>
            <w:shd w:val="clear" w:color="auto" w:fill="auto"/>
            <w:noWrap/>
            <w:vAlign w:val="bottom"/>
          </w:tcPr>
          <w:p w:rsidR="00886A1E" w:rsidRPr="00886A1E" w:rsidRDefault="00886A1E" w:rsidP="00886A1E">
            <w:pPr>
              <w:spacing w:after="0" w:line="240" w:lineRule="auto"/>
              <w:jc w:val="center"/>
              <w:rPr>
                <w:rFonts w:ascii="Calibri" w:eastAsia="Times New Roman" w:hAnsi="Calibri" w:cs="Times New Roman"/>
                <w:color w:val="000000"/>
                <w:sz w:val="20"/>
                <w:szCs w:val="20"/>
              </w:rPr>
            </w:pPr>
          </w:p>
        </w:tc>
      </w:tr>
      <w:tr w:rsidR="00886A1E" w:rsidRPr="00886A1E" w:rsidTr="00886A1E">
        <w:trPr>
          <w:trHeight w:val="288"/>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Never Smoker</w:t>
            </w:r>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9.4  (6.9-12.5)</w:t>
            </w:r>
          </w:p>
        </w:tc>
      </w:tr>
      <w:tr w:rsidR="00886A1E" w:rsidRPr="00886A1E" w:rsidTr="00886A1E">
        <w:trPr>
          <w:trHeight w:val="300"/>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Former Smoker</w:t>
            </w:r>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8.8  (6.2-12.4)</w:t>
            </w:r>
          </w:p>
        </w:tc>
      </w:tr>
      <w:tr w:rsidR="00886A1E" w:rsidRPr="00886A1E" w:rsidTr="00886A1E">
        <w:trPr>
          <w:trHeight w:val="348"/>
        </w:trPr>
        <w:tc>
          <w:tcPr>
            <w:tcW w:w="3129" w:type="dxa"/>
            <w:tcBorders>
              <w:top w:val="single" w:sz="4" w:space="0" w:color="auto"/>
              <w:left w:val="nil"/>
              <w:bottom w:val="single" w:sz="4" w:space="0" w:color="auto"/>
              <w:right w:val="single" w:sz="4" w:space="0" w:color="auto"/>
            </w:tcBorders>
            <w:shd w:val="clear" w:color="auto" w:fill="auto"/>
            <w:vAlign w:val="bottom"/>
            <w:hideMark/>
          </w:tcPr>
          <w:p w:rsidR="00886A1E" w:rsidRPr="00886A1E" w:rsidRDefault="00886A1E" w:rsidP="00886A1E">
            <w:pPr>
              <w:spacing w:after="0" w:line="240" w:lineRule="auto"/>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  Current Smoker</w:t>
            </w:r>
          </w:p>
        </w:tc>
        <w:tc>
          <w:tcPr>
            <w:tcW w:w="3193" w:type="dxa"/>
            <w:tcBorders>
              <w:top w:val="nil"/>
              <w:left w:val="single" w:sz="4" w:space="0" w:color="auto"/>
              <w:bottom w:val="single" w:sz="4" w:space="0" w:color="auto"/>
              <w:right w:val="nil"/>
            </w:tcBorders>
            <w:shd w:val="clear" w:color="auto" w:fill="auto"/>
            <w:noWrap/>
            <w:vAlign w:val="bottom"/>
            <w:hideMark/>
          </w:tcPr>
          <w:p w:rsidR="00886A1E" w:rsidRPr="00886A1E" w:rsidRDefault="00886A1E" w:rsidP="00886A1E">
            <w:pPr>
              <w:spacing w:after="0" w:line="240" w:lineRule="auto"/>
              <w:jc w:val="center"/>
              <w:rPr>
                <w:rFonts w:ascii="Calibri" w:eastAsia="Times New Roman" w:hAnsi="Calibri" w:cs="Times New Roman"/>
                <w:color w:val="000000"/>
                <w:sz w:val="20"/>
                <w:szCs w:val="20"/>
              </w:rPr>
            </w:pPr>
            <w:r w:rsidRPr="00886A1E">
              <w:rPr>
                <w:rFonts w:ascii="Calibri" w:eastAsia="Times New Roman" w:hAnsi="Calibri" w:cs="Times New Roman"/>
                <w:color w:val="000000"/>
                <w:sz w:val="20"/>
                <w:szCs w:val="20"/>
              </w:rPr>
              <w:t>9.6  (6.5-14.1)</w:t>
            </w:r>
          </w:p>
        </w:tc>
      </w:tr>
      <w:tr w:rsidR="00886A1E" w:rsidRPr="00886A1E" w:rsidTr="00886A1E">
        <w:trPr>
          <w:trHeight w:val="276"/>
        </w:trPr>
        <w:tc>
          <w:tcPr>
            <w:tcW w:w="6322" w:type="dxa"/>
            <w:gridSpan w:val="2"/>
            <w:tcBorders>
              <w:top w:val="nil"/>
              <w:left w:val="nil"/>
              <w:bottom w:val="nil"/>
              <w:right w:val="nil"/>
            </w:tcBorders>
            <w:shd w:val="clear" w:color="auto" w:fill="auto"/>
            <w:noWrap/>
            <w:vAlign w:val="bottom"/>
            <w:hideMark/>
          </w:tcPr>
          <w:p w:rsidR="007B6246" w:rsidRPr="007B6246" w:rsidRDefault="007B6246" w:rsidP="00806E40">
            <w:pPr>
              <w:spacing w:after="0" w:line="240" w:lineRule="auto"/>
              <w:rPr>
                <w:sz w:val="20"/>
                <w:szCs w:val="20"/>
              </w:rPr>
            </w:pPr>
            <w:proofErr w:type="spellStart"/>
            <w:r w:rsidRPr="007B6246">
              <w:rPr>
                <w:sz w:val="20"/>
                <w:szCs w:val="20"/>
                <w:vertAlign w:val="superscript"/>
              </w:rPr>
              <w:t>a</w:t>
            </w:r>
            <w:r w:rsidRPr="007B6246">
              <w:rPr>
                <w:sz w:val="20"/>
                <w:szCs w:val="20"/>
              </w:rPr>
              <w:t>Defined</w:t>
            </w:r>
            <w:proofErr w:type="spellEnd"/>
            <w:r w:rsidRPr="007B6246">
              <w:rPr>
                <w:sz w:val="20"/>
                <w:szCs w:val="20"/>
              </w:rPr>
              <w:t xml:space="preserve"> using the ratio of family income to poverty (calculated by dividing family income by the U.S. Department of Health and Human Services poverty guidelines specific to the survey year); &lt; 1 was considered below poverty</w:t>
            </w:r>
          </w:p>
          <w:p w:rsidR="00806E40" w:rsidRPr="009B4830" w:rsidRDefault="007B6246" w:rsidP="00806E40">
            <w:pPr>
              <w:spacing w:after="0" w:line="240" w:lineRule="auto"/>
              <w:rPr>
                <w:sz w:val="20"/>
                <w:szCs w:val="20"/>
              </w:rPr>
            </w:pPr>
            <w:r>
              <w:rPr>
                <w:sz w:val="20"/>
                <w:szCs w:val="20"/>
                <w:vertAlign w:val="superscript"/>
              </w:rPr>
              <w:t>b</w:t>
            </w:r>
            <w:r w:rsidR="00806E40" w:rsidRPr="009B4830">
              <w:rPr>
                <w:sz w:val="20"/>
                <w:szCs w:val="20"/>
                <w:vertAlign w:val="superscript"/>
              </w:rPr>
              <w:t xml:space="preserve"> </w:t>
            </w:r>
            <w:r w:rsidR="00806E40" w:rsidRPr="009B4830">
              <w:rPr>
                <w:sz w:val="20"/>
                <w:szCs w:val="20"/>
              </w:rPr>
              <w:t xml:space="preserve">Normal, prediabetes and diabetes were defined using the National Institutes of Health’s </w:t>
            </w:r>
            <w:proofErr w:type="spellStart"/>
            <w:r w:rsidR="00806E40" w:rsidRPr="009B4830">
              <w:rPr>
                <w:sz w:val="20"/>
                <w:szCs w:val="20"/>
              </w:rPr>
              <w:t>glycohemoglobin</w:t>
            </w:r>
            <w:proofErr w:type="spellEnd"/>
            <w:r w:rsidR="00806E40" w:rsidRPr="009B4830">
              <w:rPr>
                <w:sz w:val="20"/>
                <w:szCs w:val="20"/>
              </w:rPr>
              <w:t xml:space="preserve"> (A1C) cutoff values </w:t>
            </w:r>
            <w:hyperlink r:id="rId16" w:history="1">
              <w:r w:rsidR="00806E40" w:rsidRPr="009B4830">
                <w:rPr>
                  <w:rStyle w:val="Hyperlink"/>
                  <w:sz w:val="20"/>
                  <w:szCs w:val="20"/>
                </w:rPr>
                <w:t>http://diabetes.niddk.nih.gov/dm/pubs/diagnosis/</w:t>
              </w:r>
            </w:hyperlink>
          </w:p>
          <w:p w:rsidR="00806E40" w:rsidRPr="00886A1E" w:rsidRDefault="007B6246" w:rsidP="007B6246">
            <w:pPr>
              <w:spacing w:after="0" w:line="240" w:lineRule="auto"/>
              <w:rPr>
                <w:rFonts w:ascii="Calibri" w:eastAsia="Times New Roman" w:hAnsi="Calibri" w:cs="Times New Roman"/>
                <w:color w:val="000000"/>
                <w:sz w:val="18"/>
                <w:szCs w:val="18"/>
              </w:rPr>
            </w:pPr>
            <w:proofErr w:type="spellStart"/>
            <w:proofErr w:type="gramStart"/>
            <w:r w:rsidRPr="007B6246">
              <w:rPr>
                <w:sz w:val="20"/>
                <w:szCs w:val="20"/>
                <w:vertAlign w:val="superscript"/>
              </w:rPr>
              <w:t>c</w:t>
            </w:r>
            <w:r w:rsidR="00806E40" w:rsidRPr="009B4830">
              <w:rPr>
                <w:sz w:val="20"/>
                <w:szCs w:val="20"/>
              </w:rPr>
              <w:t>BMI</w:t>
            </w:r>
            <w:proofErr w:type="spellEnd"/>
            <w:proofErr w:type="gramEnd"/>
            <w:r w:rsidR="00806E40" w:rsidRPr="009B4830">
              <w:rPr>
                <w:sz w:val="20"/>
                <w:szCs w:val="20"/>
              </w:rPr>
              <w:t xml:space="preserve"> categories for children and adolescents aged 2 to 19 years were based on the Centers for Disease Control and Prevention's sex-specific 2000 BMI-for-age growth charts for the United States </w:t>
            </w:r>
            <w:hyperlink r:id="rId17" w:history="1">
              <w:r w:rsidR="00806E40" w:rsidRPr="009B4830">
                <w:rPr>
                  <w:rStyle w:val="Hyperlink"/>
                  <w:sz w:val="20"/>
                  <w:szCs w:val="20"/>
                </w:rPr>
                <w:t>http://www.cdc.gov/growthcharts/clinical_charts.htm</w:t>
              </w:r>
            </w:hyperlink>
            <w:r w:rsidR="00806E40" w:rsidRPr="009B4830">
              <w:rPr>
                <w:sz w:val="20"/>
                <w:szCs w:val="20"/>
              </w:rPr>
              <w:t xml:space="preserve">.  BMI for adults aged 20 years and older were based on Centers for Disease Control and Prevention’s standard weight status categories   </w:t>
            </w:r>
            <w:hyperlink r:id="rId18" w:history="1">
              <w:r w:rsidR="00806E40" w:rsidRPr="00C469D4">
                <w:rPr>
                  <w:rStyle w:val="Hyperlink"/>
                  <w:sz w:val="20"/>
                  <w:szCs w:val="20"/>
                </w:rPr>
                <w:t>http://www.cdc.gov/healthyweight/assessing/bmi/adult_bmi/index.html</w:t>
              </w:r>
            </w:hyperlink>
          </w:p>
        </w:tc>
      </w:tr>
    </w:tbl>
    <w:p w:rsidR="00886A1E" w:rsidRDefault="00886A1E" w:rsidP="007B0438">
      <w:pPr>
        <w:rPr>
          <w:sz w:val="24"/>
          <w:szCs w:val="24"/>
        </w:rPr>
      </w:pPr>
    </w:p>
    <w:p w:rsidR="003C2B42" w:rsidRDefault="003C2B42" w:rsidP="007B0438">
      <w:pPr>
        <w:rPr>
          <w:sz w:val="24"/>
          <w:szCs w:val="24"/>
        </w:rPr>
      </w:pPr>
      <w:bookmarkStart w:id="0" w:name="_GoBack"/>
      <w:bookmarkEnd w:id="0"/>
      <w:r>
        <w:rPr>
          <w:sz w:val="24"/>
          <w:szCs w:val="24"/>
        </w:rPr>
        <w:lastRenderedPageBreak/>
        <w:t xml:space="preserve">Suppl. Fig. 1a: Digit </w:t>
      </w:r>
      <w:r w:rsidR="0087231E">
        <w:rPr>
          <w:sz w:val="24"/>
          <w:szCs w:val="24"/>
        </w:rPr>
        <w:t>smoothing</w:t>
      </w:r>
      <w:r>
        <w:rPr>
          <w:sz w:val="24"/>
          <w:szCs w:val="24"/>
        </w:rPr>
        <w:t xml:space="preserve">, </w:t>
      </w:r>
      <w:r w:rsidR="0087231E">
        <w:rPr>
          <w:sz w:val="24"/>
          <w:szCs w:val="24"/>
        </w:rPr>
        <w:t>US-born</w:t>
      </w:r>
      <w:r>
        <w:rPr>
          <w:sz w:val="24"/>
          <w:szCs w:val="24"/>
        </w:rPr>
        <w:t xml:space="preserve">, 2011-2012. Single reading (green); average (red). </w:t>
      </w:r>
    </w:p>
    <w:p w:rsidR="003C2B42" w:rsidRPr="007B0438" w:rsidRDefault="003C2B42" w:rsidP="007B0438">
      <w:pPr>
        <w:rPr>
          <w:sz w:val="24"/>
          <w:szCs w:val="24"/>
        </w:rPr>
      </w:pPr>
      <w:r w:rsidRPr="003C2B42">
        <w:rPr>
          <w:noProof/>
          <w:sz w:val="24"/>
          <w:szCs w:val="24"/>
        </w:rPr>
        <w:drawing>
          <wp:inline distT="0" distB="0" distL="0" distR="0">
            <wp:extent cx="5941583" cy="363030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1583" cy="3630305"/>
                    </a:xfrm>
                    <a:prstGeom prst="rect">
                      <a:avLst/>
                    </a:prstGeom>
                    <a:noFill/>
                    <a:ln>
                      <a:noFill/>
                    </a:ln>
                  </pic:spPr>
                </pic:pic>
              </a:graphicData>
            </a:graphic>
          </wp:inline>
        </w:drawing>
      </w:r>
      <w:r>
        <w:rPr>
          <w:sz w:val="24"/>
          <w:szCs w:val="24"/>
        </w:rPr>
        <w:t>Suppl. Fig. 1b:</w:t>
      </w:r>
      <w:r w:rsidRPr="003C2B42">
        <w:rPr>
          <w:b/>
          <w:noProof/>
          <w:sz w:val="24"/>
          <w:szCs w:val="24"/>
        </w:rPr>
        <w:t xml:space="preserve"> </w:t>
      </w:r>
      <w:r w:rsidR="0087231E">
        <w:rPr>
          <w:sz w:val="24"/>
          <w:szCs w:val="24"/>
        </w:rPr>
        <w:t>Digit smoothing</w:t>
      </w:r>
      <w:r w:rsidR="005F0343">
        <w:rPr>
          <w:sz w:val="24"/>
          <w:szCs w:val="24"/>
        </w:rPr>
        <w:t>, foreign</w:t>
      </w:r>
      <w:r w:rsidR="0087231E">
        <w:rPr>
          <w:sz w:val="24"/>
          <w:szCs w:val="24"/>
        </w:rPr>
        <w:t>-born, 2011-2012</w:t>
      </w:r>
      <w:r>
        <w:rPr>
          <w:sz w:val="24"/>
          <w:szCs w:val="24"/>
        </w:rPr>
        <w:t xml:space="preserve">. Single reading (green); average (red). </w:t>
      </w:r>
      <w:r w:rsidRPr="003C2B42">
        <w:rPr>
          <w:b/>
          <w:noProof/>
          <w:sz w:val="24"/>
          <w:szCs w:val="24"/>
        </w:rPr>
        <w:drawing>
          <wp:inline distT="0" distB="0" distL="0" distR="0" wp14:anchorId="480A6408" wp14:editId="51AC65B1">
            <wp:extent cx="5943223" cy="391008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223" cy="3910084"/>
                    </a:xfrm>
                    <a:prstGeom prst="rect">
                      <a:avLst/>
                    </a:prstGeom>
                    <a:noFill/>
                    <a:ln>
                      <a:noFill/>
                    </a:ln>
                  </pic:spPr>
                </pic:pic>
              </a:graphicData>
            </a:graphic>
          </wp:inline>
        </w:drawing>
      </w:r>
    </w:p>
    <w:sectPr w:rsidR="003C2B42" w:rsidRPr="007B0438" w:rsidSect="00A15C6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3E5" w:rsidRDefault="006243E5" w:rsidP="00A15C67">
      <w:pPr>
        <w:spacing w:after="0" w:line="240" w:lineRule="auto"/>
      </w:pPr>
      <w:r>
        <w:separator/>
      </w:r>
    </w:p>
  </w:endnote>
  <w:endnote w:type="continuationSeparator" w:id="0">
    <w:p w:rsidR="006243E5" w:rsidRDefault="006243E5" w:rsidP="00A15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3E5" w:rsidRDefault="006243E5" w:rsidP="00A15C67">
      <w:pPr>
        <w:spacing w:after="0" w:line="240" w:lineRule="auto"/>
      </w:pPr>
      <w:r>
        <w:separator/>
      </w:r>
    </w:p>
  </w:footnote>
  <w:footnote w:type="continuationSeparator" w:id="0">
    <w:p w:rsidR="006243E5" w:rsidRDefault="006243E5" w:rsidP="00A15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953288"/>
      <w:docPartObj>
        <w:docPartGallery w:val="Page Numbers (Top of Page)"/>
        <w:docPartUnique/>
      </w:docPartObj>
    </w:sdtPr>
    <w:sdtEndPr>
      <w:rPr>
        <w:noProof/>
      </w:rPr>
    </w:sdtEndPr>
    <w:sdtContent>
      <w:p w:rsidR="006243E5" w:rsidRDefault="006243E5">
        <w:pPr>
          <w:pStyle w:val="Header"/>
          <w:jc w:val="right"/>
        </w:pPr>
        <w:r>
          <w:fldChar w:fldCharType="begin"/>
        </w:r>
        <w:r>
          <w:instrText xml:space="preserve"> PAGE   \* MERGEFORMAT </w:instrText>
        </w:r>
        <w:r>
          <w:fldChar w:fldCharType="separate"/>
        </w:r>
        <w:r w:rsidR="007B6246">
          <w:rPr>
            <w:noProof/>
          </w:rPr>
          <w:t>13</w:t>
        </w:r>
        <w:r>
          <w:rPr>
            <w:noProof/>
          </w:rPr>
          <w:fldChar w:fldCharType="end"/>
        </w:r>
      </w:p>
    </w:sdtContent>
  </w:sdt>
  <w:p w:rsidR="006243E5" w:rsidRDefault="00624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347D1"/>
    <w:multiLevelType w:val="hybridMultilevel"/>
    <w:tmpl w:val="A2424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010C51"/>
    <w:multiLevelType w:val="hybridMultilevel"/>
    <w:tmpl w:val="5788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F3"/>
    <w:rsid w:val="000004BD"/>
    <w:rsid w:val="00000668"/>
    <w:rsid w:val="00024F31"/>
    <w:rsid w:val="00037BA8"/>
    <w:rsid w:val="00042D89"/>
    <w:rsid w:val="000A17DC"/>
    <w:rsid w:val="000A686F"/>
    <w:rsid w:val="000B3E5D"/>
    <w:rsid w:val="000C4736"/>
    <w:rsid w:val="000E033E"/>
    <w:rsid w:val="000E17AA"/>
    <w:rsid w:val="00105D25"/>
    <w:rsid w:val="00121195"/>
    <w:rsid w:val="00127AAA"/>
    <w:rsid w:val="00134B84"/>
    <w:rsid w:val="00141991"/>
    <w:rsid w:val="00176EF4"/>
    <w:rsid w:val="001B2664"/>
    <w:rsid w:val="001C6F97"/>
    <w:rsid w:val="001D51BC"/>
    <w:rsid w:val="001E3577"/>
    <w:rsid w:val="001F378B"/>
    <w:rsid w:val="00212016"/>
    <w:rsid w:val="002227E1"/>
    <w:rsid w:val="00227D37"/>
    <w:rsid w:val="00230CDA"/>
    <w:rsid w:val="0024008B"/>
    <w:rsid w:val="00251418"/>
    <w:rsid w:val="00280029"/>
    <w:rsid w:val="00294A35"/>
    <w:rsid w:val="002B2B2C"/>
    <w:rsid w:val="00303FE7"/>
    <w:rsid w:val="0031172C"/>
    <w:rsid w:val="00326C13"/>
    <w:rsid w:val="00330C46"/>
    <w:rsid w:val="00356C0F"/>
    <w:rsid w:val="0037642A"/>
    <w:rsid w:val="00386122"/>
    <w:rsid w:val="00392848"/>
    <w:rsid w:val="0039392F"/>
    <w:rsid w:val="0039429C"/>
    <w:rsid w:val="003C2B42"/>
    <w:rsid w:val="003D3F4E"/>
    <w:rsid w:val="003E1AB8"/>
    <w:rsid w:val="003E77C0"/>
    <w:rsid w:val="003F0019"/>
    <w:rsid w:val="003F7CC4"/>
    <w:rsid w:val="00424FB3"/>
    <w:rsid w:val="004501EE"/>
    <w:rsid w:val="0045523F"/>
    <w:rsid w:val="00461BD2"/>
    <w:rsid w:val="004B1CE3"/>
    <w:rsid w:val="004B29E2"/>
    <w:rsid w:val="004F4731"/>
    <w:rsid w:val="0054396E"/>
    <w:rsid w:val="005567F6"/>
    <w:rsid w:val="0056144C"/>
    <w:rsid w:val="00563AEE"/>
    <w:rsid w:val="005666C1"/>
    <w:rsid w:val="00584DCF"/>
    <w:rsid w:val="005A3F82"/>
    <w:rsid w:val="005A5B8F"/>
    <w:rsid w:val="005B4414"/>
    <w:rsid w:val="005F0343"/>
    <w:rsid w:val="005F34E3"/>
    <w:rsid w:val="00600B2D"/>
    <w:rsid w:val="00615931"/>
    <w:rsid w:val="0062048C"/>
    <w:rsid w:val="006243E5"/>
    <w:rsid w:val="00681DFB"/>
    <w:rsid w:val="0068601A"/>
    <w:rsid w:val="00686345"/>
    <w:rsid w:val="00696827"/>
    <w:rsid w:val="00696CC4"/>
    <w:rsid w:val="006A3EE8"/>
    <w:rsid w:val="006B4FC0"/>
    <w:rsid w:val="006C262C"/>
    <w:rsid w:val="006C4E00"/>
    <w:rsid w:val="006F3268"/>
    <w:rsid w:val="00707236"/>
    <w:rsid w:val="00710CF8"/>
    <w:rsid w:val="00737705"/>
    <w:rsid w:val="007411CF"/>
    <w:rsid w:val="00747683"/>
    <w:rsid w:val="00751ABC"/>
    <w:rsid w:val="00764A4A"/>
    <w:rsid w:val="0076737A"/>
    <w:rsid w:val="00767C3C"/>
    <w:rsid w:val="00790791"/>
    <w:rsid w:val="00794DE5"/>
    <w:rsid w:val="007A0F87"/>
    <w:rsid w:val="007A649F"/>
    <w:rsid w:val="007A75FD"/>
    <w:rsid w:val="007B0438"/>
    <w:rsid w:val="007B6246"/>
    <w:rsid w:val="007C1CCC"/>
    <w:rsid w:val="007C7604"/>
    <w:rsid w:val="007D4BE4"/>
    <w:rsid w:val="007E2F99"/>
    <w:rsid w:val="007F398F"/>
    <w:rsid w:val="007F5C09"/>
    <w:rsid w:val="00806E40"/>
    <w:rsid w:val="008125F7"/>
    <w:rsid w:val="00851450"/>
    <w:rsid w:val="008613E8"/>
    <w:rsid w:val="00862510"/>
    <w:rsid w:val="0087231E"/>
    <w:rsid w:val="008756D9"/>
    <w:rsid w:val="00886A1E"/>
    <w:rsid w:val="008871F3"/>
    <w:rsid w:val="008909A9"/>
    <w:rsid w:val="00893893"/>
    <w:rsid w:val="008966D3"/>
    <w:rsid w:val="008B3196"/>
    <w:rsid w:val="00902E0B"/>
    <w:rsid w:val="00904263"/>
    <w:rsid w:val="00912A49"/>
    <w:rsid w:val="00925B67"/>
    <w:rsid w:val="00946E46"/>
    <w:rsid w:val="00955077"/>
    <w:rsid w:val="00981D76"/>
    <w:rsid w:val="00981FDB"/>
    <w:rsid w:val="009B1C34"/>
    <w:rsid w:val="009B23AE"/>
    <w:rsid w:val="009C3A7B"/>
    <w:rsid w:val="009D30B5"/>
    <w:rsid w:val="009D4398"/>
    <w:rsid w:val="009D7127"/>
    <w:rsid w:val="009E18A9"/>
    <w:rsid w:val="00A15C67"/>
    <w:rsid w:val="00A169CD"/>
    <w:rsid w:val="00A23370"/>
    <w:rsid w:val="00A23C50"/>
    <w:rsid w:val="00A30365"/>
    <w:rsid w:val="00A36C6E"/>
    <w:rsid w:val="00A54B31"/>
    <w:rsid w:val="00A82C4F"/>
    <w:rsid w:val="00A93CF9"/>
    <w:rsid w:val="00AB5355"/>
    <w:rsid w:val="00AC05FD"/>
    <w:rsid w:val="00AC4476"/>
    <w:rsid w:val="00AD75BF"/>
    <w:rsid w:val="00AE5DE4"/>
    <w:rsid w:val="00AE6CEC"/>
    <w:rsid w:val="00AF0B88"/>
    <w:rsid w:val="00B057CD"/>
    <w:rsid w:val="00B24A2D"/>
    <w:rsid w:val="00B34213"/>
    <w:rsid w:val="00B36D53"/>
    <w:rsid w:val="00B466E7"/>
    <w:rsid w:val="00B476A1"/>
    <w:rsid w:val="00B51EEE"/>
    <w:rsid w:val="00B563DB"/>
    <w:rsid w:val="00B90313"/>
    <w:rsid w:val="00B911AC"/>
    <w:rsid w:val="00B914EA"/>
    <w:rsid w:val="00BC1739"/>
    <w:rsid w:val="00BE07F1"/>
    <w:rsid w:val="00BF0C40"/>
    <w:rsid w:val="00BF0C6A"/>
    <w:rsid w:val="00C07DAF"/>
    <w:rsid w:val="00C114D8"/>
    <w:rsid w:val="00C11CCF"/>
    <w:rsid w:val="00C147D0"/>
    <w:rsid w:val="00C14B50"/>
    <w:rsid w:val="00C21BBA"/>
    <w:rsid w:val="00C359B4"/>
    <w:rsid w:val="00C525DA"/>
    <w:rsid w:val="00C54D2E"/>
    <w:rsid w:val="00C8502B"/>
    <w:rsid w:val="00CA2575"/>
    <w:rsid w:val="00CB7140"/>
    <w:rsid w:val="00CC4293"/>
    <w:rsid w:val="00CD3B7F"/>
    <w:rsid w:val="00CF43F2"/>
    <w:rsid w:val="00D030CC"/>
    <w:rsid w:val="00D2452B"/>
    <w:rsid w:val="00D25E38"/>
    <w:rsid w:val="00D34703"/>
    <w:rsid w:val="00D42A2A"/>
    <w:rsid w:val="00D72B9D"/>
    <w:rsid w:val="00D94816"/>
    <w:rsid w:val="00DB31DD"/>
    <w:rsid w:val="00DE1A63"/>
    <w:rsid w:val="00E04F94"/>
    <w:rsid w:val="00E1192F"/>
    <w:rsid w:val="00E14133"/>
    <w:rsid w:val="00E20C4B"/>
    <w:rsid w:val="00E32606"/>
    <w:rsid w:val="00E6581F"/>
    <w:rsid w:val="00E74D9E"/>
    <w:rsid w:val="00E901D3"/>
    <w:rsid w:val="00EB0637"/>
    <w:rsid w:val="00EB6AC4"/>
    <w:rsid w:val="00ED2FE2"/>
    <w:rsid w:val="00EF6A93"/>
    <w:rsid w:val="00F31761"/>
    <w:rsid w:val="00F53F59"/>
    <w:rsid w:val="00F57453"/>
    <w:rsid w:val="00F622EF"/>
    <w:rsid w:val="00F62EEA"/>
    <w:rsid w:val="00F65ED0"/>
    <w:rsid w:val="00F80A51"/>
    <w:rsid w:val="00F82D74"/>
    <w:rsid w:val="00F96F21"/>
    <w:rsid w:val="00FD2234"/>
    <w:rsid w:val="00FE3114"/>
    <w:rsid w:val="00FF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F9F07-9826-4AFB-A3BB-C57ABCF3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CE3"/>
    <w:pPr>
      <w:ind w:left="720"/>
      <w:contextualSpacing/>
    </w:pPr>
  </w:style>
  <w:style w:type="character" w:styleId="Hyperlink">
    <w:name w:val="Hyperlink"/>
    <w:basedOn w:val="DefaultParagraphFont"/>
    <w:uiPriority w:val="99"/>
    <w:unhideWhenUsed/>
    <w:rsid w:val="00C359B4"/>
    <w:rPr>
      <w:color w:val="0000FF" w:themeColor="hyperlink"/>
      <w:u w:val="single"/>
    </w:rPr>
  </w:style>
  <w:style w:type="table" w:styleId="TableGrid">
    <w:name w:val="Table Grid"/>
    <w:basedOn w:val="TableNormal"/>
    <w:uiPriority w:val="59"/>
    <w:rsid w:val="00ED2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66D3"/>
    <w:rPr>
      <w:color w:val="808080"/>
    </w:rPr>
  </w:style>
  <w:style w:type="paragraph" w:styleId="BalloonText">
    <w:name w:val="Balloon Text"/>
    <w:basedOn w:val="Normal"/>
    <w:link w:val="BalloonTextChar"/>
    <w:uiPriority w:val="99"/>
    <w:semiHidden/>
    <w:unhideWhenUsed/>
    <w:rsid w:val="007A6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49F"/>
    <w:rPr>
      <w:rFonts w:ascii="Tahoma" w:hAnsi="Tahoma" w:cs="Tahoma"/>
      <w:sz w:val="16"/>
      <w:szCs w:val="16"/>
    </w:rPr>
  </w:style>
  <w:style w:type="character" w:styleId="CommentReference">
    <w:name w:val="annotation reference"/>
    <w:basedOn w:val="DefaultParagraphFont"/>
    <w:uiPriority w:val="99"/>
    <w:semiHidden/>
    <w:unhideWhenUsed/>
    <w:rsid w:val="00B34213"/>
    <w:rPr>
      <w:sz w:val="16"/>
      <w:szCs w:val="16"/>
    </w:rPr>
  </w:style>
  <w:style w:type="paragraph" w:styleId="CommentText">
    <w:name w:val="annotation text"/>
    <w:basedOn w:val="Normal"/>
    <w:link w:val="CommentTextChar"/>
    <w:uiPriority w:val="99"/>
    <w:unhideWhenUsed/>
    <w:rsid w:val="00B34213"/>
    <w:pPr>
      <w:spacing w:line="240" w:lineRule="auto"/>
    </w:pPr>
    <w:rPr>
      <w:sz w:val="20"/>
      <w:szCs w:val="20"/>
    </w:rPr>
  </w:style>
  <w:style w:type="character" w:customStyle="1" w:styleId="CommentTextChar">
    <w:name w:val="Comment Text Char"/>
    <w:basedOn w:val="DefaultParagraphFont"/>
    <w:link w:val="CommentText"/>
    <w:uiPriority w:val="99"/>
    <w:semiHidden/>
    <w:rsid w:val="00B34213"/>
    <w:rPr>
      <w:sz w:val="20"/>
      <w:szCs w:val="20"/>
    </w:rPr>
  </w:style>
  <w:style w:type="paragraph" w:styleId="CommentSubject">
    <w:name w:val="annotation subject"/>
    <w:basedOn w:val="CommentText"/>
    <w:next w:val="CommentText"/>
    <w:link w:val="CommentSubjectChar"/>
    <w:uiPriority w:val="99"/>
    <w:semiHidden/>
    <w:unhideWhenUsed/>
    <w:rsid w:val="00B34213"/>
    <w:rPr>
      <w:b/>
      <w:bCs/>
    </w:rPr>
  </w:style>
  <w:style w:type="character" w:customStyle="1" w:styleId="CommentSubjectChar">
    <w:name w:val="Comment Subject Char"/>
    <w:basedOn w:val="CommentTextChar"/>
    <w:link w:val="CommentSubject"/>
    <w:uiPriority w:val="99"/>
    <w:semiHidden/>
    <w:rsid w:val="00B34213"/>
    <w:rPr>
      <w:b/>
      <w:bCs/>
      <w:sz w:val="20"/>
      <w:szCs w:val="20"/>
    </w:rPr>
  </w:style>
  <w:style w:type="paragraph" w:styleId="Header">
    <w:name w:val="header"/>
    <w:basedOn w:val="Normal"/>
    <w:link w:val="HeaderChar"/>
    <w:uiPriority w:val="99"/>
    <w:unhideWhenUsed/>
    <w:rsid w:val="00A15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C67"/>
  </w:style>
  <w:style w:type="paragraph" w:styleId="Footer">
    <w:name w:val="footer"/>
    <w:basedOn w:val="Normal"/>
    <w:link w:val="FooterChar"/>
    <w:uiPriority w:val="99"/>
    <w:unhideWhenUsed/>
    <w:rsid w:val="00A15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C67"/>
  </w:style>
  <w:style w:type="character" w:styleId="LineNumber">
    <w:name w:val="line number"/>
    <w:basedOn w:val="DefaultParagraphFont"/>
    <w:uiPriority w:val="99"/>
    <w:semiHidden/>
    <w:unhideWhenUsed/>
    <w:rsid w:val="00A15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246144">
      <w:bodyDiv w:val="1"/>
      <w:marLeft w:val="0"/>
      <w:marRight w:val="0"/>
      <w:marTop w:val="0"/>
      <w:marBottom w:val="0"/>
      <w:divBdr>
        <w:top w:val="none" w:sz="0" w:space="0" w:color="auto"/>
        <w:left w:val="none" w:sz="0" w:space="0" w:color="auto"/>
        <w:bottom w:val="none" w:sz="0" w:space="0" w:color="auto"/>
        <w:right w:val="none" w:sz="0" w:space="0" w:color="auto"/>
      </w:divBdr>
    </w:div>
    <w:div w:id="19043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ensus.gov/acs/www/about_the_survey/american_community_survey/" TargetMode="External"/><Relationship Id="rId18" Type="http://schemas.openxmlformats.org/officeDocument/2006/relationships/hyperlink" Target="http://www.cdc.gov/healthyweight/assessing/bmi/adult_bmi/index.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dc.gov/nchs/nhanes/response_rates_CPS.htm" TargetMode="External"/><Relationship Id="rId12" Type="http://schemas.openxmlformats.org/officeDocument/2006/relationships/hyperlink" Target="https://www.census.gov/cps/" TargetMode="External"/><Relationship Id="rId17" Type="http://schemas.openxmlformats.org/officeDocument/2006/relationships/hyperlink" Target="http://www.cdc.gov/growthcharts/clinical_charts.htm" TargetMode="External"/><Relationship Id="rId2" Type="http://schemas.openxmlformats.org/officeDocument/2006/relationships/styles" Target="styles.xml"/><Relationship Id="rId16" Type="http://schemas.openxmlformats.org/officeDocument/2006/relationships/hyperlink" Target="http://diabetes.niddk.nih.gov/dm/pubs/diagnosis/" TargetMode="Externa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nchs/data/nhanes/nhanes_11_12/Tuberculosis%20TB_QFT_met.pdf" TargetMode="External"/><Relationship Id="rId5" Type="http://schemas.openxmlformats.org/officeDocument/2006/relationships/footnotes" Target="footnotes.xml"/><Relationship Id="rId15" Type="http://schemas.openxmlformats.org/officeDocument/2006/relationships/hyperlink" Target="http://www.cdc.gov/nchs/data/series/sr_02/sr02_162.pdf" TargetMode="External"/><Relationship Id="rId10" Type="http://schemas.openxmlformats.org/officeDocument/2006/relationships/hyperlink" Target="http://www.cdc.gov/nchs/data/nhanes/nhanes_11_12/2011-12_Laboratory_Procedures_Manual.pdf"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cdc.gov/nchs/data/nhanes/nhanes_11_12/TBSkinTestManual.pdf" TargetMode="External"/><Relationship Id="rId14" Type="http://schemas.openxmlformats.org/officeDocument/2006/relationships/hyperlink" Target="http://www.R-projec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13</Pages>
  <Words>4518</Words>
  <Characters>25755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Yelk Woodruff, Rachel (CDC/OID/NCHHSTP)</dc:creator>
  <cp:lastModifiedBy>Yelk Woodruff, Rachel (CDC/OID/NCHHSTP)</cp:lastModifiedBy>
  <cp:revision>10</cp:revision>
  <cp:lastPrinted>2015-08-27T12:30:00Z</cp:lastPrinted>
  <dcterms:created xsi:type="dcterms:W3CDTF">2015-09-01T15:55:00Z</dcterms:created>
  <dcterms:modified xsi:type="dcterms:W3CDTF">2015-09-25T17:45:00Z</dcterms:modified>
</cp:coreProperties>
</file>