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0F" w:rsidRPr="006E4769" w:rsidRDefault="0081790F" w:rsidP="0081790F">
      <w:pPr>
        <w:spacing w:line="480" w:lineRule="auto"/>
        <w:contextualSpacing/>
        <w:rPr>
          <w:rFonts w:ascii="Times New Roman" w:hAnsi="Times New Roman"/>
          <w:bCs/>
          <w:lang w:val="en-ZA"/>
        </w:rPr>
      </w:pPr>
      <w:bookmarkStart w:id="0" w:name="_GoBack"/>
      <w:bookmarkEnd w:id="0"/>
      <w:r w:rsidRPr="006E4769">
        <w:rPr>
          <w:rFonts w:ascii="Times New Roman" w:hAnsi="Times New Roman"/>
          <w:b/>
          <w:bCs/>
          <w:lang w:val="en-ZA"/>
        </w:rPr>
        <w:t xml:space="preserve">Supplementary </w:t>
      </w:r>
      <w:r w:rsidRPr="006E4769">
        <w:rPr>
          <w:rFonts w:ascii="Times New Roman" w:hAnsi="Times New Roman"/>
          <w:b/>
        </w:rPr>
        <w:t xml:space="preserve">Table 1. </w:t>
      </w:r>
      <w:r w:rsidRPr="006E4769">
        <w:rPr>
          <w:rFonts w:ascii="Times New Roman" w:hAnsi="Times New Roman"/>
        </w:rPr>
        <w:t>Demographic characteristics, clinical characteristics, underlying medical conditions, and measures of severity among patients hospitalized with parainfluenza-associated severe acute respiratory illness, by type—four sites, South Africa, 2009-2014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1519"/>
        <w:gridCol w:w="1520"/>
        <w:gridCol w:w="1520"/>
        <w:gridCol w:w="1519"/>
        <w:gridCol w:w="1520"/>
        <w:gridCol w:w="1520"/>
        <w:gridCol w:w="1520"/>
      </w:tblGrid>
      <w:tr w:rsidR="0081790F" w:rsidRPr="006E4769" w:rsidTr="00605495">
        <w:tc>
          <w:tcPr>
            <w:tcW w:w="2538" w:type="dxa"/>
            <w:vMerge w:val="restart"/>
            <w:tcBorders>
              <w:top w:val="single" w:sz="4" w:space="0" w:color="auto"/>
              <w:left w:val="nil"/>
              <w:bottom w:val="nil"/>
              <w:right w:val="nil"/>
            </w:tcBorders>
            <w:shd w:val="clear" w:color="auto" w:fill="auto"/>
            <w:vAlign w:val="center"/>
          </w:tcPr>
          <w:p w:rsidR="0081790F" w:rsidRPr="006E4769" w:rsidRDefault="0081790F" w:rsidP="00605495">
            <w:pPr>
              <w:spacing w:line="480" w:lineRule="auto"/>
              <w:rPr>
                <w:rFonts w:ascii="Times New Roman" w:hAnsi="Times New Roman"/>
                <w:b/>
              </w:rPr>
            </w:pPr>
            <w:r w:rsidRPr="006E4769">
              <w:rPr>
                <w:rFonts w:ascii="Times New Roman" w:hAnsi="Times New Roman"/>
                <w:b/>
              </w:rPr>
              <w:t>Characteristic</w:t>
            </w:r>
          </w:p>
        </w:tc>
        <w:tc>
          <w:tcPr>
            <w:tcW w:w="10638" w:type="dxa"/>
            <w:gridSpan w:val="7"/>
            <w:tcBorders>
              <w:top w:val="single" w:sz="4" w:space="0" w:color="auto"/>
              <w:left w:val="nil"/>
              <w:bottom w:val="single" w:sz="4" w:space="0" w:color="auto"/>
              <w:right w:val="nil"/>
            </w:tcBorders>
            <w:shd w:val="clear" w:color="auto" w:fill="auto"/>
            <w:vAlign w:val="center"/>
          </w:tcPr>
          <w:p w:rsidR="0081790F" w:rsidRPr="006E4769" w:rsidRDefault="0081790F" w:rsidP="00605495">
            <w:pPr>
              <w:spacing w:line="480" w:lineRule="auto"/>
              <w:jc w:val="center"/>
              <w:rPr>
                <w:rFonts w:ascii="Times New Roman" w:hAnsi="Times New Roman"/>
                <w:b/>
              </w:rPr>
            </w:pPr>
            <w:r w:rsidRPr="006E4769">
              <w:rPr>
                <w:rFonts w:ascii="Times New Roman" w:hAnsi="Times New Roman"/>
                <w:b/>
              </w:rPr>
              <w:t>Parainfluenza type</w:t>
            </w:r>
          </w:p>
        </w:tc>
      </w:tr>
      <w:tr w:rsidR="0081790F" w:rsidRPr="006E4769" w:rsidTr="00605495">
        <w:tc>
          <w:tcPr>
            <w:tcW w:w="2538" w:type="dxa"/>
            <w:vMerge/>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b/>
                <w:lang w:val="en-GB"/>
              </w:rPr>
            </w:pPr>
          </w:p>
        </w:tc>
        <w:tc>
          <w:tcPr>
            <w:tcW w:w="4559" w:type="dxa"/>
            <w:gridSpan w:val="3"/>
            <w:tcBorders>
              <w:top w:val="single" w:sz="4" w:space="0" w:color="auto"/>
              <w:left w:val="nil"/>
              <w:bottom w:val="single" w:sz="4" w:space="0" w:color="auto"/>
              <w:right w:val="nil"/>
            </w:tcBorders>
            <w:shd w:val="clear" w:color="auto" w:fill="auto"/>
            <w:vAlign w:val="center"/>
          </w:tcPr>
          <w:p w:rsidR="0081790F" w:rsidRPr="006E4769" w:rsidRDefault="0081790F" w:rsidP="00605495">
            <w:pPr>
              <w:spacing w:line="480" w:lineRule="auto"/>
              <w:jc w:val="center"/>
              <w:rPr>
                <w:rFonts w:ascii="Times New Roman" w:hAnsi="Times New Roman"/>
                <w:b/>
              </w:rPr>
            </w:pPr>
            <w:r w:rsidRPr="006E4769">
              <w:rPr>
                <w:rFonts w:ascii="Times New Roman" w:hAnsi="Times New Roman"/>
                <w:b/>
              </w:rPr>
              <w:t>Type 1</w:t>
            </w:r>
          </w:p>
        </w:tc>
        <w:tc>
          <w:tcPr>
            <w:tcW w:w="4559" w:type="dxa"/>
            <w:gridSpan w:val="3"/>
            <w:tcBorders>
              <w:top w:val="single" w:sz="4" w:space="0" w:color="auto"/>
              <w:left w:val="nil"/>
              <w:bottom w:val="single" w:sz="4" w:space="0" w:color="auto"/>
              <w:right w:val="nil"/>
            </w:tcBorders>
            <w:shd w:val="clear" w:color="auto" w:fill="auto"/>
            <w:vAlign w:val="center"/>
          </w:tcPr>
          <w:p w:rsidR="0081790F" w:rsidRPr="006E4769" w:rsidRDefault="0081790F" w:rsidP="00605495">
            <w:pPr>
              <w:spacing w:line="480" w:lineRule="auto"/>
              <w:jc w:val="center"/>
              <w:rPr>
                <w:rFonts w:ascii="Times New Roman" w:hAnsi="Times New Roman"/>
                <w:b/>
              </w:rPr>
            </w:pPr>
            <w:r w:rsidRPr="006E4769">
              <w:rPr>
                <w:rFonts w:ascii="Times New Roman" w:hAnsi="Times New Roman"/>
                <w:b/>
              </w:rPr>
              <w:t>Type 2</w:t>
            </w:r>
          </w:p>
        </w:tc>
        <w:tc>
          <w:tcPr>
            <w:tcW w:w="1520" w:type="dxa"/>
            <w:tcBorders>
              <w:top w:val="single" w:sz="4" w:space="0" w:color="auto"/>
              <w:left w:val="nil"/>
              <w:bottom w:val="single" w:sz="4" w:space="0" w:color="auto"/>
              <w:right w:val="nil"/>
            </w:tcBorders>
            <w:shd w:val="clear" w:color="auto" w:fill="auto"/>
            <w:vAlign w:val="center"/>
          </w:tcPr>
          <w:p w:rsidR="0081790F" w:rsidRPr="006E4769" w:rsidRDefault="0081790F" w:rsidP="00605495">
            <w:pPr>
              <w:spacing w:line="480" w:lineRule="auto"/>
              <w:jc w:val="center"/>
              <w:rPr>
                <w:rFonts w:ascii="Times New Roman" w:hAnsi="Times New Roman"/>
                <w:b/>
              </w:rPr>
            </w:pPr>
            <w:r w:rsidRPr="006E4769">
              <w:rPr>
                <w:rFonts w:ascii="Times New Roman" w:hAnsi="Times New Roman"/>
                <w:b/>
              </w:rPr>
              <w:t>Type 3 (reference)</w:t>
            </w:r>
          </w:p>
        </w:tc>
      </w:tr>
      <w:tr w:rsidR="0081790F" w:rsidRPr="006E4769" w:rsidTr="00605495">
        <w:tc>
          <w:tcPr>
            <w:tcW w:w="2538" w:type="dxa"/>
            <w:tcBorders>
              <w:top w:val="nil"/>
              <w:left w:val="nil"/>
              <w:bottom w:val="single" w:sz="4" w:space="0" w:color="auto"/>
              <w:right w:val="nil"/>
            </w:tcBorders>
            <w:shd w:val="clear" w:color="auto" w:fill="auto"/>
          </w:tcPr>
          <w:p w:rsidR="0081790F" w:rsidRPr="006E4769" w:rsidRDefault="0081790F" w:rsidP="00605495">
            <w:pPr>
              <w:spacing w:line="480" w:lineRule="auto"/>
              <w:rPr>
                <w:rFonts w:ascii="Times New Roman" w:hAnsi="Times New Roman"/>
                <w:b/>
                <w:lang w:val="en-GB"/>
              </w:rPr>
            </w:pPr>
          </w:p>
        </w:tc>
        <w:tc>
          <w:tcPr>
            <w:tcW w:w="1519" w:type="dxa"/>
            <w:tcBorders>
              <w:top w:val="single" w:sz="4" w:space="0" w:color="auto"/>
              <w:left w:val="nil"/>
              <w:bottom w:val="single" w:sz="4" w:space="0" w:color="auto"/>
              <w:right w:val="nil"/>
            </w:tcBorders>
            <w:shd w:val="clear" w:color="auto" w:fill="auto"/>
            <w:vAlign w:val="center"/>
          </w:tcPr>
          <w:p w:rsidR="0081790F" w:rsidRPr="006E4769" w:rsidRDefault="0081790F" w:rsidP="00605495">
            <w:pPr>
              <w:spacing w:line="480" w:lineRule="auto"/>
              <w:jc w:val="center"/>
              <w:rPr>
                <w:rFonts w:ascii="Times New Roman" w:hAnsi="Times New Roman"/>
                <w:b/>
              </w:rPr>
            </w:pPr>
            <w:proofErr w:type="gramStart"/>
            <w:r w:rsidRPr="006E4769">
              <w:rPr>
                <w:rFonts w:ascii="Times New Roman" w:hAnsi="Times New Roman"/>
                <w:b/>
              </w:rPr>
              <w:t>n/N</w:t>
            </w:r>
            <w:proofErr w:type="gramEnd"/>
            <w:r w:rsidRPr="006E4769">
              <w:rPr>
                <w:rFonts w:ascii="Times New Roman" w:hAnsi="Times New Roman"/>
                <w:b/>
              </w:rPr>
              <w:t xml:space="preserve"> (%)</w:t>
            </w:r>
          </w:p>
        </w:tc>
        <w:tc>
          <w:tcPr>
            <w:tcW w:w="1520" w:type="dxa"/>
            <w:tcBorders>
              <w:top w:val="single" w:sz="4" w:space="0" w:color="auto"/>
              <w:left w:val="nil"/>
              <w:bottom w:val="single" w:sz="4" w:space="0" w:color="auto"/>
              <w:right w:val="nil"/>
            </w:tcBorders>
            <w:shd w:val="clear" w:color="auto" w:fill="auto"/>
            <w:vAlign w:val="center"/>
          </w:tcPr>
          <w:p w:rsidR="0081790F" w:rsidRPr="006E4769" w:rsidRDefault="0081790F" w:rsidP="00605495">
            <w:pPr>
              <w:spacing w:line="480" w:lineRule="auto"/>
              <w:jc w:val="center"/>
              <w:rPr>
                <w:rFonts w:ascii="Times New Roman" w:hAnsi="Times New Roman"/>
                <w:b/>
              </w:rPr>
            </w:pPr>
            <w:r w:rsidRPr="006E4769">
              <w:rPr>
                <w:rFonts w:ascii="Times New Roman" w:hAnsi="Times New Roman"/>
                <w:b/>
              </w:rPr>
              <w:t>Crude relative risk ratio (RRR) (95% confidence interval [CI])</w:t>
            </w:r>
          </w:p>
        </w:tc>
        <w:tc>
          <w:tcPr>
            <w:tcW w:w="1520" w:type="dxa"/>
            <w:tcBorders>
              <w:top w:val="single" w:sz="4" w:space="0" w:color="auto"/>
              <w:left w:val="nil"/>
              <w:bottom w:val="single" w:sz="4" w:space="0" w:color="auto"/>
              <w:right w:val="nil"/>
            </w:tcBorders>
            <w:shd w:val="clear" w:color="auto" w:fill="auto"/>
            <w:vAlign w:val="center"/>
          </w:tcPr>
          <w:p w:rsidR="0081790F" w:rsidRPr="006E4769" w:rsidRDefault="0081790F" w:rsidP="00605495">
            <w:pPr>
              <w:spacing w:line="480" w:lineRule="auto"/>
              <w:jc w:val="center"/>
              <w:rPr>
                <w:rFonts w:ascii="Times New Roman" w:hAnsi="Times New Roman"/>
                <w:b/>
              </w:rPr>
            </w:pPr>
            <w:r w:rsidRPr="006E4769">
              <w:rPr>
                <w:rFonts w:ascii="Times New Roman" w:hAnsi="Times New Roman"/>
                <w:b/>
              </w:rPr>
              <w:t>Adjusted RRR (95% CI)</w:t>
            </w:r>
          </w:p>
        </w:tc>
        <w:tc>
          <w:tcPr>
            <w:tcW w:w="1519" w:type="dxa"/>
            <w:tcBorders>
              <w:top w:val="single" w:sz="4" w:space="0" w:color="auto"/>
              <w:left w:val="nil"/>
              <w:bottom w:val="single" w:sz="4" w:space="0" w:color="auto"/>
              <w:right w:val="nil"/>
            </w:tcBorders>
            <w:shd w:val="clear" w:color="auto" w:fill="auto"/>
            <w:vAlign w:val="center"/>
          </w:tcPr>
          <w:p w:rsidR="0081790F" w:rsidRPr="006E4769" w:rsidRDefault="0081790F" w:rsidP="00605495">
            <w:pPr>
              <w:spacing w:line="480" w:lineRule="auto"/>
              <w:jc w:val="center"/>
              <w:rPr>
                <w:rFonts w:ascii="Times New Roman" w:hAnsi="Times New Roman"/>
                <w:b/>
              </w:rPr>
            </w:pPr>
            <w:proofErr w:type="gramStart"/>
            <w:r w:rsidRPr="006E4769">
              <w:rPr>
                <w:rFonts w:ascii="Times New Roman" w:hAnsi="Times New Roman"/>
                <w:b/>
              </w:rPr>
              <w:t>n/N</w:t>
            </w:r>
            <w:proofErr w:type="gramEnd"/>
            <w:r w:rsidRPr="006E4769">
              <w:rPr>
                <w:rFonts w:ascii="Times New Roman" w:hAnsi="Times New Roman"/>
                <w:b/>
              </w:rPr>
              <w:t xml:space="preserve"> (%)</w:t>
            </w:r>
          </w:p>
        </w:tc>
        <w:tc>
          <w:tcPr>
            <w:tcW w:w="1520" w:type="dxa"/>
            <w:tcBorders>
              <w:top w:val="single" w:sz="4" w:space="0" w:color="auto"/>
              <w:left w:val="nil"/>
              <w:bottom w:val="single" w:sz="4" w:space="0" w:color="auto"/>
              <w:right w:val="nil"/>
            </w:tcBorders>
            <w:shd w:val="clear" w:color="auto" w:fill="auto"/>
            <w:vAlign w:val="center"/>
          </w:tcPr>
          <w:p w:rsidR="0081790F" w:rsidRPr="006E4769" w:rsidRDefault="0081790F" w:rsidP="00605495">
            <w:pPr>
              <w:spacing w:line="480" w:lineRule="auto"/>
              <w:jc w:val="center"/>
              <w:rPr>
                <w:rFonts w:ascii="Times New Roman" w:hAnsi="Times New Roman"/>
                <w:b/>
              </w:rPr>
            </w:pPr>
            <w:r w:rsidRPr="006E4769">
              <w:rPr>
                <w:rFonts w:ascii="Times New Roman" w:hAnsi="Times New Roman"/>
                <w:b/>
              </w:rPr>
              <w:t>Crude RRR (95% CI)</w:t>
            </w:r>
          </w:p>
        </w:tc>
        <w:tc>
          <w:tcPr>
            <w:tcW w:w="1520" w:type="dxa"/>
            <w:tcBorders>
              <w:top w:val="single" w:sz="4" w:space="0" w:color="auto"/>
              <w:left w:val="nil"/>
              <w:bottom w:val="single" w:sz="4" w:space="0" w:color="auto"/>
              <w:right w:val="nil"/>
            </w:tcBorders>
            <w:shd w:val="clear" w:color="auto" w:fill="auto"/>
            <w:vAlign w:val="center"/>
          </w:tcPr>
          <w:p w:rsidR="0081790F" w:rsidRPr="006E4769" w:rsidRDefault="0081790F" w:rsidP="00605495">
            <w:pPr>
              <w:spacing w:line="480" w:lineRule="auto"/>
              <w:jc w:val="center"/>
              <w:rPr>
                <w:rFonts w:ascii="Times New Roman" w:hAnsi="Times New Roman"/>
                <w:b/>
              </w:rPr>
            </w:pPr>
            <w:r w:rsidRPr="006E4769">
              <w:rPr>
                <w:rFonts w:ascii="Times New Roman" w:hAnsi="Times New Roman"/>
                <w:b/>
              </w:rPr>
              <w:t>Adjusted RRR (95% CI)</w:t>
            </w:r>
          </w:p>
        </w:tc>
        <w:tc>
          <w:tcPr>
            <w:tcW w:w="1520" w:type="dxa"/>
            <w:tcBorders>
              <w:top w:val="single" w:sz="4" w:space="0" w:color="auto"/>
              <w:left w:val="nil"/>
              <w:bottom w:val="single" w:sz="4" w:space="0" w:color="auto"/>
              <w:right w:val="nil"/>
            </w:tcBorders>
            <w:shd w:val="clear" w:color="auto" w:fill="auto"/>
            <w:vAlign w:val="center"/>
          </w:tcPr>
          <w:p w:rsidR="0081790F" w:rsidRPr="006E4769" w:rsidRDefault="0081790F" w:rsidP="00605495">
            <w:pPr>
              <w:spacing w:line="480" w:lineRule="auto"/>
              <w:jc w:val="center"/>
              <w:rPr>
                <w:rFonts w:ascii="Times New Roman" w:hAnsi="Times New Roman"/>
                <w:b/>
              </w:rPr>
            </w:pPr>
            <w:proofErr w:type="gramStart"/>
            <w:r w:rsidRPr="006E4769">
              <w:rPr>
                <w:rFonts w:ascii="Times New Roman" w:hAnsi="Times New Roman"/>
                <w:b/>
              </w:rPr>
              <w:t>n/N</w:t>
            </w:r>
            <w:proofErr w:type="gramEnd"/>
            <w:r w:rsidRPr="006E4769">
              <w:rPr>
                <w:rFonts w:ascii="Times New Roman" w:hAnsi="Times New Roman"/>
                <w:b/>
              </w:rPr>
              <w:t xml:space="preserve"> (%)</w:t>
            </w:r>
          </w:p>
        </w:tc>
      </w:tr>
      <w:tr w:rsidR="0081790F" w:rsidRPr="006E4769" w:rsidTr="00605495">
        <w:tc>
          <w:tcPr>
            <w:tcW w:w="2538" w:type="dxa"/>
            <w:tcBorders>
              <w:top w:val="single" w:sz="4" w:space="0" w:color="auto"/>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b/>
                <w:lang w:val="en-GB"/>
              </w:rPr>
              <w:t>Demographic characteristics</w:t>
            </w:r>
          </w:p>
        </w:tc>
        <w:tc>
          <w:tcPr>
            <w:tcW w:w="1519" w:type="dxa"/>
            <w:tcBorders>
              <w:top w:val="single" w:sz="4" w:space="0" w:color="auto"/>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single" w:sz="4" w:space="0" w:color="auto"/>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single" w:sz="4" w:space="0" w:color="auto"/>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single" w:sz="4" w:space="0" w:color="auto"/>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single" w:sz="4" w:space="0" w:color="auto"/>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single" w:sz="4" w:space="0" w:color="auto"/>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single" w:sz="4" w:space="0" w:color="auto"/>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lang w:val="en-GB"/>
              </w:rPr>
              <w:t>Age group</w:t>
            </w:r>
          </w:p>
          <w:p w:rsidR="0081790F" w:rsidRPr="006E4769" w:rsidRDefault="0081790F" w:rsidP="00605495">
            <w:pPr>
              <w:spacing w:line="480" w:lineRule="auto"/>
              <w:rPr>
                <w:rFonts w:ascii="Times New Roman" w:hAnsi="Times New Roman"/>
                <w:lang w:val="en-GB"/>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lang w:val="en-GB"/>
              </w:rPr>
              <w:lastRenderedPageBreak/>
              <w:t xml:space="preserve">  &lt;1 year</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97/227 (42.7)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Reference</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Reference</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67/170 (39.4)</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Reference</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Reference</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445/780 (57.1)</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lang w:val="en-GB"/>
              </w:rPr>
              <w:t xml:space="preserve">  1-4 years</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99/227 (43.6)</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2.3 (1.7-3.2)</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2.4 (1.7-3.3)</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59/170 (34.7)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2.0 (1.4-2.9)</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2.0 (1.3-2.9)</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196/780 (25.1)</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lang w:val="en-GB"/>
              </w:rPr>
              <w:t xml:space="preserve">  5-24 years</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7/227 (3.1)</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1.2 (0.5-2.9)</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1.4 (0.6-3.4)</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13/170 (7.7)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3.3 (1.6-6.8)</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4.5 (2.1-9.3)</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26/780 (3.3)</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lang w:val="en-GB"/>
              </w:rPr>
              <w:t xml:space="preserve">  25-44 years</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13/227 (5.7)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0.8 (0.4-1.6)</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1.0 (0.5-1.8)</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25/170 (14.7)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2.3 (1.4-3.9)</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3.2 (1.8-5.5)</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71/780 (9.1)</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lang w:val="en-GB"/>
              </w:rPr>
              <w:t xml:space="preserve">  45-64 years</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8/227 (3.5)</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1.2 (0.5-2.7)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1.3 (0.6-3.0)</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6/170 (3.5)</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1.3 (0.5-3.2)</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1.8 (0.7-4.6)</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31/780 (4.0)</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lang w:val="en-GB"/>
              </w:rPr>
              <w:t xml:space="preserve">  ≥65 years</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3/227 (1.3)</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1.3 (0.3-4.6)</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1.4 (0.4-5.1)</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0/170 (0)</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Not calculable</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Not calculable</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11/780 (1.4)</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lang w:val="en-GB"/>
              </w:rPr>
              <w:t>Male sex</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131/227 (57.7)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0.8 (0.6-1.1)</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90/170 (52.9)</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1.0 (0.7-1.4)</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416/780 (53.3)</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lang w:val="en-GB"/>
              </w:rPr>
              <w:t xml:space="preserve">Black race </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223/226 (98.7)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0.9 (0.2-3.1)</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167/169 (98.8)</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0.8 (0.2-3.4)</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764/776 (98.5)</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lang w:val="en-GB"/>
              </w:rPr>
              <w:t>Site</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lang w:val="en-GB"/>
              </w:rPr>
              <w:lastRenderedPageBreak/>
              <w:t xml:space="preserve">  CHBAH</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143/230 (62,2)</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Reference</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121/171 (70.8)</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Reference</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530/787 (67.3)</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lang w:val="en-GB"/>
              </w:rPr>
              <w:t xml:space="preserve">  </w:t>
            </w:r>
            <w:proofErr w:type="spellStart"/>
            <w:r w:rsidRPr="006E4769">
              <w:rPr>
                <w:rFonts w:ascii="Times New Roman" w:hAnsi="Times New Roman"/>
                <w:lang w:val="en-GB"/>
              </w:rPr>
              <w:t>Matikwane</w:t>
            </w:r>
            <w:proofErr w:type="spellEnd"/>
            <w:r w:rsidRPr="006E4769">
              <w:rPr>
                <w:rFonts w:ascii="Times New Roman" w:hAnsi="Times New Roman"/>
                <w:lang w:val="en-GB"/>
              </w:rPr>
              <w:t>/</w:t>
            </w:r>
            <w:proofErr w:type="spellStart"/>
            <w:r w:rsidRPr="006E4769">
              <w:rPr>
                <w:rFonts w:ascii="Times New Roman" w:hAnsi="Times New Roman"/>
                <w:lang w:val="en-GB"/>
              </w:rPr>
              <w:t>Mapulaneng</w:t>
            </w:r>
            <w:proofErr w:type="spellEnd"/>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26/230 (11.3)</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0.9 (0.5-1.4)</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26/171 (15.2)</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1.0 (0.6-1.6)</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112/787 (14.2)</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rPr>
              <w:t xml:space="preserve">  </w:t>
            </w:r>
            <w:proofErr w:type="spellStart"/>
            <w:r w:rsidRPr="006E4769">
              <w:rPr>
                <w:rFonts w:ascii="Times New Roman" w:hAnsi="Times New Roman"/>
              </w:rPr>
              <w:t>Edendale</w:t>
            </w:r>
            <w:proofErr w:type="spellEnd"/>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41/230 (17.8)</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1.7 (1.1-2.6)</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14/171 (8.2)</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0.7 (0.4-1.3)</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89/787 (11.3)</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lang w:val="en-GB"/>
              </w:rPr>
              <w:t xml:space="preserve">  KTHC</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20/230 (8.7)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1.3 (0.8-2.3)</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10/171 (5.9)</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0.8 (0.4-1.6)</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56/787 (7.1)</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lang w:val="en-GB"/>
              </w:rPr>
              <w:t>Year</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lang w:val="en-GB"/>
              </w:rPr>
              <w:t xml:space="preserve">  2009</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47/230 (20.4)</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Reference</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Reference</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37/171 (21.6)</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Reference</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Reference</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214/787 (27.2)</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lang w:val="en-GB"/>
              </w:rPr>
              <w:t xml:space="preserve">  2010</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36/230 (15.7)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1.4 (0.8-2.2)</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1.5 (0.9-2.4)</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38/171 (22.2)</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1.8 (1.1-3.0)</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2.3 (1.3-3.8)</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121/787 (15.4)</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lang w:val="en-GB"/>
              </w:rPr>
              <w:t xml:space="preserve">  2011</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62/230 (27.0)</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1.3 (0.9-2.0)</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1.4 (0.9-2.2)</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53/171 (31.0)</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1.4 (0.9-2.3)</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1.8 (1.1-2.9)</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214/787 (27.2)</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lang w:val="en-GB"/>
              </w:rPr>
              <w:lastRenderedPageBreak/>
              <w:t xml:space="preserve">  2012</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32/230 (13.9)</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1.1 (0.7-1.8)</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1.3 (0.7-2.1)</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20/171 (11.7)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0.9 (0.5-1.6)</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1.2 (0.7-2.2)</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130/787 (16.5)</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lang w:val="en-GB"/>
              </w:rPr>
              <w:t xml:space="preserve">  2013</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32/230 (13.9)</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1.8 (1.0-2.9)</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1.9 (1.1-3.3)</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20/171 (11.7)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1.4 (0.8-2.5)</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1.8 (1.0-3.4)</w:t>
            </w:r>
            <w:r w:rsidRPr="006E4769">
              <w:rPr>
                <w:rFonts w:ascii="Times New Roman" w:hAnsi="Times New Roman"/>
                <w:vertAlign w:val="superscript"/>
              </w:rPr>
              <w:t>d</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83/787 (10.6)</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lang w:val="en-GB"/>
              </w:rPr>
              <w:t xml:space="preserve">  2014</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21/230 (9.1)</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3.8 (2.0-7.4)</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4.0 (2.0-8.0)</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3/171 (1.8)</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0.7 (0.2-2.4)</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1.0 (0.3-3.7)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25/787 (3.2)</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b/>
                <w:lang w:val="en-GB"/>
              </w:rPr>
              <w:t>Co-infections and underlying medical conditions</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lang w:val="en-GB"/>
              </w:rPr>
              <w:t>HIV infection</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39/162 (24.1)</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1.0 (0.6-1.4)</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44/115 (38.3)</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1.9 (1.2-2.8)</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147/588 (25.0)</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lang w:val="en-GB"/>
              </w:rPr>
              <w:t>Underlying medical condition (excluding HIV and tuberculosis infection)</w:t>
            </w:r>
            <w:r w:rsidRPr="006E4769">
              <w:rPr>
                <w:rFonts w:ascii="Times New Roman" w:hAnsi="Times New Roman"/>
                <w:bCs/>
                <w:vertAlign w:val="superscript"/>
                <w:lang w:val="en-ZA"/>
              </w:rPr>
              <w:t>a</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14/227 (6.2)</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1.0 (0.5-1.9)</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8/170 (4.7)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0.8 (0.3-1.6)</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48/779 (6.2)</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b/>
              </w:rPr>
            </w:pPr>
            <w:r w:rsidRPr="006E4769">
              <w:rPr>
                <w:rFonts w:ascii="Times New Roman" w:hAnsi="Times New Roman"/>
                <w:b/>
                <w:lang w:val="en-GB"/>
              </w:rPr>
              <w:t>Bacterial or viral respiratory co-infection</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lang w:val="en-GB"/>
              </w:rPr>
              <w:lastRenderedPageBreak/>
              <w:t>Pneumococcal co-infection on PCR</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13/139 (9.4)</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0.9 (0.5-1.7)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8/110 (7.3)</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0.7 (0.3-1.5)</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52/516 (10.1)</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rPr>
              <w:t>Any viral respiratory co-infection</w:t>
            </w:r>
            <w:r w:rsidRPr="006E4769">
              <w:rPr>
                <w:rFonts w:ascii="Times New Roman" w:hAnsi="Times New Roman"/>
                <w:bCs/>
                <w:vertAlign w:val="superscript"/>
                <w:lang w:val="en-ZA"/>
              </w:rPr>
              <w:t>b</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131/224 (58.5)</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1.1 (0.9-1.7)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bCs/>
                <w:vertAlign w:val="superscript"/>
                <w:lang w:val="en-ZA"/>
              </w:rPr>
              <w:t>c</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119/169 (70.4)</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2.1 (1.4-3.0)</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bCs/>
                <w:vertAlign w:val="superscript"/>
                <w:lang w:val="en-ZA"/>
              </w:rPr>
              <w:t>c</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333/718 (53.6)</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rPr>
              <w:t>Respiratory syncytial virus (RSV)</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25/230 (10.9)</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1.9 (1.2-3.2)</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2.2 (1.3-3.7)</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27/171 (15.8)</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3.0 (1.8-4.9)</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3.3 (1.9-5.7)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47/787 (6.0)</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rPr>
              <w:t>Influenza</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6/230 (2.6)</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0.5 (0.2-1.3)</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8/171 (4.7)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1.0 (0.5-2.2)</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37/787 (4.7)</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rPr>
              <w:t>Adenovirus</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57/220 (25.9)</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1.4 (1.0-2.0)</w:t>
            </w:r>
            <w:r w:rsidRPr="006E4769">
              <w:rPr>
                <w:rFonts w:ascii="Times New Roman" w:hAnsi="Times New Roman"/>
                <w:vertAlign w:val="superscript"/>
              </w:rPr>
              <w:t>d</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43/164 (26.2)</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1.4 (1.0-2.2)</w:t>
            </w:r>
            <w:r w:rsidRPr="006E4769">
              <w:rPr>
                <w:rFonts w:ascii="Times New Roman" w:hAnsi="Times New Roman"/>
                <w:vertAlign w:val="superscript"/>
              </w:rPr>
              <w:t>d</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131/664 (19.7)</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rPr>
              <w:t>Rhinovirus</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73/230 (31.7)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1.3 (0.9-1.7)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1.1 (0.8-1.6)</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66/171 (38.6)</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1.7 (1.2-2.4)</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2.0 (1.3-2.8)</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213/787 (27.1)</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rPr>
              <w:t>Enterovirus</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16/230 (7.0)</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0.8 (0.5-1.5)</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0.8 (0.4-1.4)</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25/171 (14.6)</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1.9 (1.2-3.1)</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2.6 (1.5-4.4)</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65/787 (8.3)</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rPr>
              <w:t xml:space="preserve">Human </w:t>
            </w:r>
            <w:proofErr w:type="spellStart"/>
            <w:r w:rsidRPr="006E4769">
              <w:rPr>
                <w:rFonts w:ascii="Times New Roman" w:hAnsi="Times New Roman"/>
              </w:rPr>
              <w:t>metapneumovirus</w:t>
            </w:r>
            <w:proofErr w:type="spellEnd"/>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3/230 (1.3)</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0.5 (0.1-1.6)</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5/171 (2.9)</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1.1 (0.4-3.0)</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21/787 (2.7)</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b/>
                <w:lang w:val="en-GB"/>
              </w:rPr>
              <w:lastRenderedPageBreak/>
              <w:t>Clinical presentation and course</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lang w:val="en-GB"/>
              </w:rPr>
              <w:t>Symptoms ≥3 days prior to admission</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69/225 (30.7)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0.8 (0.6-1.1)</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62/168 (36.9)</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1.0 (0.7-1.5)</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276/768 (35.9)</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lang w:val="en-GB"/>
              </w:rPr>
              <w:t>Fever (temperature ≥38°C)</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169/226 (74.8)</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1.0 (0.7-1.4)</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139/170 (81.8)</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1.5 (1.0-2.3)</w:t>
            </w:r>
            <w:r w:rsidRPr="006E4769">
              <w:rPr>
                <w:rFonts w:ascii="Times New Roman" w:hAnsi="Times New Roman"/>
                <w:vertAlign w:val="superscript"/>
              </w:rPr>
              <w:t>d</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580/774 (74.9)</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rPr>
              <w:t>Admission to intensive care</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4/221 (1.8)</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2.8 (0.8-10.7)</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2/169 (1.2)</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1.8 (0.4-9.6)</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5/777 (0.6)</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rPr>
              <w:t xml:space="preserve">Oxygen therapy </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84/221 (38.0)</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1.1 (0.8-1.5)</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54/169 (32.0)</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0.8 (0.6-1.2)</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277/777 (35.7)</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rPr>
              <w:t xml:space="preserve">Antibiotics prescribed on admission </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199/221 (90.1)</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0.7 (0.4-1.2)</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155 /166 (93.4)</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1.1 (0.5-2.1)</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708/762 (92.9)</w:t>
            </w: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b/>
              </w:rPr>
              <w:t>Outcome</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r>
      <w:tr w:rsidR="0081790F" w:rsidRPr="006E4769" w:rsidTr="00605495">
        <w:tc>
          <w:tcPr>
            <w:tcW w:w="2538" w:type="dxa"/>
            <w:tcBorders>
              <w:top w:val="nil"/>
              <w:left w:val="nil"/>
              <w:bottom w:val="nil"/>
              <w:right w:val="nil"/>
            </w:tcBorders>
            <w:shd w:val="clear" w:color="auto" w:fill="auto"/>
          </w:tcPr>
          <w:p w:rsidR="0081790F" w:rsidRPr="006E4769" w:rsidRDefault="0081790F" w:rsidP="00605495">
            <w:pPr>
              <w:spacing w:line="480" w:lineRule="auto"/>
              <w:rPr>
                <w:rFonts w:ascii="Times New Roman" w:hAnsi="Times New Roman"/>
              </w:rPr>
            </w:pPr>
            <w:r w:rsidRPr="006E4769">
              <w:rPr>
                <w:rFonts w:ascii="Times New Roman" w:hAnsi="Times New Roman"/>
              </w:rPr>
              <w:t xml:space="preserve">Prolonged </w:t>
            </w:r>
            <w:r>
              <w:rPr>
                <w:rFonts w:ascii="Times New Roman" w:hAnsi="Times New Roman"/>
              </w:rPr>
              <w:t>hospitalization</w:t>
            </w:r>
            <w:r w:rsidRPr="006E4769">
              <w:rPr>
                <w:rFonts w:ascii="Times New Roman" w:hAnsi="Times New Roman"/>
              </w:rPr>
              <w:t xml:space="preserve"> (≥3 days)</w:t>
            </w: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115/223 (51.6)</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0.8 (0.6-1.1)</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89/168 (53.0)</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0.8 (0.6-1.2)</w:t>
            </w: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nil"/>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442/768 (57.6)</w:t>
            </w:r>
          </w:p>
        </w:tc>
      </w:tr>
      <w:tr w:rsidR="0081790F" w:rsidRPr="006E4769" w:rsidTr="00605495">
        <w:tc>
          <w:tcPr>
            <w:tcW w:w="2538" w:type="dxa"/>
            <w:tcBorders>
              <w:top w:val="nil"/>
              <w:left w:val="nil"/>
              <w:bottom w:val="single" w:sz="4" w:space="0" w:color="auto"/>
              <w:right w:val="nil"/>
            </w:tcBorders>
            <w:shd w:val="clear" w:color="auto" w:fill="auto"/>
          </w:tcPr>
          <w:p w:rsidR="0081790F" w:rsidRPr="006E4769" w:rsidRDefault="0081790F" w:rsidP="00605495">
            <w:pPr>
              <w:spacing w:line="480" w:lineRule="auto"/>
              <w:rPr>
                <w:rFonts w:ascii="Times New Roman" w:hAnsi="Times New Roman"/>
                <w:lang w:val="en-GB"/>
              </w:rPr>
            </w:pPr>
            <w:r w:rsidRPr="006E4769">
              <w:rPr>
                <w:rFonts w:ascii="Times New Roman" w:hAnsi="Times New Roman"/>
              </w:rPr>
              <w:lastRenderedPageBreak/>
              <w:t>In-hospital death (case-fatality ratio)</w:t>
            </w:r>
          </w:p>
        </w:tc>
        <w:tc>
          <w:tcPr>
            <w:tcW w:w="1519" w:type="dxa"/>
            <w:tcBorders>
              <w:top w:val="nil"/>
              <w:left w:val="nil"/>
              <w:bottom w:val="single" w:sz="4" w:space="0" w:color="auto"/>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6/226 (2.7)</w:t>
            </w:r>
          </w:p>
        </w:tc>
        <w:tc>
          <w:tcPr>
            <w:tcW w:w="1520" w:type="dxa"/>
            <w:tcBorders>
              <w:top w:val="nil"/>
              <w:left w:val="nil"/>
              <w:bottom w:val="single" w:sz="4" w:space="0" w:color="auto"/>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1.2 (0.5-3.1)</w:t>
            </w:r>
          </w:p>
        </w:tc>
        <w:tc>
          <w:tcPr>
            <w:tcW w:w="1520" w:type="dxa"/>
            <w:tcBorders>
              <w:top w:val="nil"/>
              <w:left w:val="nil"/>
              <w:bottom w:val="single" w:sz="4" w:space="0" w:color="auto"/>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19" w:type="dxa"/>
            <w:tcBorders>
              <w:top w:val="nil"/>
              <w:left w:val="nil"/>
              <w:bottom w:val="single" w:sz="4" w:space="0" w:color="auto"/>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6/171 (3.5)</w:t>
            </w:r>
          </w:p>
        </w:tc>
        <w:tc>
          <w:tcPr>
            <w:tcW w:w="1520" w:type="dxa"/>
            <w:tcBorders>
              <w:top w:val="nil"/>
              <w:left w:val="nil"/>
              <w:bottom w:val="single" w:sz="4" w:space="0" w:color="auto"/>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1.6 (0.6-4.2)</w:t>
            </w:r>
          </w:p>
        </w:tc>
        <w:tc>
          <w:tcPr>
            <w:tcW w:w="1520" w:type="dxa"/>
            <w:tcBorders>
              <w:top w:val="nil"/>
              <w:left w:val="nil"/>
              <w:bottom w:val="single" w:sz="4" w:space="0" w:color="auto"/>
              <w:right w:val="nil"/>
            </w:tcBorders>
            <w:shd w:val="clear" w:color="auto" w:fill="auto"/>
          </w:tcPr>
          <w:p w:rsidR="0081790F" w:rsidRPr="006E4769" w:rsidRDefault="0081790F" w:rsidP="00605495">
            <w:pPr>
              <w:spacing w:line="480" w:lineRule="auto"/>
              <w:jc w:val="center"/>
              <w:rPr>
                <w:rFonts w:ascii="Times New Roman" w:hAnsi="Times New Roman"/>
              </w:rPr>
            </w:pPr>
          </w:p>
        </w:tc>
        <w:tc>
          <w:tcPr>
            <w:tcW w:w="1520" w:type="dxa"/>
            <w:tcBorders>
              <w:top w:val="nil"/>
              <w:left w:val="nil"/>
              <w:bottom w:val="single" w:sz="4" w:space="0" w:color="auto"/>
              <w:right w:val="nil"/>
            </w:tcBorders>
            <w:shd w:val="clear" w:color="auto" w:fill="auto"/>
          </w:tcPr>
          <w:p w:rsidR="0081790F" w:rsidRPr="006E4769" w:rsidRDefault="0081790F" w:rsidP="00605495">
            <w:pPr>
              <w:spacing w:line="480" w:lineRule="auto"/>
              <w:jc w:val="center"/>
              <w:rPr>
                <w:rFonts w:ascii="Times New Roman" w:hAnsi="Times New Roman"/>
              </w:rPr>
            </w:pPr>
            <w:r w:rsidRPr="006E4769">
              <w:rPr>
                <w:rFonts w:ascii="Times New Roman" w:hAnsi="Times New Roman"/>
              </w:rPr>
              <w:t>17/774 (2.2)</w:t>
            </w:r>
          </w:p>
        </w:tc>
      </w:tr>
    </w:tbl>
    <w:p w:rsidR="0081790F" w:rsidRPr="00591F60" w:rsidRDefault="0081790F" w:rsidP="0081790F">
      <w:pPr>
        <w:spacing w:line="480" w:lineRule="auto"/>
        <w:contextualSpacing/>
        <w:rPr>
          <w:rFonts w:ascii="Times New Roman" w:hAnsi="Times New Roman"/>
          <w:bCs/>
          <w:lang w:val="en-ZA"/>
        </w:rPr>
      </w:pPr>
      <w:r>
        <w:rPr>
          <w:rFonts w:ascii="Times New Roman" w:hAnsi="Times New Roman"/>
          <w:bCs/>
          <w:lang w:val="en-ZA"/>
        </w:rPr>
        <w:t xml:space="preserve">Note: </w:t>
      </w:r>
      <w:r>
        <w:rPr>
          <w:rFonts w:ascii="Times New Roman" w:hAnsi="Times New Roman"/>
        </w:rPr>
        <w:t>Adjusted odds ratios are only shown if those variables were included in the final multivariable model.</w:t>
      </w:r>
    </w:p>
    <w:p w:rsidR="0081790F" w:rsidRPr="006E4769" w:rsidRDefault="0081790F" w:rsidP="0081790F">
      <w:pPr>
        <w:spacing w:after="0" w:line="480" w:lineRule="auto"/>
        <w:rPr>
          <w:rFonts w:ascii="Times New Roman" w:hAnsi="Times New Roman"/>
        </w:rPr>
      </w:pPr>
      <w:r w:rsidRPr="006E4769">
        <w:rPr>
          <w:rFonts w:ascii="Times New Roman" w:hAnsi="Times New Roman"/>
          <w:bCs/>
          <w:vertAlign w:val="superscript"/>
          <w:lang w:val="en-ZA"/>
        </w:rPr>
        <w:t>a</w:t>
      </w:r>
      <w:r w:rsidRPr="006E4769">
        <w:rPr>
          <w:rFonts w:ascii="Times New Roman" w:hAnsi="Times New Roman"/>
        </w:rPr>
        <w:t>Asthma, other chronic lung disease, chronic heart disease (</w:t>
      </w:r>
      <w:proofErr w:type="spellStart"/>
      <w:r w:rsidRPr="006E4769">
        <w:rPr>
          <w:rFonts w:ascii="Times New Roman" w:hAnsi="Times New Roman"/>
        </w:rPr>
        <w:t>valvular</w:t>
      </w:r>
      <w:proofErr w:type="spellEnd"/>
      <w:r w:rsidRPr="006E4769">
        <w:rPr>
          <w:rFonts w:ascii="Times New Roman" w:hAnsi="Times New Roman"/>
        </w:rPr>
        <w:t xml:space="preserve"> heart disease, coronary artery disease, or heart failure excluding hypertension), liver disease (cirrhosis or liver failure), renal disease (nephrotic syndrome, chronic renal failure), diabetes </w:t>
      </w:r>
      <w:proofErr w:type="spellStart"/>
      <w:r w:rsidRPr="006E4769">
        <w:rPr>
          <w:rFonts w:ascii="Times New Roman" w:hAnsi="Times New Roman"/>
        </w:rPr>
        <w:t>mellitis</w:t>
      </w:r>
      <w:proofErr w:type="spellEnd"/>
      <w:r w:rsidRPr="006E4769">
        <w:rPr>
          <w:rFonts w:ascii="Times New Roman" w:hAnsi="Times New Roman"/>
        </w:rPr>
        <w:t>, immunocompromising conditions excluding HIV infection (organ transplant, immunosuppressive therapy, immunoglobulin deficiency, malignancy), neurological disease (cerebrovascular accident, spinal cord injury, seizures, neuromuscular conditions) or pregnancy. Comorbidities were considered absent in cases for which the medical records stated that the patient had no underlying medical condition or when there was no direct reference to that condition.</w:t>
      </w:r>
    </w:p>
    <w:p w:rsidR="0081790F" w:rsidRPr="006E4769" w:rsidRDefault="0081790F" w:rsidP="0081790F">
      <w:pPr>
        <w:spacing w:after="0" w:line="480" w:lineRule="auto"/>
        <w:contextualSpacing/>
        <w:rPr>
          <w:rFonts w:ascii="Times New Roman" w:hAnsi="Times New Roman"/>
          <w:bCs/>
          <w:lang w:val="en-ZA"/>
        </w:rPr>
      </w:pPr>
      <w:proofErr w:type="spellStart"/>
      <w:proofErr w:type="gramStart"/>
      <w:r w:rsidRPr="006E4769">
        <w:rPr>
          <w:rFonts w:ascii="Times New Roman" w:hAnsi="Times New Roman"/>
          <w:bCs/>
          <w:vertAlign w:val="superscript"/>
          <w:lang w:val="en-ZA"/>
        </w:rPr>
        <w:t>b</w:t>
      </w:r>
      <w:r w:rsidRPr="006E4769">
        <w:rPr>
          <w:rFonts w:ascii="Times New Roman" w:hAnsi="Times New Roman"/>
          <w:bCs/>
          <w:lang w:val="en-ZA"/>
        </w:rPr>
        <w:t>Co</w:t>
      </w:r>
      <w:proofErr w:type="spellEnd"/>
      <w:r w:rsidRPr="006E4769">
        <w:rPr>
          <w:rFonts w:ascii="Times New Roman" w:hAnsi="Times New Roman"/>
          <w:bCs/>
          <w:lang w:val="en-ZA"/>
        </w:rPr>
        <w:t>-infection</w:t>
      </w:r>
      <w:proofErr w:type="gramEnd"/>
      <w:r w:rsidRPr="006E4769">
        <w:rPr>
          <w:rFonts w:ascii="Times New Roman" w:hAnsi="Times New Roman"/>
          <w:bCs/>
          <w:lang w:val="en-ZA"/>
        </w:rPr>
        <w:t xml:space="preserve"> with PIV and ≥1 of the following: </w:t>
      </w:r>
      <w:r w:rsidRPr="006E4769">
        <w:rPr>
          <w:rFonts w:ascii="Times New Roman" w:hAnsi="Times New Roman"/>
          <w:lang w:val="en-GB"/>
        </w:rPr>
        <w:t xml:space="preserve">adenovirus, enterovirus, influenza A and B viruses, respiratory syncytial virus (RSV), human </w:t>
      </w:r>
      <w:proofErr w:type="spellStart"/>
      <w:r w:rsidRPr="006E4769">
        <w:rPr>
          <w:rFonts w:ascii="Times New Roman" w:hAnsi="Times New Roman"/>
          <w:lang w:val="en-GB"/>
        </w:rPr>
        <w:t>metapneumovirus</w:t>
      </w:r>
      <w:proofErr w:type="spellEnd"/>
      <w:r w:rsidRPr="006E4769">
        <w:rPr>
          <w:rFonts w:ascii="Times New Roman" w:hAnsi="Times New Roman"/>
          <w:lang w:val="en-GB"/>
        </w:rPr>
        <w:t>, and rhinovirus</w:t>
      </w:r>
      <w:r w:rsidRPr="006E4769">
        <w:rPr>
          <w:rFonts w:ascii="Times New Roman" w:hAnsi="Times New Roman"/>
          <w:bCs/>
          <w:lang w:val="en-ZA"/>
        </w:rPr>
        <w:t>.</w:t>
      </w:r>
    </w:p>
    <w:p w:rsidR="0081790F" w:rsidRPr="006E4769" w:rsidRDefault="0081790F" w:rsidP="0081790F">
      <w:pPr>
        <w:spacing w:line="480" w:lineRule="auto"/>
        <w:contextualSpacing/>
        <w:rPr>
          <w:rFonts w:ascii="Times New Roman" w:hAnsi="Times New Roman"/>
        </w:rPr>
      </w:pPr>
      <w:proofErr w:type="gramStart"/>
      <w:r w:rsidRPr="006E4769">
        <w:rPr>
          <w:rFonts w:ascii="Times New Roman" w:hAnsi="Times New Roman"/>
          <w:bCs/>
          <w:vertAlign w:val="superscript"/>
          <w:lang w:val="en-ZA"/>
        </w:rPr>
        <w:t>c</w:t>
      </w:r>
      <w:r w:rsidRPr="006E4769">
        <w:rPr>
          <w:rFonts w:ascii="Times New Roman" w:hAnsi="Times New Roman"/>
        </w:rPr>
        <w:t>Any</w:t>
      </w:r>
      <w:proofErr w:type="gramEnd"/>
      <w:r w:rsidRPr="006E4769">
        <w:rPr>
          <w:rFonts w:ascii="Times New Roman" w:hAnsi="Times New Roman"/>
        </w:rPr>
        <w:t xml:space="preserve"> viral respiratory infection was not included in the multivariable model because it could be explained by enterovirus and rhinovirus co-infection.</w:t>
      </w:r>
    </w:p>
    <w:p w:rsidR="00161C63" w:rsidRDefault="0081790F" w:rsidP="0081790F">
      <w:proofErr w:type="spellStart"/>
      <w:proofErr w:type="gramStart"/>
      <w:r w:rsidRPr="006E4769">
        <w:rPr>
          <w:rFonts w:ascii="Times New Roman" w:hAnsi="Times New Roman"/>
          <w:vertAlign w:val="superscript"/>
        </w:rPr>
        <w:t>d</w:t>
      </w:r>
      <w:r w:rsidRPr="006E4769">
        <w:rPr>
          <w:rFonts w:ascii="Times New Roman" w:hAnsi="Times New Roman"/>
        </w:rPr>
        <w:t>p</w:t>
      </w:r>
      <w:proofErr w:type="spellEnd"/>
      <w:r w:rsidRPr="006E4769">
        <w:rPr>
          <w:rFonts w:ascii="Times New Roman" w:hAnsi="Times New Roman"/>
        </w:rPr>
        <w:t>&gt;</w:t>
      </w:r>
      <w:proofErr w:type="gramEnd"/>
      <w:r w:rsidRPr="006E4769">
        <w:rPr>
          <w:rFonts w:ascii="Times New Roman" w:hAnsi="Times New Roman"/>
        </w:rPr>
        <w:t>0.05</w:t>
      </w:r>
    </w:p>
    <w:sectPr w:rsidR="00161C63" w:rsidSect="008179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13"/>
    <w:rsid w:val="00001E28"/>
    <w:rsid w:val="0000389A"/>
    <w:rsid w:val="00003EE8"/>
    <w:rsid w:val="000058FD"/>
    <w:rsid w:val="00006B83"/>
    <w:rsid w:val="000148B1"/>
    <w:rsid w:val="00015341"/>
    <w:rsid w:val="00016294"/>
    <w:rsid w:val="00020C33"/>
    <w:rsid w:val="00021B26"/>
    <w:rsid w:val="0002261C"/>
    <w:rsid w:val="0002435A"/>
    <w:rsid w:val="00025B03"/>
    <w:rsid w:val="00026D76"/>
    <w:rsid w:val="00030F45"/>
    <w:rsid w:val="00032B5D"/>
    <w:rsid w:val="00033503"/>
    <w:rsid w:val="0004068F"/>
    <w:rsid w:val="00042150"/>
    <w:rsid w:val="000439E8"/>
    <w:rsid w:val="000440E9"/>
    <w:rsid w:val="000447A8"/>
    <w:rsid w:val="00046159"/>
    <w:rsid w:val="00047193"/>
    <w:rsid w:val="00047ACE"/>
    <w:rsid w:val="000512B5"/>
    <w:rsid w:val="00055CD1"/>
    <w:rsid w:val="000572BE"/>
    <w:rsid w:val="000612D7"/>
    <w:rsid w:val="00062215"/>
    <w:rsid w:val="000645DF"/>
    <w:rsid w:val="00075414"/>
    <w:rsid w:val="00081550"/>
    <w:rsid w:val="0008296C"/>
    <w:rsid w:val="00083F54"/>
    <w:rsid w:val="0008651D"/>
    <w:rsid w:val="000925FE"/>
    <w:rsid w:val="000928C5"/>
    <w:rsid w:val="00094A03"/>
    <w:rsid w:val="000968B5"/>
    <w:rsid w:val="000A6D47"/>
    <w:rsid w:val="000A772E"/>
    <w:rsid w:val="000A78DC"/>
    <w:rsid w:val="000B003E"/>
    <w:rsid w:val="000B32CD"/>
    <w:rsid w:val="000B7E8A"/>
    <w:rsid w:val="000C0498"/>
    <w:rsid w:val="000C0656"/>
    <w:rsid w:val="000C0FA5"/>
    <w:rsid w:val="000C4778"/>
    <w:rsid w:val="000C5E99"/>
    <w:rsid w:val="000C5FE5"/>
    <w:rsid w:val="000C6784"/>
    <w:rsid w:val="000D1AE1"/>
    <w:rsid w:val="000D2265"/>
    <w:rsid w:val="000D7BF3"/>
    <w:rsid w:val="000E181A"/>
    <w:rsid w:val="000E274A"/>
    <w:rsid w:val="000E5F07"/>
    <w:rsid w:val="000E6A08"/>
    <w:rsid w:val="000F0080"/>
    <w:rsid w:val="000F2698"/>
    <w:rsid w:val="000F2E3E"/>
    <w:rsid w:val="000F5572"/>
    <w:rsid w:val="000F5647"/>
    <w:rsid w:val="000F7D55"/>
    <w:rsid w:val="00100311"/>
    <w:rsid w:val="0010423F"/>
    <w:rsid w:val="001042B6"/>
    <w:rsid w:val="001042F3"/>
    <w:rsid w:val="00105F46"/>
    <w:rsid w:val="0010655B"/>
    <w:rsid w:val="00107F2C"/>
    <w:rsid w:val="0011007A"/>
    <w:rsid w:val="0011399C"/>
    <w:rsid w:val="00114788"/>
    <w:rsid w:val="00115809"/>
    <w:rsid w:val="001258A5"/>
    <w:rsid w:val="00126C7E"/>
    <w:rsid w:val="0012703A"/>
    <w:rsid w:val="001300C4"/>
    <w:rsid w:val="00141811"/>
    <w:rsid w:val="00141F99"/>
    <w:rsid w:val="001420D7"/>
    <w:rsid w:val="00142252"/>
    <w:rsid w:val="00154AD7"/>
    <w:rsid w:val="00154C35"/>
    <w:rsid w:val="00155C82"/>
    <w:rsid w:val="001563BF"/>
    <w:rsid w:val="00160C7B"/>
    <w:rsid w:val="00161C63"/>
    <w:rsid w:val="00161CAA"/>
    <w:rsid w:val="001621C0"/>
    <w:rsid w:val="00166690"/>
    <w:rsid w:val="00166A42"/>
    <w:rsid w:val="0017016D"/>
    <w:rsid w:val="00177CB9"/>
    <w:rsid w:val="00180275"/>
    <w:rsid w:val="001844A6"/>
    <w:rsid w:val="00184964"/>
    <w:rsid w:val="00186CCD"/>
    <w:rsid w:val="0019012D"/>
    <w:rsid w:val="00190602"/>
    <w:rsid w:val="00190AC2"/>
    <w:rsid w:val="00191492"/>
    <w:rsid w:val="00192960"/>
    <w:rsid w:val="001943DF"/>
    <w:rsid w:val="001975C3"/>
    <w:rsid w:val="001A4B56"/>
    <w:rsid w:val="001A4C6D"/>
    <w:rsid w:val="001A6DAD"/>
    <w:rsid w:val="001B62A0"/>
    <w:rsid w:val="001B7CEA"/>
    <w:rsid w:val="001C17EC"/>
    <w:rsid w:val="001C49C3"/>
    <w:rsid w:val="001C5026"/>
    <w:rsid w:val="001C50A2"/>
    <w:rsid w:val="001C7D3F"/>
    <w:rsid w:val="001D16A1"/>
    <w:rsid w:val="001D2747"/>
    <w:rsid w:val="001D2822"/>
    <w:rsid w:val="001D291C"/>
    <w:rsid w:val="001D368C"/>
    <w:rsid w:val="001D6907"/>
    <w:rsid w:val="001E0BF7"/>
    <w:rsid w:val="001E2681"/>
    <w:rsid w:val="001E29A1"/>
    <w:rsid w:val="001E5953"/>
    <w:rsid w:val="001E5ACB"/>
    <w:rsid w:val="001E6B5F"/>
    <w:rsid w:val="001E6C0A"/>
    <w:rsid w:val="001E728D"/>
    <w:rsid w:val="001F1515"/>
    <w:rsid w:val="001F2D3D"/>
    <w:rsid w:val="001F41AA"/>
    <w:rsid w:val="001F4892"/>
    <w:rsid w:val="001F56D7"/>
    <w:rsid w:val="002031E3"/>
    <w:rsid w:val="00206796"/>
    <w:rsid w:val="00207B37"/>
    <w:rsid w:val="002114B8"/>
    <w:rsid w:val="00212F03"/>
    <w:rsid w:val="0021375A"/>
    <w:rsid w:val="00217491"/>
    <w:rsid w:val="002207D7"/>
    <w:rsid w:val="002214A2"/>
    <w:rsid w:val="002215CE"/>
    <w:rsid w:val="00222B3B"/>
    <w:rsid w:val="00230A00"/>
    <w:rsid w:val="0023110E"/>
    <w:rsid w:val="00231457"/>
    <w:rsid w:val="00231FE9"/>
    <w:rsid w:val="002323F3"/>
    <w:rsid w:val="00233A78"/>
    <w:rsid w:val="002343F8"/>
    <w:rsid w:val="002350F6"/>
    <w:rsid w:val="00235530"/>
    <w:rsid w:val="00235655"/>
    <w:rsid w:val="00235AD4"/>
    <w:rsid w:val="00237327"/>
    <w:rsid w:val="00241E48"/>
    <w:rsid w:val="00242EF7"/>
    <w:rsid w:val="002457D0"/>
    <w:rsid w:val="00245C2B"/>
    <w:rsid w:val="00247544"/>
    <w:rsid w:val="0025079E"/>
    <w:rsid w:val="00250A8A"/>
    <w:rsid w:val="00251A8F"/>
    <w:rsid w:val="00252EBA"/>
    <w:rsid w:val="002576EF"/>
    <w:rsid w:val="00261642"/>
    <w:rsid w:val="0026424B"/>
    <w:rsid w:val="00264758"/>
    <w:rsid w:val="002678CF"/>
    <w:rsid w:val="00267925"/>
    <w:rsid w:val="00276D44"/>
    <w:rsid w:val="00283747"/>
    <w:rsid w:val="00287603"/>
    <w:rsid w:val="00292B1B"/>
    <w:rsid w:val="00292E50"/>
    <w:rsid w:val="00295965"/>
    <w:rsid w:val="002962E9"/>
    <w:rsid w:val="00296E2F"/>
    <w:rsid w:val="002A0603"/>
    <w:rsid w:val="002A1E03"/>
    <w:rsid w:val="002A4A87"/>
    <w:rsid w:val="002A532C"/>
    <w:rsid w:val="002A5CE7"/>
    <w:rsid w:val="002A5E7B"/>
    <w:rsid w:val="002A5F9C"/>
    <w:rsid w:val="002B284C"/>
    <w:rsid w:val="002B2F0C"/>
    <w:rsid w:val="002B3334"/>
    <w:rsid w:val="002B3D47"/>
    <w:rsid w:val="002B46CF"/>
    <w:rsid w:val="002B549F"/>
    <w:rsid w:val="002C029B"/>
    <w:rsid w:val="002C2AF6"/>
    <w:rsid w:val="002D0D1A"/>
    <w:rsid w:val="002D0E6A"/>
    <w:rsid w:val="002D12BA"/>
    <w:rsid w:val="002D5A70"/>
    <w:rsid w:val="002D70B6"/>
    <w:rsid w:val="002E058E"/>
    <w:rsid w:val="002E1412"/>
    <w:rsid w:val="002E60F4"/>
    <w:rsid w:val="002E72D0"/>
    <w:rsid w:val="002E7AA5"/>
    <w:rsid w:val="002F12A5"/>
    <w:rsid w:val="002F74D3"/>
    <w:rsid w:val="0030144A"/>
    <w:rsid w:val="00301E57"/>
    <w:rsid w:val="0030699C"/>
    <w:rsid w:val="0031255F"/>
    <w:rsid w:val="003144E6"/>
    <w:rsid w:val="00314D5A"/>
    <w:rsid w:val="00321E25"/>
    <w:rsid w:val="003234B1"/>
    <w:rsid w:val="003245DA"/>
    <w:rsid w:val="00325063"/>
    <w:rsid w:val="00326CEA"/>
    <w:rsid w:val="0032708C"/>
    <w:rsid w:val="00327406"/>
    <w:rsid w:val="00327C83"/>
    <w:rsid w:val="003332B7"/>
    <w:rsid w:val="003332E5"/>
    <w:rsid w:val="003444EB"/>
    <w:rsid w:val="00344AE8"/>
    <w:rsid w:val="0034667F"/>
    <w:rsid w:val="00347879"/>
    <w:rsid w:val="003513C0"/>
    <w:rsid w:val="003678E9"/>
    <w:rsid w:val="00385C44"/>
    <w:rsid w:val="00386587"/>
    <w:rsid w:val="00387D50"/>
    <w:rsid w:val="00391725"/>
    <w:rsid w:val="0039431F"/>
    <w:rsid w:val="00395A7F"/>
    <w:rsid w:val="00395FA8"/>
    <w:rsid w:val="00396BE9"/>
    <w:rsid w:val="003976A0"/>
    <w:rsid w:val="003A09BF"/>
    <w:rsid w:val="003A1BFB"/>
    <w:rsid w:val="003A2933"/>
    <w:rsid w:val="003A31E8"/>
    <w:rsid w:val="003A39D5"/>
    <w:rsid w:val="003A502F"/>
    <w:rsid w:val="003B159A"/>
    <w:rsid w:val="003B21D3"/>
    <w:rsid w:val="003C0887"/>
    <w:rsid w:val="003C171C"/>
    <w:rsid w:val="003C3C94"/>
    <w:rsid w:val="003C42CE"/>
    <w:rsid w:val="003D08F0"/>
    <w:rsid w:val="003D4D51"/>
    <w:rsid w:val="003E19CD"/>
    <w:rsid w:val="003E2D19"/>
    <w:rsid w:val="003E35AB"/>
    <w:rsid w:val="003E406A"/>
    <w:rsid w:val="003E4713"/>
    <w:rsid w:val="003E63B8"/>
    <w:rsid w:val="003E788E"/>
    <w:rsid w:val="003F5C6E"/>
    <w:rsid w:val="003F7B98"/>
    <w:rsid w:val="00407907"/>
    <w:rsid w:val="00410960"/>
    <w:rsid w:val="00410DC8"/>
    <w:rsid w:val="00410FCE"/>
    <w:rsid w:val="0041188E"/>
    <w:rsid w:val="00417447"/>
    <w:rsid w:val="004210D0"/>
    <w:rsid w:val="004224AC"/>
    <w:rsid w:val="00422EE7"/>
    <w:rsid w:val="004233DD"/>
    <w:rsid w:val="004251FA"/>
    <w:rsid w:val="004253C4"/>
    <w:rsid w:val="00425B62"/>
    <w:rsid w:val="004262CD"/>
    <w:rsid w:val="004269BF"/>
    <w:rsid w:val="00430816"/>
    <w:rsid w:val="004355B7"/>
    <w:rsid w:val="00440505"/>
    <w:rsid w:val="004421E1"/>
    <w:rsid w:val="00442E35"/>
    <w:rsid w:val="00442E80"/>
    <w:rsid w:val="004435C0"/>
    <w:rsid w:val="004450DA"/>
    <w:rsid w:val="00445499"/>
    <w:rsid w:val="00445D0A"/>
    <w:rsid w:val="0045051C"/>
    <w:rsid w:val="004537FF"/>
    <w:rsid w:val="004578AE"/>
    <w:rsid w:val="004647B6"/>
    <w:rsid w:val="00464AA9"/>
    <w:rsid w:val="00466832"/>
    <w:rsid w:val="004735FD"/>
    <w:rsid w:val="00473639"/>
    <w:rsid w:val="00477434"/>
    <w:rsid w:val="00483E64"/>
    <w:rsid w:val="00490963"/>
    <w:rsid w:val="0049189D"/>
    <w:rsid w:val="00491F75"/>
    <w:rsid w:val="00493BF7"/>
    <w:rsid w:val="0049623F"/>
    <w:rsid w:val="00497325"/>
    <w:rsid w:val="004A0EE6"/>
    <w:rsid w:val="004A2F6C"/>
    <w:rsid w:val="004A3D26"/>
    <w:rsid w:val="004A3F29"/>
    <w:rsid w:val="004A419B"/>
    <w:rsid w:val="004B0C3A"/>
    <w:rsid w:val="004B2C16"/>
    <w:rsid w:val="004B50D7"/>
    <w:rsid w:val="004C4B0E"/>
    <w:rsid w:val="004C55C2"/>
    <w:rsid w:val="004C5C10"/>
    <w:rsid w:val="004D14E0"/>
    <w:rsid w:val="004D7355"/>
    <w:rsid w:val="004E1C61"/>
    <w:rsid w:val="004E396D"/>
    <w:rsid w:val="004E7933"/>
    <w:rsid w:val="004E7CC7"/>
    <w:rsid w:val="004F26BE"/>
    <w:rsid w:val="004F4002"/>
    <w:rsid w:val="004F51CC"/>
    <w:rsid w:val="005042D4"/>
    <w:rsid w:val="00507655"/>
    <w:rsid w:val="005119E6"/>
    <w:rsid w:val="00511AD3"/>
    <w:rsid w:val="005139FE"/>
    <w:rsid w:val="005144C3"/>
    <w:rsid w:val="00515495"/>
    <w:rsid w:val="00516179"/>
    <w:rsid w:val="005168C9"/>
    <w:rsid w:val="00516B5F"/>
    <w:rsid w:val="00517800"/>
    <w:rsid w:val="00517A20"/>
    <w:rsid w:val="00521288"/>
    <w:rsid w:val="005219F8"/>
    <w:rsid w:val="005221A1"/>
    <w:rsid w:val="00522A2B"/>
    <w:rsid w:val="00523AF8"/>
    <w:rsid w:val="00523C4E"/>
    <w:rsid w:val="005266CA"/>
    <w:rsid w:val="0052684C"/>
    <w:rsid w:val="005320A4"/>
    <w:rsid w:val="005321EA"/>
    <w:rsid w:val="00533550"/>
    <w:rsid w:val="00534AFA"/>
    <w:rsid w:val="00536641"/>
    <w:rsid w:val="0053664E"/>
    <w:rsid w:val="0053670D"/>
    <w:rsid w:val="0053683C"/>
    <w:rsid w:val="005378EB"/>
    <w:rsid w:val="00540761"/>
    <w:rsid w:val="00540E30"/>
    <w:rsid w:val="005424CF"/>
    <w:rsid w:val="005466DE"/>
    <w:rsid w:val="00546AB6"/>
    <w:rsid w:val="00562AF1"/>
    <w:rsid w:val="00564BD2"/>
    <w:rsid w:val="00566F14"/>
    <w:rsid w:val="00570415"/>
    <w:rsid w:val="005746F1"/>
    <w:rsid w:val="00576447"/>
    <w:rsid w:val="00576A98"/>
    <w:rsid w:val="005832EC"/>
    <w:rsid w:val="00583D90"/>
    <w:rsid w:val="005849C7"/>
    <w:rsid w:val="00585C3B"/>
    <w:rsid w:val="00587F57"/>
    <w:rsid w:val="005902E0"/>
    <w:rsid w:val="005935A0"/>
    <w:rsid w:val="00593B1E"/>
    <w:rsid w:val="00594A97"/>
    <w:rsid w:val="005A13E7"/>
    <w:rsid w:val="005A3C9B"/>
    <w:rsid w:val="005A6D3E"/>
    <w:rsid w:val="005A6F80"/>
    <w:rsid w:val="005B1B3E"/>
    <w:rsid w:val="005B5351"/>
    <w:rsid w:val="005C06DA"/>
    <w:rsid w:val="005C2C2D"/>
    <w:rsid w:val="005C392E"/>
    <w:rsid w:val="005C4C36"/>
    <w:rsid w:val="005C4E87"/>
    <w:rsid w:val="005C7E4F"/>
    <w:rsid w:val="005D1C46"/>
    <w:rsid w:val="005D25C3"/>
    <w:rsid w:val="005D771D"/>
    <w:rsid w:val="005E063E"/>
    <w:rsid w:val="005E2D74"/>
    <w:rsid w:val="005E39E7"/>
    <w:rsid w:val="005E3DAC"/>
    <w:rsid w:val="005E5FE5"/>
    <w:rsid w:val="005E752C"/>
    <w:rsid w:val="005F03AD"/>
    <w:rsid w:val="005F0A28"/>
    <w:rsid w:val="005F42CF"/>
    <w:rsid w:val="00601DC5"/>
    <w:rsid w:val="006047E2"/>
    <w:rsid w:val="00604A0D"/>
    <w:rsid w:val="006104F2"/>
    <w:rsid w:val="006165ED"/>
    <w:rsid w:val="00616AA9"/>
    <w:rsid w:val="00616D89"/>
    <w:rsid w:val="00617232"/>
    <w:rsid w:val="0062023F"/>
    <w:rsid w:val="006220F5"/>
    <w:rsid w:val="00625B1D"/>
    <w:rsid w:val="00633406"/>
    <w:rsid w:val="00634073"/>
    <w:rsid w:val="0063622A"/>
    <w:rsid w:val="00636DF6"/>
    <w:rsid w:val="00640EDA"/>
    <w:rsid w:val="00641100"/>
    <w:rsid w:val="00642A16"/>
    <w:rsid w:val="006435CB"/>
    <w:rsid w:val="0064448F"/>
    <w:rsid w:val="006448CF"/>
    <w:rsid w:val="006463EC"/>
    <w:rsid w:val="006464EF"/>
    <w:rsid w:val="00647085"/>
    <w:rsid w:val="006502C2"/>
    <w:rsid w:val="00651145"/>
    <w:rsid w:val="0065178D"/>
    <w:rsid w:val="00653DFF"/>
    <w:rsid w:val="006546BB"/>
    <w:rsid w:val="00655487"/>
    <w:rsid w:val="006617F4"/>
    <w:rsid w:val="00662D13"/>
    <w:rsid w:val="006665C7"/>
    <w:rsid w:val="00667A33"/>
    <w:rsid w:val="006705A3"/>
    <w:rsid w:val="00671324"/>
    <w:rsid w:val="00671490"/>
    <w:rsid w:val="00671658"/>
    <w:rsid w:val="00673940"/>
    <w:rsid w:val="006748CD"/>
    <w:rsid w:val="00674988"/>
    <w:rsid w:val="00682AD4"/>
    <w:rsid w:val="006830F4"/>
    <w:rsid w:val="00683726"/>
    <w:rsid w:val="00683FFA"/>
    <w:rsid w:val="00684F0C"/>
    <w:rsid w:val="006857DF"/>
    <w:rsid w:val="006925A5"/>
    <w:rsid w:val="006975F2"/>
    <w:rsid w:val="006A2106"/>
    <w:rsid w:val="006A4FF6"/>
    <w:rsid w:val="006A514A"/>
    <w:rsid w:val="006A7940"/>
    <w:rsid w:val="006B0168"/>
    <w:rsid w:val="006B2104"/>
    <w:rsid w:val="006B383A"/>
    <w:rsid w:val="006B61CF"/>
    <w:rsid w:val="006B633B"/>
    <w:rsid w:val="006B697E"/>
    <w:rsid w:val="006B6BD1"/>
    <w:rsid w:val="006B7B15"/>
    <w:rsid w:val="006C2DDD"/>
    <w:rsid w:val="006C37D7"/>
    <w:rsid w:val="006C6959"/>
    <w:rsid w:val="006C6BE3"/>
    <w:rsid w:val="006C6CF2"/>
    <w:rsid w:val="006D3187"/>
    <w:rsid w:val="006E3429"/>
    <w:rsid w:val="006E5FAC"/>
    <w:rsid w:val="006E7328"/>
    <w:rsid w:val="006E7708"/>
    <w:rsid w:val="00700ED1"/>
    <w:rsid w:val="007045CC"/>
    <w:rsid w:val="00704B6B"/>
    <w:rsid w:val="007071C5"/>
    <w:rsid w:val="00711079"/>
    <w:rsid w:val="0071129C"/>
    <w:rsid w:val="00715094"/>
    <w:rsid w:val="00715250"/>
    <w:rsid w:val="0071626B"/>
    <w:rsid w:val="0072248E"/>
    <w:rsid w:val="00726416"/>
    <w:rsid w:val="00727F32"/>
    <w:rsid w:val="007303D5"/>
    <w:rsid w:val="00732446"/>
    <w:rsid w:val="00734268"/>
    <w:rsid w:val="007366B0"/>
    <w:rsid w:val="00744804"/>
    <w:rsid w:val="00747A54"/>
    <w:rsid w:val="0075070E"/>
    <w:rsid w:val="00750D43"/>
    <w:rsid w:val="00750DB2"/>
    <w:rsid w:val="00751F46"/>
    <w:rsid w:val="007522C8"/>
    <w:rsid w:val="007612B0"/>
    <w:rsid w:val="00763FC7"/>
    <w:rsid w:val="007669FC"/>
    <w:rsid w:val="00770040"/>
    <w:rsid w:val="00771F04"/>
    <w:rsid w:val="00774AA8"/>
    <w:rsid w:val="00776B34"/>
    <w:rsid w:val="0078538D"/>
    <w:rsid w:val="00792781"/>
    <w:rsid w:val="00796013"/>
    <w:rsid w:val="007961EB"/>
    <w:rsid w:val="007A7EDD"/>
    <w:rsid w:val="007B06EE"/>
    <w:rsid w:val="007B2AED"/>
    <w:rsid w:val="007B457B"/>
    <w:rsid w:val="007C241D"/>
    <w:rsid w:val="007C4A66"/>
    <w:rsid w:val="007C78BF"/>
    <w:rsid w:val="007D0825"/>
    <w:rsid w:val="007D214E"/>
    <w:rsid w:val="007D3D0F"/>
    <w:rsid w:val="007D575E"/>
    <w:rsid w:val="007D6899"/>
    <w:rsid w:val="007E0525"/>
    <w:rsid w:val="007E24F0"/>
    <w:rsid w:val="007E3BF0"/>
    <w:rsid w:val="007F17E5"/>
    <w:rsid w:val="007F4353"/>
    <w:rsid w:val="007F79E7"/>
    <w:rsid w:val="007F7D49"/>
    <w:rsid w:val="007F7DDB"/>
    <w:rsid w:val="00805761"/>
    <w:rsid w:val="00806799"/>
    <w:rsid w:val="00807AAA"/>
    <w:rsid w:val="00815569"/>
    <w:rsid w:val="0081598F"/>
    <w:rsid w:val="0081611A"/>
    <w:rsid w:val="0081790F"/>
    <w:rsid w:val="008207D5"/>
    <w:rsid w:val="008222AD"/>
    <w:rsid w:val="00822B88"/>
    <w:rsid w:val="00822E12"/>
    <w:rsid w:val="008327E2"/>
    <w:rsid w:val="00834D27"/>
    <w:rsid w:val="00835545"/>
    <w:rsid w:val="00837C81"/>
    <w:rsid w:val="00842062"/>
    <w:rsid w:val="00842B8A"/>
    <w:rsid w:val="00844CFF"/>
    <w:rsid w:val="00847251"/>
    <w:rsid w:val="008538D3"/>
    <w:rsid w:val="0085538F"/>
    <w:rsid w:val="00856884"/>
    <w:rsid w:val="00862DD7"/>
    <w:rsid w:val="00864AAE"/>
    <w:rsid w:val="00866364"/>
    <w:rsid w:val="00871CD1"/>
    <w:rsid w:val="00872E8B"/>
    <w:rsid w:val="00874275"/>
    <w:rsid w:val="00875E4F"/>
    <w:rsid w:val="00877D65"/>
    <w:rsid w:val="00880392"/>
    <w:rsid w:val="008813C3"/>
    <w:rsid w:val="008853AD"/>
    <w:rsid w:val="008868BD"/>
    <w:rsid w:val="008871B6"/>
    <w:rsid w:val="00887485"/>
    <w:rsid w:val="00890388"/>
    <w:rsid w:val="00890C84"/>
    <w:rsid w:val="00897131"/>
    <w:rsid w:val="008A6246"/>
    <w:rsid w:val="008A66C4"/>
    <w:rsid w:val="008A6CC3"/>
    <w:rsid w:val="008B4B74"/>
    <w:rsid w:val="008B61CD"/>
    <w:rsid w:val="008B6A5E"/>
    <w:rsid w:val="008B7336"/>
    <w:rsid w:val="008B7769"/>
    <w:rsid w:val="008C310E"/>
    <w:rsid w:val="008C36F1"/>
    <w:rsid w:val="008C6343"/>
    <w:rsid w:val="008C7252"/>
    <w:rsid w:val="008C77BF"/>
    <w:rsid w:val="008D0276"/>
    <w:rsid w:val="008D137B"/>
    <w:rsid w:val="008D2682"/>
    <w:rsid w:val="008D2E41"/>
    <w:rsid w:val="008D4534"/>
    <w:rsid w:val="008D5694"/>
    <w:rsid w:val="008D6448"/>
    <w:rsid w:val="008D6EBA"/>
    <w:rsid w:val="008D78BF"/>
    <w:rsid w:val="008E2727"/>
    <w:rsid w:val="008F2868"/>
    <w:rsid w:val="008F4AE4"/>
    <w:rsid w:val="008F4B7A"/>
    <w:rsid w:val="008F630B"/>
    <w:rsid w:val="009042D2"/>
    <w:rsid w:val="009066FE"/>
    <w:rsid w:val="00907265"/>
    <w:rsid w:val="0091422A"/>
    <w:rsid w:val="00920E39"/>
    <w:rsid w:val="009214FA"/>
    <w:rsid w:val="009240F3"/>
    <w:rsid w:val="00924E51"/>
    <w:rsid w:val="00925E28"/>
    <w:rsid w:val="0092739B"/>
    <w:rsid w:val="009274EA"/>
    <w:rsid w:val="00927843"/>
    <w:rsid w:val="00934109"/>
    <w:rsid w:val="009348A3"/>
    <w:rsid w:val="00936AF5"/>
    <w:rsid w:val="00937D4D"/>
    <w:rsid w:val="00944664"/>
    <w:rsid w:val="009456FC"/>
    <w:rsid w:val="00950D54"/>
    <w:rsid w:val="00951010"/>
    <w:rsid w:val="00952700"/>
    <w:rsid w:val="0095376D"/>
    <w:rsid w:val="009604DD"/>
    <w:rsid w:val="00960AB0"/>
    <w:rsid w:val="009711C8"/>
    <w:rsid w:val="009714E5"/>
    <w:rsid w:val="00973AD4"/>
    <w:rsid w:val="009774B1"/>
    <w:rsid w:val="009822F0"/>
    <w:rsid w:val="00992897"/>
    <w:rsid w:val="00992D0A"/>
    <w:rsid w:val="00993326"/>
    <w:rsid w:val="00993E73"/>
    <w:rsid w:val="00993EF9"/>
    <w:rsid w:val="00994B33"/>
    <w:rsid w:val="00995C8B"/>
    <w:rsid w:val="009A13FA"/>
    <w:rsid w:val="009A61BB"/>
    <w:rsid w:val="009B48DA"/>
    <w:rsid w:val="009B70C2"/>
    <w:rsid w:val="009B7623"/>
    <w:rsid w:val="009C2DE3"/>
    <w:rsid w:val="009C6B0E"/>
    <w:rsid w:val="009C6C01"/>
    <w:rsid w:val="009D3C45"/>
    <w:rsid w:val="009D53BA"/>
    <w:rsid w:val="009D5945"/>
    <w:rsid w:val="009D7001"/>
    <w:rsid w:val="009D747B"/>
    <w:rsid w:val="009E141E"/>
    <w:rsid w:val="009E43E6"/>
    <w:rsid w:val="009E4CAD"/>
    <w:rsid w:val="009E4E9F"/>
    <w:rsid w:val="009E5C7C"/>
    <w:rsid w:val="009E752A"/>
    <w:rsid w:val="00A01B4B"/>
    <w:rsid w:val="00A03652"/>
    <w:rsid w:val="00A06912"/>
    <w:rsid w:val="00A06C49"/>
    <w:rsid w:val="00A103FE"/>
    <w:rsid w:val="00A12453"/>
    <w:rsid w:val="00A148CD"/>
    <w:rsid w:val="00A20400"/>
    <w:rsid w:val="00A20803"/>
    <w:rsid w:val="00A27AAC"/>
    <w:rsid w:val="00A312AB"/>
    <w:rsid w:val="00A31E5D"/>
    <w:rsid w:val="00A32179"/>
    <w:rsid w:val="00A32718"/>
    <w:rsid w:val="00A34E1B"/>
    <w:rsid w:val="00A35093"/>
    <w:rsid w:val="00A415C0"/>
    <w:rsid w:val="00A42E48"/>
    <w:rsid w:val="00A451FB"/>
    <w:rsid w:val="00A45829"/>
    <w:rsid w:val="00A53D6A"/>
    <w:rsid w:val="00A56987"/>
    <w:rsid w:val="00A60ACC"/>
    <w:rsid w:val="00A622EE"/>
    <w:rsid w:val="00A64A1E"/>
    <w:rsid w:val="00A654BC"/>
    <w:rsid w:val="00A6573A"/>
    <w:rsid w:val="00A701CB"/>
    <w:rsid w:val="00A70671"/>
    <w:rsid w:val="00A73839"/>
    <w:rsid w:val="00A754A7"/>
    <w:rsid w:val="00A7555D"/>
    <w:rsid w:val="00A77D04"/>
    <w:rsid w:val="00A85E60"/>
    <w:rsid w:val="00A87609"/>
    <w:rsid w:val="00A91B04"/>
    <w:rsid w:val="00A92057"/>
    <w:rsid w:val="00A93814"/>
    <w:rsid w:val="00A96201"/>
    <w:rsid w:val="00A96EDA"/>
    <w:rsid w:val="00AA04D1"/>
    <w:rsid w:val="00AA6706"/>
    <w:rsid w:val="00AB150D"/>
    <w:rsid w:val="00AB24AD"/>
    <w:rsid w:val="00AB33E8"/>
    <w:rsid w:val="00AB3DE8"/>
    <w:rsid w:val="00AB7A53"/>
    <w:rsid w:val="00AC08C6"/>
    <w:rsid w:val="00AC1D22"/>
    <w:rsid w:val="00AC4E58"/>
    <w:rsid w:val="00AC6C3B"/>
    <w:rsid w:val="00AD0155"/>
    <w:rsid w:val="00AD15E4"/>
    <w:rsid w:val="00AD217C"/>
    <w:rsid w:val="00AD25C4"/>
    <w:rsid w:val="00AD2E10"/>
    <w:rsid w:val="00AD348A"/>
    <w:rsid w:val="00AD6A5B"/>
    <w:rsid w:val="00AD6D79"/>
    <w:rsid w:val="00AD6DE5"/>
    <w:rsid w:val="00AE0402"/>
    <w:rsid w:val="00AE107F"/>
    <w:rsid w:val="00AE1765"/>
    <w:rsid w:val="00AE1949"/>
    <w:rsid w:val="00AE323F"/>
    <w:rsid w:val="00AE35B5"/>
    <w:rsid w:val="00AE5EC6"/>
    <w:rsid w:val="00AF273A"/>
    <w:rsid w:val="00AF30D5"/>
    <w:rsid w:val="00AF40B0"/>
    <w:rsid w:val="00AF449C"/>
    <w:rsid w:val="00AF6980"/>
    <w:rsid w:val="00AF7E4D"/>
    <w:rsid w:val="00B004C4"/>
    <w:rsid w:val="00B046E9"/>
    <w:rsid w:val="00B0479B"/>
    <w:rsid w:val="00B04AD8"/>
    <w:rsid w:val="00B0663D"/>
    <w:rsid w:val="00B0699C"/>
    <w:rsid w:val="00B11BD3"/>
    <w:rsid w:val="00B12AC3"/>
    <w:rsid w:val="00B12CB8"/>
    <w:rsid w:val="00B13FC1"/>
    <w:rsid w:val="00B215F6"/>
    <w:rsid w:val="00B219AE"/>
    <w:rsid w:val="00B239AA"/>
    <w:rsid w:val="00B251F1"/>
    <w:rsid w:val="00B25C7A"/>
    <w:rsid w:val="00B30C39"/>
    <w:rsid w:val="00B3466D"/>
    <w:rsid w:val="00B348F8"/>
    <w:rsid w:val="00B36460"/>
    <w:rsid w:val="00B37433"/>
    <w:rsid w:val="00B4170D"/>
    <w:rsid w:val="00B4204E"/>
    <w:rsid w:val="00B45551"/>
    <w:rsid w:val="00B47A1E"/>
    <w:rsid w:val="00B506E8"/>
    <w:rsid w:val="00B5177F"/>
    <w:rsid w:val="00B526C8"/>
    <w:rsid w:val="00B52C30"/>
    <w:rsid w:val="00B52ED2"/>
    <w:rsid w:val="00B54721"/>
    <w:rsid w:val="00B56EE1"/>
    <w:rsid w:val="00B6638D"/>
    <w:rsid w:val="00B66852"/>
    <w:rsid w:val="00B668F3"/>
    <w:rsid w:val="00B67A03"/>
    <w:rsid w:val="00B76114"/>
    <w:rsid w:val="00B82184"/>
    <w:rsid w:val="00B837A3"/>
    <w:rsid w:val="00B8481C"/>
    <w:rsid w:val="00B879F8"/>
    <w:rsid w:val="00B932F6"/>
    <w:rsid w:val="00B9650D"/>
    <w:rsid w:val="00B9750C"/>
    <w:rsid w:val="00BA1D23"/>
    <w:rsid w:val="00BB33D0"/>
    <w:rsid w:val="00BB3CCB"/>
    <w:rsid w:val="00BB6E83"/>
    <w:rsid w:val="00BC10C3"/>
    <w:rsid w:val="00BC1E54"/>
    <w:rsid w:val="00BC3828"/>
    <w:rsid w:val="00BC3C86"/>
    <w:rsid w:val="00BC4DED"/>
    <w:rsid w:val="00BD4B84"/>
    <w:rsid w:val="00BD4FAB"/>
    <w:rsid w:val="00BD737C"/>
    <w:rsid w:val="00BE2CF9"/>
    <w:rsid w:val="00BE2FD9"/>
    <w:rsid w:val="00BE47F2"/>
    <w:rsid w:val="00BE4E2D"/>
    <w:rsid w:val="00BF0EF1"/>
    <w:rsid w:val="00BF5CE4"/>
    <w:rsid w:val="00C0104B"/>
    <w:rsid w:val="00C055DC"/>
    <w:rsid w:val="00C0598B"/>
    <w:rsid w:val="00C07BBD"/>
    <w:rsid w:val="00C117B8"/>
    <w:rsid w:val="00C12C40"/>
    <w:rsid w:val="00C13A8E"/>
    <w:rsid w:val="00C15C5B"/>
    <w:rsid w:val="00C15F19"/>
    <w:rsid w:val="00C312FD"/>
    <w:rsid w:val="00C321E9"/>
    <w:rsid w:val="00C32BBF"/>
    <w:rsid w:val="00C334E7"/>
    <w:rsid w:val="00C34520"/>
    <w:rsid w:val="00C345AC"/>
    <w:rsid w:val="00C359C0"/>
    <w:rsid w:val="00C45968"/>
    <w:rsid w:val="00C45B92"/>
    <w:rsid w:val="00C4777E"/>
    <w:rsid w:val="00C50277"/>
    <w:rsid w:val="00C517BE"/>
    <w:rsid w:val="00C5249B"/>
    <w:rsid w:val="00C52F48"/>
    <w:rsid w:val="00C5573B"/>
    <w:rsid w:val="00C579ED"/>
    <w:rsid w:val="00C63AEA"/>
    <w:rsid w:val="00C640EC"/>
    <w:rsid w:val="00C64962"/>
    <w:rsid w:val="00C65997"/>
    <w:rsid w:val="00C70B7B"/>
    <w:rsid w:val="00C722A7"/>
    <w:rsid w:val="00C727E5"/>
    <w:rsid w:val="00C73C87"/>
    <w:rsid w:val="00C758B6"/>
    <w:rsid w:val="00C766F0"/>
    <w:rsid w:val="00C76C6A"/>
    <w:rsid w:val="00C76C6E"/>
    <w:rsid w:val="00C774E9"/>
    <w:rsid w:val="00C77E79"/>
    <w:rsid w:val="00C86314"/>
    <w:rsid w:val="00C87732"/>
    <w:rsid w:val="00C91A22"/>
    <w:rsid w:val="00C92895"/>
    <w:rsid w:val="00C94097"/>
    <w:rsid w:val="00C943A5"/>
    <w:rsid w:val="00C94668"/>
    <w:rsid w:val="00C96D5A"/>
    <w:rsid w:val="00C96DA4"/>
    <w:rsid w:val="00C97099"/>
    <w:rsid w:val="00CA107A"/>
    <w:rsid w:val="00CA1E14"/>
    <w:rsid w:val="00CA57D7"/>
    <w:rsid w:val="00CA6A04"/>
    <w:rsid w:val="00CA7719"/>
    <w:rsid w:val="00CB49C8"/>
    <w:rsid w:val="00CC3A43"/>
    <w:rsid w:val="00CC4910"/>
    <w:rsid w:val="00CC6B32"/>
    <w:rsid w:val="00CC6D6B"/>
    <w:rsid w:val="00CD353A"/>
    <w:rsid w:val="00CD38B0"/>
    <w:rsid w:val="00CD3E55"/>
    <w:rsid w:val="00CD55DA"/>
    <w:rsid w:val="00CD7407"/>
    <w:rsid w:val="00CE0E7F"/>
    <w:rsid w:val="00CE1CF3"/>
    <w:rsid w:val="00CE7B48"/>
    <w:rsid w:val="00CF077D"/>
    <w:rsid w:val="00CF37A1"/>
    <w:rsid w:val="00CF3F3F"/>
    <w:rsid w:val="00CF4B19"/>
    <w:rsid w:val="00CF55D2"/>
    <w:rsid w:val="00CF5C0A"/>
    <w:rsid w:val="00D00D12"/>
    <w:rsid w:val="00D0248E"/>
    <w:rsid w:val="00D03787"/>
    <w:rsid w:val="00D1013B"/>
    <w:rsid w:val="00D1132F"/>
    <w:rsid w:val="00D11641"/>
    <w:rsid w:val="00D1212F"/>
    <w:rsid w:val="00D16CCA"/>
    <w:rsid w:val="00D1729B"/>
    <w:rsid w:val="00D235FB"/>
    <w:rsid w:val="00D23A06"/>
    <w:rsid w:val="00D23E06"/>
    <w:rsid w:val="00D24461"/>
    <w:rsid w:val="00D27133"/>
    <w:rsid w:val="00D27642"/>
    <w:rsid w:val="00D300A3"/>
    <w:rsid w:val="00D32636"/>
    <w:rsid w:val="00D369F9"/>
    <w:rsid w:val="00D371D4"/>
    <w:rsid w:val="00D3761E"/>
    <w:rsid w:val="00D40DC3"/>
    <w:rsid w:val="00D43AD3"/>
    <w:rsid w:val="00D43D07"/>
    <w:rsid w:val="00D50474"/>
    <w:rsid w:val="00D565C4"/>
    <w:rsid w:val="00D5739E"/>
    <w:rsid w:val="00D57C66"/>
    <w:rsid w:val="00D60153"/>
    <w:rsid w:val="00D63B79"/>
    <w:rsid w:val="00D64EEB"/>
    <w:rsid w:val="00D657C3"/>
    <w:rsid w:val="00D662C0"/>
    <w:rsid w:val="00D668C5"/>
    <w:rsid w:val="00D7624B"/>
    <w:rsid w:val="00D83AB0"/>
    <w:rsid w:val="00D84EA8"/>
    <w:rsid w:val="00D8598D"/>
    <w:rsid w:val="00D91EEE"/>
    <w:rsid w:val="00D92E37"/>
    <w:rsid w:val="00D93BA6"/>
    <w:rsid w:val="00D94834"/>
    <w:rsid w:val="00D94FA2"/>
    <w:rsid w:val="00D965BD"/>
    <w:rsid w:val="00D96E64"/>
    <w:rsid w:val="00DA40BB"/>
    <w:rsid w:val="00DA5E54"/>
    <w:rsid w:val="00DA608D"/>
    <w:rsid w:val="00DB11B0"/>
    <w:rsid w:val="00DB292F"/>
    <w:rsid w:val="00DB3362"/>
    <w:rsid w:val="00DB37E8"/>
    <w:rsid w:val="00DB6624"/>
    <w:rsid w:val="00DC17CA"/>
    <w:rsid w:val="00DC2D0F"/>
    <w:rsid w:val="00DC3314"/>
    <w:rsid w:val="00DC370A"/>
    <w:rsid w:val="00DD0EF2"/>
    <w:rsid w:val="00DD378E"/>
    <w:rsid w:val="00DD5BB8"/>
    <w:rsid w:val="00DE0AD9"/>
    <w:rsid w:val="00DE52B4"/>
    <w:rsid w:val="00DE6A10"/>
    <w:rsid w:val="00DF00E5"/>
    <w:rsid w:val="00DF108C"/>
    <w:rsid w:val="00DF4749"/>
    <w:rsid w:val="00E00828"/>
    <w:rsid w:val="00E01823"/>
    <w:rsid w:val="00E035B6"/>
    <w:rsid w:val="00E04656"/>
    <w:rsid w:val="00E05F2A"/>
    <w:rsid w:val="00E066DF"/>
    <w:rsid w:val="00E10940"/>
    <w:rsid w:val="00E131AD"/>
    <w:rsid w:val="00E15207"/>
    <w:rsid w:val="00E213FF"/>
    <w:rsid w:val="00E240EC"/>
    <w:rsid w:val="00E27A6B"/>
    <w:rsid w:val="00E31B24"/>
    <w:rsid w:val="00E40074"/>
    <w:rsid w:val="00E4124A"/>
    <w:rsid w:val="00E415E6"/>
    <w:rsid w:val="00E41BD1"/>
    <w:rsid w:val="00E45894"/>
    <w:rsid w:val="00E45BA0"/>
    <w:rsid w:val="00E47B00"/>
    <w:rsid w:val="00E51356"/>
    <w:rsid w:val="00E557C2"/>
    <w:rsid w:val="00E55B6C"/>
    <w:rsid w:val="00E57A7E"/>
    <w:rsid w:val="00E60117"/>
    <w:rsid w:val="00E6056F"/>
    <w:rsid w:val="00E72CED"/>
    <w:rsid w:val="00E73D9C"/>
    <w:rsid w:val="00E75C5D"/>
    <w:rsid w:val="00E76A60"/>
    <w:rsid w:val="00E8183A"/>
    <w:rsid w:val="00E831BE"/>
    <w:rsid w:val="00E83897"/>
    <w:rsid w:val="00E83E10"/>
    <w:rsid w:val="00E85501"/>
    <w:rsid w:val="00E86FD8"/>
    <w:rsid w:val="00E871CB"/>
    <w:rsid w:val="00E877C2"/>
    <w:rsid w:val="00E90785"/>
    <w:rsid w:val="00E913FD"/>
    <w:rsid w:val="00E9623D"/>
    <w:rsid w:val="00E97090"/>
    <w:rsid w:val="00EA2240"/>
    <w:rsid w:val="00EA3848"/>
    <w:rsid w:val="00EA56C9"/>
    <w:rsid w:val="00EB3563"/>
    <w:rsid w:val="00EB3F5E"/>
    <w:rsid w:val="00EB55DB"/>
    <w:rsid w:val="00EB60BE"/>
    <w:rsid w:val="00EB77C8"/>
    <w:rsid w:val="00EC50C6"/>
    <w:rsid w:val="00ED113F"/>
    <w:rsid w:val="00ED3DE5"/>
    <w:rsid w:val="00ED5FFF"/>
    <w:rsid w:val="00EE2C5C"/>
    <w:rsid w:val="00EE2FC7"/>
    <w:rsid w:val="00EE380E"/>
    <w:rsid w:val="00EE3A3D"/>
    <w:rsid w:val="00EE68EE"/>
    <w:rsid w:val="00EF3A5E"/>
    <w:rsid w:val="00EF7CCD"/>
    <w:rsid w:val="00F006CD"/>
    <w:rsid w:val="00F00F76"/>
    <w:rsid w:val="00F04AAA"/>
    <w:rsid w:val="00F11FC4"/>
    <w:rsid w:val="00F1495A"/>
    <w:rsid w:val="00F14C09"/>
    <w:rsid w:val="00F1634B"/>
    <w:rsid w:val="00F2275C"/>
    <w:rsid w:val="00F240AF"/>
    <w:rsid w:val="00F251D2"/>
    <w:rsid w:val="00F32C63"/>
    <w:rsid w:val="00F33500"/>
    <w:rsid w:val="00F33704"/>
    <w:rsid w:val="00F36471"/>
    <w:rsid w:val="00F36BB8"/>
    <w:rsid w:val="00F408F2"/>
    <w:rsid w:val="00F4776C"/>
    <w:rsid w:val="00F51631"/>
    <w:rsid w:val="00F5497C"/>
    <w:rsid w:val="00F56E6C"/>
    <w:rsid w:val="00F601EB"/>
    <w:rsid w:val="00F60A29"/>
    <w:rsid w:val="00F611E3"/>
    <w:rsid w:val="00F6332B"/>
    <w:rsid w:val="00F64C2C"/>
    <w:rsid w:val="00F67079"/>
    <w:rsid w:val="00F700DB"/>
    <w:rsid w:val="00F72EEA"/>
    <w:rsid w:val="00F7322B"/>
    <w:rsid w:val="00F825DB"/>
    <w:rsid w:val="00F925DE"/>
    <w:rsid w:val="00F9524C"/>
    <w:rsid w:val="00F95B10"/>
    <w:rsid w:val="00F97AF3"/>
    <w:rsid w:val="00FA0385"/>
    <w:rsid w:val="00FA2C8F"/>
    <w:rsid w:val="00FB3A38"/>
    <w:rsid w:val="00FB478D"/>
    <w:rsid w:val="00FB571A"/>
    <w:rsid w:val="00FB64D0"/>
    <w:rsid w:val="00FB78FE"/>
    <w:rsid w:val="00FB7D95"/>
    <w:rsid w:val="00FC02FF"/>
    <w:rsid w:val="00FC62E3"/>
    <w:rsid w:val="00FC6D26"/>
    <w:rsid w:val="00FD3BF6"/>
    <w:rsid w:val="00FE2547"/>
    <w:rsid w:val="00FE3DF8"/>
    <w:rsid w:val="00FE6598"/>
    <w:rsid w:val="00FF20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34DDE-B555-4F8E-9C5F-DB0C8A01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M.</dc:creator>
  <cp:keywords/>
  <dc:description/>
  <cp:lastModifiedBy>Kumar M.</cp:lastModifiedBy>
  <cp:revision>2</cp:revision>
  <dcterms:created xsi:type="dcterms:W3CDTF">2015-09-19T06:34:00Z</dcterms:created>
  <dcterms:modified xsi:type="dcterms:W3CDTF">2015-09-19T06:34:00Z</dcterms:modified>
</cp:coreProperties>
</file>