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21" w:rsidRPr="00BD79D9" w:rsidRDefault="00BD79D9" w:rsidP="00952F21">
      <w:pPr>
        <w:pStyle w:val="Heading1"/>
      </w:pPr>
      <w:r>
        <w:t xml:space="preserve">Supplemental </w:t>
      </w:r>
      <w:r w:rsidR="00952F21" w:rsidRPr="00BD79D9">
        <w:t>File S3. Description of sensitivity analysis looking at potential gestational age measurement error.</w:t>
      </w:r>
    </w:p>
    <w:p w:rsidR="00952F21" w:rsidRDefault="00952F21" w:rsidP="00952F21">
      <w:pPr>
        <w:jc w:val="both"/>
      </w:pPr>
      <w:r>
        <w:t xml:space="preserve">We carried out a sensitivity analysis to look into the effect of potential exposure misclassification by assessing the impact of the measurement error in gestational age assessment. This analysis restricted </w:t>
      </w:r>
      <w:r w:rsidRPr="005F7082">
        <w:t>ACT exposure</w:t>
      </w:r>
      <w:r>
        <w:t>s</w:t>
      </w:r>
      <w:r w:rsidRPr="005F7082">
        <w:t xml:space="preserve"> </w:t>
      </w:r>
      <w:r>
        <w:t xml:space="preserve">to those </w:t>
      </w:r>
      <w:r w:rsidRPr="005F7082">
        <w:t xml:space="preserve">within </w:t>
      </w:r>
      <w:r w:rsidRPr="00457B7E">
        <w:t>estimated gestational age confidence margin</w:t>
      </w:r>
      <w:r>
        <w:t>s</w:t>
      </w:r>
      <w:r w:rsidRPr="00CA36E4">
        <w:rPr>
          <w:color w:val="000000" w:themeColor="text1"/>
        </w:rPr>
        <w:t xml:space="preserve"> </w:t>
      </w:r>
      <w:r>
        <w:rPr>
          <w:color w:val="000000" w:themeColor="text1"/>
        </w:rPr>
        <w:t>(excluding</w:t>
      </w:r>
      <w:r w:rsidRPr="00FC2F59">
        <w:rPr>
          <w:color w:val="000000" w:themeColor="text1"/>
        </w:rPr>
        <w:t xml:space="preserve"> women whose exposure fell within the pot</w:t>
      </w:r>
      <w:r w:rsidRPr="00FC2F59">
        <w:t>ential error margins for gestational age measurement</w:t>
      </w:r>
      <w:r>
        <w:t xml:space="preserve">). </w:t>
      </w:r>
      <w:r w:rsidRPr="005F7082">
        <w:t>That is, to address the uncertainty related to the assessment of gestational age, we excluded pregnancies with exposure</w:t>
      </w:r>
      <w:r>
        <w:t>s</w:t>
      </w:r>
      <w:r w:rsidRPr="005F7082">
        <w:t xml:space="preserve"> that could have </w:t>
      </w:r>
      <w:r>
        <w:t>occurred</w:t>
      </w:r>
      <w:r w:rsidRPr="005F7082">
        <w:t xml:space="preserve"> before conception or in the 2</w:t>
      </w:r>
      <w:r w:rsidRPr="00CF55C3">
        <w:rPr>
          <w:vertAlign w:val="superscript"/>
        </w:rPr>
        <w:t>nd</w:t>
      </w:r>
      <w:r w:rsidRPr="005F7082">
        <w:t xml:space="preserve"> trimester due to possible error</w:t>
      </w:r>
      <w:r>
        <w:t xml:space="preserve"> in gestational age assessment. F</w:t>
      </w:r>
      <w:r w:rsidRPr="00457B7E">
        <w:t xml:space="preserve">or example: an ACT exposure at 13 weeks estimated using the Ballard Score method has an estimated error margin of 2 weeks therefore the true gestational age </w:t>
      </w:r>
      <w:r w:rsidRPr="00AC30CB">
        <w:t>probably lies between 11 and 15 weeks. Since the upper margin for this exposure would fall outside the 1</w:t>
      </w:r>
      <w:r w:rsidRPr="00FC2F59">
        <w:rPr>
          <w:vertAlign w:val="superscript"/>
        </w:rPr>
        <w:t>st</w:t>
      </w:r>
      <w:r>
        <w:t xml:space="preserve"> </w:t>
      </w:r>
      <w:r w:rsidRPr="00AC30CB">
        <w:t>trimester, such cases were e</w:t>
      </w:r>
      <w:r>
        <w:t>xcluded from the exposure group</w:t>
      </w:r>
      <w:r w:rsidRPr="00AC30CB">
        <w:t>.</w:t>
      </w:r>
      <w:r>
        <w:t xml:space="preserve"> Table S3a depicts the accuracy of each gestational age assessment method used and the corresponding expected error margin. The methods are listed in order of decreasing accuracy. In addition if the LMP agreed within 10 days of ultrasound, fundal height or Ballard estimates the error margin was reduced to +/- 10 days.</w:t>
      </w:r>
      <w:r w:rsidRPr="005F7082">
        <w:t xml:space="preserve"> </w:t>
      </w:r>
      <w:r>
        <w:t>Although the numbers of exposed and events were much lower and limited interpretation of this sensitivity analysis, the effect estimates were lower than effect estimates including all exposure anytime in the 1</w:t>
      </w:r>
      <w:r w:rsidRPr="00BE2320">
        <w:rPr>
          <w:vertAlign w:val="superscript"/>
        </w:rPr>
        <w:t>st</w:t>
      </w:r>
      <w:r>
        <w:t xml:space="preserve"> trimester or in the artemisinin embryo-sensitive period (Table S3b). </w:t>
      </w: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31"/>
      </w:tblGrid>
      <w:tr w:rsidR="00952F21" w:rsidRPr="00952F21" w:rsidTr="00952F21">
        <w:trPr>
          <w:trHeight w:val="247"/>
        </w:trPr>
        <w:tc>
          <w:tcPr>
            <w:tcW w:w="9513" w:type="dxa"/>
            <w:gridSpan w:val="2"/>
          </w:tcPr>
          <w:p w:rsidR="00952F21" w:rsidRPr="00952F21" w:rsidRDefault="00952F21" w:rsidP="00952F21">
            <w:pPr>
              <w:spacing w:after="0" w:line="240" w:lineRule="auto"/>
              <w:rPr>
                <w:rFonts w:eastAsia="Times New Roman" w:cs="Times New Roman"/>
                <w:b/>
                <w:color w:val="000000"/>
                <w:sz w:val="20"/>
                <w:szCs w:val="20"/>
              </w:rPr>
            </w:pPr>
            <w:r w:rsidRPr="00952F21">
              <w:rPr>
                <w:rFonts w:eastAsia="Times New Roman" w:cs="Times New Roman"/>
                <w:b/>
                <w:color w:val="000000"/>
                <w:sz w:val="20"/>
                <w:szCs w:val="20"/>
              </w:rPr>
              <w:t>Table S3a. Accuracy correction for the gestational age assessment methods listed in order of decreasing accuracy.</w:t>
            </w:r>
          </w:p>
        </w:tc>
      </w:tr>
      <w:tr w:rsidR="00952F21" w:rsidRPr="00952F21" w:rsidTr="00952F21">
        <w:trPr>
          <w:trHeight w:val="247"/>
        </w:trPr>
        <w:tc>
          <w:tcPr>
            <w:tcW w:w="5182" w:type="dxa"/>
          </w:tcPr>
          <w:p w:rsidR="00952F21" w:rsidRPr="00952F21" w:rsidRDefault="00952F21" w:rsidP="00203AF1">
            <w:pPr>
              <w:spacing w:afterLines="30" w:after="72" w:line="240" w:lineRule="auto"/>
              <w:contextualSpacing/>
              <w:jc w:val="both"/>
              <w:rPr>
                <w:rFonts w:asciiTheme="majorHAnsi" w:eastAsiaTheme="majorEastAsia" w:hAnsiTheme="majorHAnsi" w:cs="Arial"/>
                <w:b/>
                <w:bCs/>
                <w:color w:val="2E74B5" w:themeColor="accent1" w:themeShade="BF"/>
                <w:sz w:val="20"/>
                <w:szCs w:val="20"/>
              </w:rPr>
            </w:pPr>
            <w:r w:rsidRPr="00952F21">
              <w:rPr>
                <w:rFonts w:cs="Arial"/>
                <w:b/>
                <w:sz w:val="20"/>
                <w:szCs w:val="20"/>
              </w:rPr>
              <w:t>Method of Gestational Age Assessment</w:t>
            </w:r>
          </w:p>
        </w:tc>
        <w:tc>
          <w:tcPr>
            <w:tcW w:w="4331" w:type="dxa"/>
          </w:tcPr>
          <w:p w:rsidR="00952F21" w:rsidRPr="00952F21" w:rsidRDefault="00952F21" w:rsidP="00203AF1">
            <w:pPr>
              <w:spacing w:afterLines="30" w:after="72" w:line="240" w:lineRule="auto"/>
              <w:contextualSpacing/>
              <w:rPr>
                <w:rFonts w:asciiTheme="majorHAnsi" w:eastAsiaTheme="majorEastAsia" w:hAnsiTheme="majorHAnsi" w:cs="Arial"/>
                <w:b/>
                <w:bCs/>
                <w:color w:val="2E74B5" w:themeColor="accent1" w:themeShade="BF"/>
                <w:sz w:val="20"/>
                <w:szCs w:val="20"/>
                <w:vertAlign w:val="superscript"/>
              </w:rPr>
            </w:pPr>
            <w:r w:rsidRPr="00952F21">
              <w:rPr>
                <w:rFonts w:cs="Arial"/>
                <w:b/>
                <w:sz w:val="20"/>
                <w:szCs w:val="20"/>
              </w:rPr>
              <w:t>Accuracy Correction</w:t>
            </w:r>
          </w:p>
        </w:tc>
      </w:tr>
      <w:tr w:rsidR="00952F21" w:rsidRPr="00952F21" w:rsidTr="00952F21">
        <w:trPr>
          <w:trHeight w:val="266"/>
        </w:trPr>
        <w:tc>
          <w:tcPr>
            <w:tcW w:w="5182" w:type="dxa"/>
          </w:tcPr>
          <w:p w:rsidR="00952F21" w:rsidRPr="00952F21" w:rsidRDefault="00952F21" w:rsidP="00952F21">
            <w:pPr>
              <w:pStyle w:val="ListParagraph"/>
              <w:numPr>
                <w:ilvl w:val="0"/>
                <w:numId w:val="1"/>
              </w:numPr>
              <w:spacing w:afterLines="30" w:after="72" w:line="240" w:lineRule="auto"/>
              <w:ind w:left="318"/>
              <w:jc w:val="both"/>
              <w:rPr>
                <w:rFonts w:cs="Arial"/>
                <w:sz w:val="20"/>
                <w:szCs w:val="20"/>
              </w:rPr>
            </w:pPr>
            <w:r w:rsidRPr="00952F21">
              <w:rPr>
                <w:rFonts w:cs="Arial"/>
                <w:sz w:val="20"/>
                <w:szCs w:val="20"/>
              </w:rPr>
              <w:t>Ultrasound before 14 gestational weeks</w:t>
            </w:r>
          </w:p>
        </w:tc>
        <w:tc>
          <w:tcPr>
            <w:tcW w:w="4331" w:type="dxa"/>
          </w:tcPr>
          <w:p w:rsidR="00952F21" w:rsidRPr="00952F21" w:rsidRDefault="00952F21" w:rsidP="00203AF1">
            <w:pPr>
              <w:spacing w:afterLines="30" w:after="72" w:line="240" w:lineRule="auto"/>
              <w:contextualSpacing/>
              <w:jc w:val="center"/>
              <w:rPr>
                <w:rFonts w:asciiTheme="majorHAnsi" w:eastAsiaTheme="majorEastAsia" w:hAnsiTheme="majorHAnsi" w:cs="Arial"/>
                <w:b/>
                <w:bCs/>
                <w:color w:val="2E74B5" w:themeColor="accent1" w:themeShade="BF"/>
                <w:sz w:val="20"/>
                <w:szCs w:val="20"/>
              </w:rPr>
            </w:pPr>
            <w:r w:rsidRPr="00952F21">
              <w:rPr>
                <w:rFonts w:cs="Arial"/>
                <w:sz w:val="20"/>
                <w:szCs w:val="20"/>
              </w:rPr>
              <w:t xml:space="preserve">± 5 </w:t>
            </w:r>
            <w:proofErr w:type="spellStart"/>
            <w:r w:rsidRPr="00952F21">
              <w:rPr>
                <w:rFonts w:cs="Arial"/>
                <w:sz w:val="20"/>
                <w:szCs w:val="20"/>
              </w:rPr>
              <w:t>days</w:t>
            </w:r>
            <w:r w:rsidRPr="00952F21">
              <w:rPr>
                <w:rFonts w:cs="Arial"/>
                <w:sz w:val="20"/>
                <w:szCs w:val="20"/>
                <w:vertAlign w:val="superscript"/>
              </w:rPr>
              <w:t>a</w:t>
            </w:r>
            <w:proofErr w:type="spellEnd"/>
          </w:p>
        </w:tc>
      </w:tr>
      <w:tr w:rsidR="00952F21" w:rsidRPr="00952F21" w:rsidTr="00952F21">
        <w:trPr>
          <w:trHeight w:val="246"/>
        </w:trPr>
        <w:tc>
          <w:tcPr>
            <w:tcW w:w="5182" w:type="dxa"/>
          </w:tcPr>
          <w:p w:rsidR="00952F21" w:rsidRPr="00952F21" w:rsidRDefault="00952F21" w:rsidP="00952F21">
            <w:pPr>
              <w:pStyle w:val="ListParagraph"/>
              <w:numPr>
                <w:ilvl w:val="0"/>
                <w:numId w:val="1"/>
              </w:numPr>
              <w:spacing w:afterLines="30" w:after="72" w:line="240" w:lineRule="auto"/>
              <w:ind w:left="318"/>
              <w:jc w:val="both"/>
              <w:rPr>
                <w:rFonts w:cs="Arial"/>
                <w:sz w:val="20"/>
                <w:szCs w:val="20"/>
              </w:rPr>
            </w:pPr>
            <w:r w:rsidRPr="00952F21">
              <w:rPr>
                <w:rFonts w:cs="Arial"/>
                <w:sz w:val="20"/>
                <w:szCs w:val="20"/>
              </w:rPr>
              <w:t>Ultrasound between 14 and 24 gestational weeks</w:t>
            </w:r>
          </w:p>
        </w:tc>
        <w:tc>
          <w:tcPr>
            <w:tcW w:w="4331" w:type="dxa"/>
          </w:tcPr>
          <w:p w:rsidR="00952F21" w:rsidRPr="00952F21" w:rsidRDefault="00952F21" w:rsidP="00203AF1">
            <w:pPr>
              <w:spacing w:afterLines="30" w:after="72" w:line="240" w:lineRule="auto"/>
              <w:contextualSpacing/>
              <w:jc w:val="center"/>
              <w:rPr>
                <w:rFonts w:cs="Arial"/>
                <w:sz w:val="20"/>
                <w:szCs w:val="20"/>
              </w:rPr>
            </w:pPr>
            <w:r w:rsidRPr="00952F21">
              <w:rPr>
                <w:rFonts w:cs="Arial"/>
                <w:sz w:val="20"/>
                <w:szCs w:val="20"/>
              </w:rPr>
              <w:t xml:space="preserve">± 2 </w:t>
            </w:r>
            <w:proofErr w:type="spellStart"/>
            <w:r w:rsidRPr="00952F21">
              <w:rPr>
                <w:rFonts w:cs="Arial"/>
                <w:sz w:val="20"/>
                <w:szCs w:val="20"/>
              </w:rPr>
              <w:t>weeks</w:t>
            </w:r>
            <w:r w:rsidRPr="00952F21">
              <w:rPr>
                <w:rFonts w:cs="Arial"/>
                <w:sz w:val="20"/>
                <w:szCs w:val="20"/>
                <w:vertAlign w:val="superscript"/>
              </w:rPr>
              <w:t>a</w:t>
            </w:r>
            <w:proofErr w:type="spellEnd"/>
          </w:p>
        </w:tc>
      </w:tr>
      <w:tr w:rsidR="00952F21" w:rsidRPr="00952F21" w:rsidTr="00952F21">
        <w:trPr>
          <w:trHeight w:val="204"/>
        </w:trPr>
        <w:tc>
          <w:tcPr>
            <w:tcW w:w="5182" w:type="dxa"/>
          </w:tcPr>
          <w:p w:rsidR="00952F21" w:rsidRPr="00952F21" w:rsidRDefault="00952F21" w:rsidP="00952F21">
            <w:pPr>
              <w:pStyle w:val="ListParagraph"/>
              <w:numPr>
                <w:ilvl w:val="0"/>
                <w:numId w:val="1"/>
              </w:numPr>
              <w:spacing w:afterLines="30" w:after="72" w:line="240" w:lineRule="auto"/>
              <w:ind w:left="318"/>
              <w:jc w:val="both"/>
              <w:rPr>
                <w:rFonts w:cs="Arial"/>
                <w:sz w:val="20"/>
                <w:szCs w:val="20"/>
              </w:rPr>
            </w:pPr>
            <w:r w:rsidRPr="00952F21">
              <w:rPr>
                <w:rFonts w:cs="Arial"/>
                <w:sz w:val="20"/>
                <w:szCs w:val="20"/>
              </w:rPr>
              <w:t>Ballard score within 7 days of birth</w:t>
            </w:r>
          </w:p>
        </w:tc>
        <w:tc>
          <w:tcPr>
            <w:tcW w:w="4331" w:type="dxa"/>
          </w:tcPr>
          <w:p w:rsidR="00952F21" w:rsidRPr="00952F21" w:rsidRDefault="00952F21" w:rsidP="00203AF1">
            <w:pPr>
              <w:spacing w:afterLines="30" w:after="72" w:line="240" w:lineRule="auto"/>
              <w:contextualSpacing/>
              <w:jc w:val="center"/>
              <w:rPr>
                <w:rFonts w:cs="Arial"/>
                <w:sz w:val="20"/>
                <w:szCs w:val="20"/>
              </w:rPr>
            </w:pPr>
            <w:r w:rsidRPr="00952F21">
              <w:rPr>
                <w:rFonts w:cs="Arial"/>
                <w:sz w:val="20"/>
                <w:szCs w:val="20"/>
              </w:rPr>
              <w:t xml:space="preserve">±2  </w:t>
            </w:r>
            <w:proofErr w:type="spellStart"/>
            <w:r w:rsidRPr="00952F21">
              <w:rPr>
                <w:rFonts w:cs="Arial"/>
                <w:sz w:val="20"/>
                <w:szCs w:val="20"/>
              </w:rPr>
              <w:t>week</w:t>
            </w:r>
            <w:r w:rsidRPr="00952F21">
              <w:rPr>
                <w:rFonts w:cs="Arial"/>
                <w:sz w:val="20"/>
                <w:szCs w:val="20"/>
                <w:vertAlign w:val="superscript"/>
              </w:rPr>
              <w:t>b</w:t>
            </w:r>
            <w:proofErr w:type="spellEnd"/>
          </w:p>
        </w:tc>
      </w:tr>
      <w:tr w:rsidR="00952F21" w:rsidRPr="00952F21" w:rsidTr="00952F21">
        <w:trPr>
          <w:trHeight w:val="218"/>
        </w:trPr>
        <w:tc>
          <w:tcPr>
            <w:tcW w:w="5182" w:type="dxa"/>
          </w:tcPr>
          <w:p w:rsidR="00952F21" w:rsidRPr="00952F21" w:rsidRDefault="00952F21" w:rsidP="00952F21">
            <w:pPr>
              <w:pStyle w:val="ListParagraph"/>
              <w:numPr>
                <w:ilvl w:val="0"/>
                <w:numId w:val="1"/>
              </w:numPr>
              <w:spacing w:afterLines="30" w:after="72" w:line="240" w:lineRule="auto"/>
              <w:ind w:left="318"/>
              <w:jc w:val="both"/>
              <w:rPr>
                <w:rFonts w:cs="Arial"/>
                <w:sz w:val="20"/>
                <w:szCs w:val="20"/>
              </w:rPr>
            </w:pPr>
            <w:r w:rsidRPr="00952F21">
              <w:rPr>
                <w:rFonts w:cs="Arial"/>
                <w:sz w:val="20"/>
                <w:szCs w:val="20"/>
              </w:rPr>
              <w:t>LMP/Self report GA at end of pregnancy</w:t>
            </w:r>
          </w:p>
        </w:tc>
        <w:tc>
          <w:tcPr>
            <w:tcW w:w="4331" w:type="dxa"/>
          </w:tcPr>
          <w:p w:rsidR="00952F21" w:rsidRPr="00952F21" w:rsidRDefault="00952F21" w:rsidP="00203AF1">
            <w:pPr>
              <w:spacing w:afterLines="30" w:after="72" w:line="240" w:lineRule="auto"/>
              <w:contextualSpacing/>
              <w:jc w:val="center"/>
              <w:rPr>
                <w:rFonts w:cs="Arial"/>
                <w:sz w:val="20"/>
                <w:szCs w:val="20"/>
              </w:rPr>
            </w:pPr>
            <w:r w:rsidRPr="00952F21">
              <w:rPr>
                <w:rFonts w:cs="Arial"/>
                <w:sz w:val="20"/>
                <w:szCs w:val="20"/>
              </w:rPr>
              <w:t>± 4 weeks</w:t>
            </w:r>
          </w:p>
        </w:tc>
      </w:tr>
      <w:tr w:rsidR="00952F21" w:rsidRPr="00952F21" w:rsidTr="00952F21">
        <w:trPr>
          <w:trHeight w:val="231"/>
        </w:trPr>
        <w:tc>
          <w:tcPr>
            <w:tcW w:w="5182" w:type="dxa"/>
          </w:tcPr>
          <w:p w:rsidR="00952F21" w:rsidRPr="00952F21" w:rsidRDefault="00952F21" w:rsidP="00952F21">
            <w:pPr>
              <w:pStyle w:val="ListParagraph"/>
              <w:numPr>
                <w:ilvl w:val="0"/>
                <w:numId w:val="1"/>
              </w:numPr>
              <w:spacing w:afterLines="30" w:after="72" w:line="240" w:lineRule="auto"/>
              <w:ind w:left="318"/>
              <w:jc w:val="both"/>
              <w:rPr>
                <w:rFonts w:cs="Arial"/>
                <w:sz w:val="20"/>
                <w:szCs w:val="20"/>
              </w:rPr>
            </w:pPr>
            <w:r w:rsidRPr="00952F21">
              <w:rPr>
                <w:rFonts w:cs="Arial"/>
                <w:sz w:val="20"/>
                <w:szCs w:val="20"/>
              </w:rPr>
              <w:t>Fundal Height</w:t>
            </w:r>
          </w:p>
        </w:tc>
        <w:tc>
          <w:tcPr>
            <w:tcW w:w="4331" w:type="dxa"/>
          </w:tcPr>
          <w:p w:rsidR="00952F21" w:rsidRPr="00952F21" w:rsidRDefault="00952F21" w:rsidP="00203AF1">
            <w:pPr>
              <w:spacing w:afterLines="30" w:after="72" w:line="240" w:lineRule="auto"/>
              <w:contextualSpacing/>
              <w:jc w:val="center"/>
              <w:rPr>
                <w:rFonts w:cs="Arial"/>
                <w:sz w:val="20"/>
                <w:szCs w:val="20"/>
              </w:rPr>
            </w:pPr>
            <w:r w:rsidRPr="00952F21">
              <w:rPr>
                <w:rFonts w:cs="Arial"/>
                <w:sz w:val="20"/>
                <w:szCs w:val="20"/>
              </w:rPr>
              <w:t xml:space="preserve">± 6 weeks- </w:t>
            </w:r>
            <w:r w:rsidRPr="00952F21">
              <w:rPr>
                <w:sz w:val="20"/>
                <w:szCs w:val="20"/>
              </w:rPr>
              <w:t xml:space="preserve">with multiple measurements </w:t>
            </w:r>
            <w:r w:rsidRPr="00952F21">
              <w:rPr>
                <w:rFonts w:cs="Arial"/>
                <w:sz w:val="20"/>
                <w:szCs w:val="20"/>
                <w:vertAlign w:val="superscript"/>
              </w:rPr>
              <w:t>c</w:t>
            </w:r>
          </w:p>
        </w:tc>
      </w:tr>
    </w:tbl>
    <w:p w:rsidR="00952F21" w:rsidRPr="00BF23EC" w:rsidRDefault="00952F21" w:rsidP="00952F21">
      <w:pPr>
        <w:spacing w:after="0" w:line="240" w:lineRule="auto"/>
        <w:ind w:left="284" w:hanging="294"/>
        <w:jc w:val="both"/>
        <w:rPr>
          <w:rFonts w:ascii="Calibri" w:hAnsi="Calibri"/>
          <w:noProof/>
          <w:sz w:val="20"/>
          <w:szCs w:val="20"/>
        </w:rPr>
      </w:pPr>
      <w:bookmarkStart w:id="0" w:name="_ENREF_8"/>
      <w:r w:rsidRPr="007F6D73">
        <w:rPr>
          <w:rFonts w:ascii="Calibri" w:hAnsi="Calibri"/>
          <w:noProof/>
          <w:sz w:val="20"/>
          <w:szCs w:val="20"/>
          <w:vertAlign w:val="superscript"/>
        </w:rPr>
        <w:t>a</w:t>
      </w:r>
      <w:r w:rsidRPr="00BF23EC">
        <w:rPr>
          <w:rFonts w:ascii="Calibri" w:hAnsi="Calibri"/>
          <w:noProof/>
          <w:sz w:val="20"/>
          <w:szCs w:val="20"/>
        </w:rPr>
        <w:t>Seffah JD, Adanu RM (2009) Obstetric ultrasonography in low-income countries. Clin Obstet Gynecol 52: 250-255.</w:t>
      </w:r>
      <w:bookmarkEnd w:id="0"/>
    </w:p>
    <w:p w:rsidR="00952F21" w:rsidRPr="00BF23EC" w:rsidRDefault="00952F21" w:rsidP="00952F21">
      <w:pPr>
        <w:spacing w:after="0" w:line="240" w:lineRule="auto"/>
        <w:ind w:left="284" w:hanging="294"/>
        <w:jc w:val="both"/>
        <w:rPr>
          <w:rFonts w:ascii="Calibri" w:hAnsi="Calibri"/>
          <w:noProof/>
          <w:sz w:val="20"/>
          <w:szCs w:val="20"/>
        </w:rPr>
      </w:pPr>
      <w:bookmarkStart w:id="1" w:name="_ENREF_9"/>
      <w:r w:rsidRPr="007F6D73">
        <w:rPr>
          <w:rFonts w:ascii="Calibri" w:hAnsi="Calibri"/>
          <w:noProof/>
          <w:sz w:val="20"/>
          <w:szCs w:val="20"/>
          <w:vertAlign w:val="superscript"/>
        </w:rPr>
        <w:t>b</w:t>
      </w:r>
      <w:r w:rsidRPr="00BF23EC">
        <w:rPr>
          <w:rFonts w:ascii="Calibri" w:hAnsi="Calibri"/>
          <w:noProof/>
          <w:sz w:val="20"/>
          <w:szCs w:val="20"/>
        </w:rPr>
        <w:t>Sasidharan K, Dutta S, Narang A (2009) Validity of New Ballard Score until 7th day of postnatal life in moderately preterm neonates. Arch Dis Child Fetal Neonatal Ed 94: F39-44.</w:t>
      </w:r>
      <w:bookmarkEnd w:id="1"/>
    </w:p>
    <w:p w:rsidR="00952F21" w:rsidRPr="00BF23EC" w:rsidRDefault="00952F21" w:rsidP="00952F21">
      <w:pPr>
        <w:spacing w:after="0" w:line="240" w:lineRule="auto"/>
        <w:ind w:left="284" w:hanging="294"/>
        <w:jc w:val="both"/>
        <w:rPr>
          <w:rFonts w:ascii="Calibri" w:hAnsi="Calibri"/>
          <w:noProof/>
          <w:sz w:val="20"/>
          <w:szCs w:val="20"/>
        </w:rPr>
      </w:pPr>
      <w:bookmarkStart w:id="2" w:name="_ENREF_10"/>
      <w:r w:rsidRPr="007F6D73">
        <w:rPr>
          <w:rFonts w:ascii="Calibri" w:hAnsi="Calibri"/>
          <w:noProof/>
          <w:sz w:val="20"/>
          <w:szCs w:val="20"/>
          <w:vertAlign w:val="superscript"/>
        </w:rPr>
        <w:t>c</w:t>
      </w:r>
      <w:r w:rsidRPr="00BF23EC">
        <w:rPr>
          <w:rFonts w:ascii="Calibri" w:hAnsi="Calibri"/>
          <w:noProof/>
          <w:sz w:val="20"/>
          <w:szCs w:val="20"/>
        </w:rPr>
        <w:t>White LJ, Lee SJ, Stepniewska K, Simpson JA, Dwell SL, et al. (2012) Estimation of gestational age from fundal height: a solution for resource-poor settings. J R Soc Interface 9: 503-510.</w:t>
      </w:r>
      <w:bookmarkEnd w:id="2"/>
    </w:p>
    <w:p w:rsidR="00952F21" w:rsidRDefault="00952F21" w:rsidP="00952F21">
      <w:pPr>
        <w:jc w:val="both"/>
      </w:pPr>
    </w:p>
    <w:p w:rsidR="00952F21" w:rsidRDefault="00952F21" w:rsidP="00952F21">
      <w:pPr>
        <w:jc w:val="both"/>
      </w:pPr>
    </w:p>
    <w:p w:rsidR="00952F21" w:rsidRDefault="00952F21" w:rsidP="00952F21">
      <w:pPr>
        <w:jc w:val="both"/>
      </w:pPr>
    </w:p>
    <w:p w:rsidR="00952F21" w:rsidRDefault="00952F21" w:rsidP="00952F21">
      <w:pPr>
        <w:jc w:val="both"/>
      </w:pPr>
    </w:p>
    <w:p w:rsidR="00952F21" w:rsidRDefault="00952F21" w:rsidP="00952F21">
      <w:pPr>
        <w:jc w:val="both"/>
      </w:pPr>
    </w:p>
    <w:p w:rsidR="00952F21" w:rsidRDefault="00952F21" w:rsidP="00952F21">
      <w:pPr>
        <w:jc w:val="both"/>
      </w:pPr>
    </w:p>
    <w:p w:rsidR="00BD79D9" w:rsidRDefault="00BD79D9" w:rsidP="00952F21">
      <w:pPr>
        <w:jc w:val="both"/>
      </w:pPr>
    </w:p>
    <w:tbl>
      <w:tblPr>
        <w:tblW w:w="5524" w:type="pct"/>
        <w:tblLayout w:type="fixed"/>
        <w:tblLook w:val="04A0" w:firstRow="1" w:lastRow="0" w:firstColumn="1" w:lastColumn="0" w:noHBand="0" w:noVBand="1"/>
      </w:tblPr>
      <w:tblGrid>
        <w:gridCol w:w="1655"/>
        <w:gridCol w:w="1245"/>
        <w:gridCol w:w="1249"/>
        <w:gridCol w:w="1108"/>
        <w:gridCol w:w="1108"/>
        <w:gridCol w:w="1104"/>
        <w:gridCol w:w="616"/>
        <w:gridCol w:w="1219"/>
        <w:gridCol w:w="657"/>
      </w:tblGrid>
      <w:tr w:rsidR="00952F21" w:rsidRPr="00C94BFA" w:rsidTr="00BD79D9">
        <w:trPr>
          <w:trHeight w:val="428"/>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52F21" w:rsidRPr="007F6D73" w:rsidRDefault="00952F21" w:rsidP="00203AF1">
            <w:pPr>
              <w:spacing w:after="0" w:line="240" w:lineRule="auto"/>
              <w:rPr>
                <w:rFonts w:eastAsia="Times New Roman" w:cs="Times New Roman"/>
                <w:b/>
                <w:color w:val="000000"/>
                <w:sz w:val="18"/>
                <w:szCs w:val="18"/>
              </w:rPr>
            </w:pPr>
            <w:r w:rsidRPr="007F6D73">
              <w:rPr>
                <w:rFonts w:eastAsia="Times New Roman" w:cs="Times New Roman"/>
                <w:b/>
                <w:color w:val="000000"/>
                <w:sz w:val="18"/>
                <w:szCs w:val="18"/>
              </w:rPr>
              <w:lastRenderedPageBreak/>
              <w:t>Table S3</w:t>
            </w:r>
            <w:r>
              <w:rPr>
                <w:rFonts w:eastAsia="Times New Roman" w:cs="Times New Roman"/>
                <w:b/>
                <w:color w:val="000000"/>
                <w:sz w:val="18"/>
                <w:szCs w:val="18"/>
              </w:rPr>
              <w:t>b</w:t>
            </w:r>
            <w:r w:rsidRPr="007F6D73">
              <w:rPr>
                <w:rFonts w:eastAsia="Times New Roman" w:cs="Times New Roman"/>
                <w:b/>
                <w:color w:val="000000"/>
                <w:sz w:val="18"/>
                <w:szCs w:val="18"/>
              </w:rPr>
              <w:t>. Miscarriage rate, unadjusted and adjusted hazard rates for the association between miscarriage and ACT exposure categories restricted to gestational age confidence margin.</w:t>
            </w:r>
          </w:p>
        </w:tc>
      </w:tr>
      <w:tr w:rsidR="00952F21" w:rsidRPr="00C94BFA" w:rsidTr="00BD79D9">
        <w:trPr>
          <w:trHeight w:val="873"/>
        </w:trPr>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 xml:space="preserve">Antimalarial Exposure Categories </w:t>
            </w:r>
          </w:p>
        </w:tc>
        <w:tc>
          <w:tcPr>
            <w:tcW w:w="625" w:type="pct"/>
            <w:tcBorders>
              <w:top w:val="single" w:sz="4" w:space="0" w:color="auto"/>
              <w:left w:val="nil"/>
              <w:bottom w:val="single" w:sz="4" w:space="0" w:color="auto"/>
              <w:right w:val="single" w:sz="4" w:space="0" w:color="auto"/>
            </w:tcBorders>
            <w:shd w:val="clear" w:color="auto" w:fill="auto"/>
            <w:vAlign w:val="center"/>
            <w:hideMark/>
          </w:tcPr>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Exposed #Miscarriage/ #Overall</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Exposed Miscarriage rate per 1000 pregnancy-weeks (95%CI)</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Unexposed #Miscarriage/ #Overall</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Unexposed  Miscarriage rate per 1000 pregnancy-weeks (95%CI)</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Unadjusted Hazard Ratio (95%CI)</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P-value</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Adjusted Hazard Ratio (95%CI)</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P-value</w:t>
            </w:r>
          </w:p>
        </w:tc>
      </w:tr>
      <w:tr w:rsidR="00952F21" w:rsidRPr="00C94BFA" w:rsidTr="00BD79D9">
        <w:trPr>
          <w:trHeight w:val="174"/>
        </w:trPr>
        <w:tc>
          <w:tcPr>
            <w:tcW w:w="5000" w:type="pct"/>
            <w:gridSpan w:val="9"/>
            <w:tcBorders>
              <w:top w:val="nil"/>
              <w:left w:val="single" w:sz="4" w:space="0" w:color="auto"/>
              <w:bottom w:val="single" w:sz="4" w:space="0" w:color="auto"/>
              <w:right w:val="single" w:sz="4" w:space="0" w:color="auto"/>
            </w:tcBorders>
            <w:shd w:val="clear" w:color="auto" w:fill="auto"/>
            <w:noWrap/>
            <w:vAlign w:val="center"/>
            <w:hideMark/>
          </w:tcPr>
          <w:p w:rsidR="00952F21" w:rsidRPr="00BE2320" w:rsidRDefault="00952F21" w:rsidP="00203AF1">
            <w:pPr>
              <w:spacing w:after="0" w:line="240" w:lineRule="auto"/>
              <w:jc w:val="center"/>
              <w:rPr>
                <w:rFonts w:eastAsia="Times New Roman" w:cs="Times New Roman"/>
                <w:i/>
                <w:iCs/>
                <w:color w:val="000000"/>
                <w:sz w:val="18"/>
                <w:szCs w:val="18"/>
              </w:rPr>
            </w:pPr>
            <w:r w:rsidRPr="00BE2320">
              <w:rPr>
                <w:rFonts w:eastAsia="Times New Roman" w:cs="Times New Roman"/>
                <w:i/>
                <w:iCs/>
                <w:color w:val="000000"/>
                <w:sz w:val="18"/>
                <w:szCs w:val="18"/>
              </w:rPr>
              <w:t>ACT vs Unexposed to antimalarial</w:t>
            </w:r>
          </w:p>
        </w:tc>
      </w:tr>
      <w:tr w:rsidR="00952F21" w:rsidRPr="00C94BFA" w:rsidTr="00BD79D9">
        <w:trPr>
          <w:trHeight w:val="174"/>
        </w:trPr>
        <w:tc>
          <w:tcPr>
            <w:tcW w:w="831" w:type="pct"/>
            <w:tcBorders>
              <w:top w:val="nil"/>
              <w:left w:val="single" w:sz="4" w:space="0" w:color="auto"/>
              <w:bottom w:val="single" w:sz="4" w:space="0" w:color="auto"/>
              <w:right w:val="single" w:sz="4" w:space="0" w:color="auto"/>
            </w:tcBorders>
            <w:shd w:val="clear" w:color="auto" w:fill="auto"/>
            <w:noWrap/>
            <w:vAlign w:val="center"/>
            <w:hideMark/>
          </w:tcPr>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 xml:space="preserve">1st trimester (confirmed) </w:t>
            </w:r>
          </w:p>
        </w:tc>
        <w:tc>
          <w:tcPr>
            <w:tcW w:w="625" w:type="pct"/>
            <w:tcBorders>
              <w:top w:val="nil"/>
              <w:left w:val="nil"/>
              <w:bottom w:val="single" w:sz="4" w:space="0" w:color="auto"/>
              <w:right w:val="single" w:sz="4" w:space="0" w:color="auto"/>
            </w:tcBorders>
            <w:shd w:val="clear" w:color="auto" w:fill="auto"/>
            <w:noWrap/>
            <w:vAlign w:val="center"/>
            <w:hideMark/>
          </w:tcPr>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3/ 56</w:t>
            </w:r>
          </w:p>
        </w:tc>
        <w:tc>
          <w:tcPr>
            <w:tcW w:w="627" w:type="pct"/>
            <w:tcBorders>
              <w:top w:val="nil"/>
              <w:left w:val="nil"/>
              <w:bottom w:val="single" w:sz="4" w:space="0" w:color="auto"/>
              <w:right w:val="single" w:sz="4" w:space="0" w:color="auto"/>
            </w:tcBorders>
            <w:shd w:val="clear" w:color="auto" w:fill="auto"/>
            <w:noWrap/>
            <w:vAlign w:val="center"/>
            <w:hideMark/>
          </w:tcPr>
          <w:p w:rsidR="00952F21"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 xml:space="preserve">4.09 </w:t>
            </w:r>
          </w:p>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(1.31, 19)</w:t>
            </w:r>
          </w:p>
        </w:tc>
        <w:tc>
          <w:tcPr>
            <w:tcW w:w="556" w:type="pct"/>
            <w:tcBorders>
              <w:top w:val="nil"/>
              <w:left w:val="nil"/>
              <w:bottom w:val="single" w:sz="4" w:space="0" w:color="auto"/>
              <w:right w:val="single" w:sz="4" w:space="0" w:color="auto"/>
            </w:tcBorders>
            <w:shd w:val="clear" w:color="auto" w:fill="auto"/>
            <w:noWrap/>
            <w:vAlign w:val="center"/>
            <w:hideMark/>
          </w:tcPr>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57/793</w:t>
            </w:r>
          </w:p>
        </w:tc>
        <w:tc>
          <w:tcPr>
            <w:tcW w:w="556" w:type="pct"/>
            <w:tcBorders>
              <w:top w:val="nil"/>
              <w:left w:val="nil"/>
              <w:bottom w:val="single" w:sz="4" w:space="0" w:color="auto"/>
              <w:right w:val="single" w:sz="4" w:space="0" w:color="auto"/>
            </w:tcBorders>
            <w:shd w:val="clear" w:color="auto" w:fill="auto"/>
            <w:noWrap/>
            <w:vAlign w:val="center"/>
            <w:hideMark/>
          </w:tcPr>
          <w:p w:rsidR="00952F21"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 xml:space="preserve">5.32 </w:t>
            </w:r>
          </w:p>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(4.09, 7.04)</w:t>
            </w:r>
          </w:p>
        </w:tc>
        <w:tc>
          <w:tcPr>
            <w:tcW w:w="554" w:type="pct"/>
            <w:tcBorders>
              <w:top w:val="nil"/>
              <w:left w:val="nil"/>
              <w:bottom w:val="single" w:sz="4" w:space="0" w:color="auto"/>
              <w:right w:val="single" w:sz="4" w:space="0" w:color="auto"/>
            </w:tcBorders>
            <w:shd w:val="clear" w:color="auto" w:fill="auto"/>
            <w:noWrap/>
            <w:vAlign w:val="center"/>
            <w:hideMark/>
          </w:tcPr>
          <w:p w:rsidR="00952F21"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 xml:space="preserve">0.85 </w:t>
            </w:r>
          </w:p>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(0.28, 2.56)</w:t>
            </w:r>
          </w:p>
        </w:tc>
        <w:tc>
          <w:tcPr>
            <w:tcW w:w="309" w:type="pct"/>
            <w:tcBorders>
              <w:top w:val="nil"/>
              <w:left w:val="nil"/>
              <w:bottom w:val="single" w:sz="4" w:space="0" w:color="auto"/>
              <w:right w:val="single" w:sz="4" w:space="0" w:color="auto"/>
            </w:tcBorders>
            <w:shd w:val="clear" w:color="auto" w:fill="auto"/>
            <w:noWrap/>
            <w:vAlign w:val="center"/>
            <w:hideMark/>
          </w:tcPr>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0.774</w:t>
            </w:r>
          </w:p>
        </w:tc>
        <w:tc>
          <w:tcPr>
            <w:tcW w:w="612" w:type="pct"/>
            <w:tcBorders>
              <w:top w:val="nil"/>
              <w:left w:val="nil"/>
              <w:bottom w:val="single" w:sz="4" w:space="0" w:color="auto"/>
              <w:right w:val="single" w:sz="4" w:space="0" w:color="auto"/>
            </w:tcBorders>
            <w:shd w:val="clear" w:color="auto" w:fill="auto"/>
            <w:noWrap/>
            <w:vAlign w:val="center"/>
            <w:hideMark/>
          </w:tcPr>
          <w:p w:rsidR="00952F21"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 xml:space="preserve">1.05 </w:t>
            </w:r>
          </w:p>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(0.31, 3.56)</w:t>
            </w:r>
          </w:p>
        </w:tc>
        <w:tc>
          <w:tcPr>
            <w:tcW w:w="329" w:type="pct"/>
            <w:tcBorders>
              <w:top w:val="nil"/>
              <w:left w:val="nil"/>
              <w:bottom w:val="single" w:sz="4" w:space="0" w:color="auto"/>
              <w:right w:val="single" w:sz="4" w:space="0" w:color="auto"/>
            </w:tcBorders>
            <w:shd w:val="clear" w:color="auto" w:fill="auto"/>
            <w:noWrap/>
            <w:vAlign w:val="center"/>
            <w:hideMark/>
          </w:tcPr>
          <w:p w:rsidR="00952F21" w:rsidRPr="00BE2320" w:rsidRDefault="00952F21" w:rsidP="00203AF1">
            <w:pPr>
              <w:spacing w:after="0" w:line="240" w:lineRule="auto"/>
              <w:jc w:val="center"/>
              <w:rPr>
                <w:rFonts w:eastAsia="Times New Roman" w:cs="Times New Roman"/>
                <w:color w:val="000000"/>
                <w:sz w:val="18"/>
                <w:szCs w:val="18"/>
              </w:rPr>
            </w:pPr>
            <w:r w:rsidRPr="00BE2320">
              <w:rPr>
                <w:rFonts w:eastAsia="Times New Roman" w:cs="Times New Roman"/>
                <w:color w:val="000000"/>
                <w:sz w:val="18"/>
                <w:szCs w:val="18"/>
              </w:rPr>
              <w:t>0.94</w:t>
            </w:r>
            <w:r>
              <w:rPr>
                <w:rFonts w:eastAsia="Times New Roman" w:cs="Times New Roman"/>
                <w:color w:val="000000"/>
                <w:sz w:val="18"/>
                <w:szCs w:val="18"/>
              </w:rPr>
              <w:t>0</w:t>
            </w:r>
          </w:p>
        </w:tc>
      </w:tr>
      <w:tr w:rsidR="00952F21" w:rsidRPr="00D3038D" w:rsidTr="00BD79D9">
        <w:trPr>
          <w:trHeight w:val="174"/>
        </w:trPr>
        <w:tc>
          <w:tcPr>
            <w:tcW w:w="831" w:type="pct"/>
            <w:tcBorders>
              <w:top w:val="nil"/>
              <w:left w:val="single" w:sz="4" w:space="0" w:color="auto"/>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 xml:space="preserve">6-12 weeks gestation (confirmed)  </w:t>
            </w:r>
          </w:p>
        </w:tc>
        <w:tc>
          <w:tcPr>
            <w:tcW w:w="625"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D3038D">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 xml:space="preserve">0/ </w:t>
            </w:r>
            <w:r w:rsidR="00D3038D">
              <w:rPr>
                <w:rFonts w:eastAsia="Times New Roman" w:cs="Times New Roman"/>
                <w:color w:val="000000"/>
                <w:sz w:val="18"/>
                <w:szCs w:val="18"/>
              </w:rPr>
              <w:t>22</w:t>
            </w:r>
          </w:p>
        </w:tc>
        <w:tc>
          <w:tcPr>
            <w:tcW w:w="627"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0.00</w:t>
            </w:r>
          </w:p>
        </w:tc>
        <w:tc>
          <w:tcPr>
            <w:tcW w:w="556"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57/793</w:t>
            </w:r>
          </w:p>
        </w:tc>
        <w:tc>
          <w:tcPr>
            <w:tcW w:w="556"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5.3</w:t>
            </w:r>
            <w:r w:rsidR="00D3038D">
              <w:rPr>
                <w:rFonts w:eastAsia="Times New Roman" w:cs="Times New Roman"/>
                <w:color w:val="000000"/>
                <w:sz w:val="18"/>
                <w:szCs w:val="18"/>
              </w:rPr>
              <w:t>3</w:t>
            </w:r>
            <w:r w:rsidRPr="00D3038D">
              <w:rPr>
                <w:rFonts w:eastAsia="Times New Roman" w:cs="Times New Roman"/>
                <w:color w:val="000000"/>
                <w:sz w:val="18"/>
                <w:szCs w:val="18"/>
              </w:rPr>
              <w:t xml:space="preserve"> </w:t>
            </w:r>
          </w:p>
          <w:p w:rsidR="00952F21" w:rsidRPr="00D3038D" w:rsidRDefault="00952F21" w:rsidP="00D3038D">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(4.1</w:t>
            </w:r>
            <w:r w:rsidR="00D3038D">
              <w:rPr>
                <w:rFonts w:eastAsia="Times New Roman" w:cs="Times New Roman"/>
                <w:color w:val="000000"/>
                <w:sz w:val="18"/>
                <w:szCs w:val="18"/>
              </w:rPr>
              <w:t>0</w:t>
            </w:r>
            <w:r w:rsidRPr="00D3038D">
              <w:rPr>
                <w:rFonts w:eastAsia="Times New Roman" w:cs="Times New Roman"/>
                <w:color w:val="000000"/>
                <w:sz w:val="18"/>
                <w:szCs w:val="18"/>
              </w:rPr>
              <w:t>, 7.0</w:t>
            </w:r>
            <w:r w:rsidR="00D3038D">
              <w:rPr>
                <w:rFonts w:eastAsia="Times New Roman" w:cs="Times New Roman"/>
                <w:color w:val="000000"/>
                <w:sz w:val="18"/>
                <w:szCs w:val="18"/>
              </w:rPr>
              <w:t>5</w:t>
            </w:r>
            <w:r w:rsidRPr="00D3038D">
              <w:rPr>
                <w:rFonts w:eastAsia="Times New Roman" w:cs="Times New Roman"/>
                <w:color w:val="000000"/>
                <w:sz w:val="18"/>
                <w:szCs w:val="18"/>
              </w:rPr>
              <w:t>)</w:t>
            </w:r>
          </w:p>
        </w:tc>
        <w:tc>
          <w:tcPr>
            <w:tcW w:w="554"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 (-, -)</w:t>
            </w:r>
          </w:p>
        </w:tc>
        <w:tc>
          <w:tcPr>
            <w:tcW w:w="309"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w:t>
            </w:r>
          </w:p>
        </w:tc>
        <w:tc>
          <w:tcPr>
            <w:tcW w:w="612"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 (-, -)</w:t>
            </w:r>
          </w:p>
        </w:tc>
        <w:tc>
          <w:tcPr>
            <w:tcW w:w="329"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w:t>
            </w:r>
          </w:p>
        </w:tc>
      </w:tr>
      <w:tr w:rsidR="00952F21" w:rsidRPr="00D3038D" w:rsidTr="00BD79D9">
        <w:trPr>
          <w:trHeight w:val="174"/>
        </w:trPr>
        <w:tc>
          <w:tcPr>
            <w:tcW w:w="5000" w:type="pct"/>
            <w:gridSpan w:val="9"/>
            <w:tcBorders>
              <w:top w:val="nil"/>
              <w:left w:val="single" w:sz="4" w:space="0" w:color="auto"/>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i/>
                <w:color w:val="000000"/>
                <w:sz w:val="18"/>
                <w:szCs w:val="18"/>
              </w:rPr>
            </w:pPr>
            <w:r w:rsidRPr="00D3038D">
              <w:rPr>
                <w:rFonts w:eastAsia="Times New Roman" w:cs="Times New Roman"/>
                <w:i/>
                <w:color w:val="000000"/>
                <w:sz w:val="18"/>
                <w:szCs w:val="18"/>
              </w:rPr>
              <w:t>ACT vs Quinine</w:t>
            </w:r>
          </w:p>
        </w:tc>
      </w:tr>
      <w:tr w:rsidR="00952F21" w:rsidRPr="00D3038D" w:rsidTr="00BD79D9">
        <w:trPr>
          <w:trHeight w:val="174"/>
        </w:trPr>
        <w:tc>
          <w:tcPr>
            <w:tcW w:w="831" w:type="pct"/>
            <w:tcBorders>
              <w:top w:val="nil"/>
              <w:left w:val="single" w:sz="4" w:space="0" w:color="auto"/>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1st trimester (confirmed</w:t>
            </w:r>
            <w:r w:rsidR="00D3038D">
              <w:rPr>
                <w:rFonts w:eastAsia="Times New Roman" w:cs="Times New Roman"/>
                <w:color w:val="000000"/>
                <w:sz w:val="18"/>
                <w:szCs w:val="18"/>
              </w:rPr>
              <w:t>)</w:t>
            </w:r>
            <w:bookmarkStart w:id="3" w:name="_GoBack"/>
            <w:bookmarkEnd w:id="3"/>
          </w:p>
        </w:tc>
        <w:tc>
          <w:tcPr>
            <w:tcW w:w="625"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2/ 51</w:t>
            </w:r>
          </w:p>
        </w:tc>
        <w:tc>
          <w:tcPr>
            <w:tcW w:w="627"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 xml:space="preserve">2.82 </w:t>
            </w:r>
          </w:p>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(0.63, 26.22)</w:t>
            </w:r>
          </w:p>
        </w:tc>
        <w:tc>
          <w:tcPr>
            <w:tcW w:w="556"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1/ 13</w:t>
            </w:r>
          </w:p>
        </w:tc>
        <w:tc>
          <w:tcPr>
            <w:tcW w:w="556"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5.24</w:t>
            </w:r>
          </w:p>
        </w:tc>
        <w:tc>
          <w:tcPr>
            <w:tcW w:w="554"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 xml:space="preserve">0.54 </w:t>
            </w:r>
          </w:p>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(0.06, 5.11)</w:t>
            </w:r>
          </w:p>
        </w:tc>
        <w:tc>
          <w:tcPr>
            <w:tcW w:w="309"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0.588</w:t>
            </w:r>
          </w:p>
        </w:tc>
        <w:tc>
          <w:tcPr>
            <w:tcW w:w="612"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 (-, -)</w:t>
            </w:r>
          </w:p>
        </w:tc>
        <w:tc>
          <w:tcPr>
            <w:tcW w:w="329"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w:t>
            </w:r>
          </w:p>
        </w:tc>
      </w:tr>
      <w:tr w:rsidR="00952F21" w:rsidRPr="00D3038D" w:rsidTr="00BD79D9">
        <w:trPr>
          <w:trHeight w:val="174"/>
        </w:trPr>
        <w:tc>
          <w:tcPr>
            <w:tcW w:w="831" w:type="pct"/>
            <w:tcBorders>
              <w:top w:val="nil"/>
              <w:left w:val="single" w:sz="4" w:space="0" w:color="auto"/>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 xml:space="preserve">6-12 weeks gestation (confirmed)  </w:t>
            </w:r>
          </w:p>
        </w:tc>
        <w:tc>
          <w:tcPr>
            <w:tcW w:w="625"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D3038D">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 xml:space="preserve">0/ </w:t>
            </w:r>
            <w:r w:rsidR="00D3038D">
              <w:rPr>
                <w:rFonts w:eastAsia="Times New Roman" w:cs="Times New Roman"/>
                <w:color w:val="000000"/>
                <w:sz w:val="18"/>
                <w:szCs w:val="18"/>
              </w:rPr>
              <w:t>21</w:t>
            </w:r>
          </w:p>
        </w:tc>
        <w:tc>
          <w:tcPr>
            <w:tcW w:w="627"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0.00</w:t>
            </w:r>
          </w:p>
        </w:tc>
        <w:tc>
          <w:tcPr>
            <w:tcW w:w="556" w:type="pct"/>
            <w:tcBorders>
              <w:top w:val="nil"/>
              <w:left w:val="nil"/>
              <w:bottom w:val="single" w:sz="4" w:space="0" w:color="auto"/>
              <w:right w:val="single" w:sz="4" w:space="0" w:color="auto"/>
            </w:tcBorders>
            <w:shd w:val="clear" w:color="auto" w:fill="auto"/>
            <w:noWrap/>
            <w:vAlign w:val="center"/>
            <w:hideMark/>
          </w:tcPr>
          <w:p w:rsidR="00952F21" w:rsidRPr="00D3038D" w:rsidRDefault="00D3038D" w:rsidP="00203AF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1/ 11</w:t>
            </w:r>
          </w:p>
        </w:tc>
        <w:tc>
          <w:tcPr>
            <w:tcW w:w="556" w:type="pct"/>
            <w:tcBorders>
              <w:top w:val="nil"/>
              <w:left w:val="nil"/>
              <w:bottom w:val="single" w:sz="4" w:space="0" w:color="auto"/>
              <w:right w:val="single" w:sz="4" w:space="0" w:color="auto"/>
            </w:tcBorders>
            <w:shd w:val="clear" w:color="auto" w:fill="auto"/>
            <w:noWrap/>
            <w:vAlign w:val="center"/>
            <w:hideMark/>
          </w:tcPr>
          <w:p w:rsidR="00952F21" w:rsidRPr="00D3038D" w:rsidRDefault="00D3038D" w:rsidP="00203AF1">
            <w:pPr>
              <w:spacing w:after="0" w:line="240" w:lineRule="auto"/>
              <w:jc w:val="center"/>
              <w:rPr>
                <w:rFonts w:eastAsia="Times New Roman" w:cs="Times New Roman"/>
                <w:color w:val="000000"/>
                <w:sz w:val="18"/>
                <w:szCs w:val="18"/>
              </w:rPr>
            </w:pPr>
            <w:r>
              <w:rPr>
                <w:rFonts w:eastAsia="Times New Roman" w:cs="Times New Roman"/>
                <w:color w:val="000000"/>
                <w:sz w:val="18"/>
                <w:szCs w:val="18"/>
              </w:rPr>
              <w:t>6.04</w:t>
            </w:r>
          </w:p>
        </w:tc>
        <w:tc>
          <w:tcPr>
            <w:tcW w:w="554"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 (-, -)</w:t>
            </w:r>
          </w:p>
        </w:tc>
        <w:tc>
          <w:tcPr>
            <w:tcW w:w="309"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w:t>
            </w:r>
          </w:p>
        </w:tc>
        <w:tc>
          <w:tcPr>
            <w:tcW w:w="612"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 (-, -)</w:t>
            </w:r>
          </w:p>
        </w:tc>
        <w:tc>
          <w:tcPr>
            <w:tcW w:w="329" w:type="pct"/>
            <w:tcBorders>
              <w:top w:val="nil"/>
              <w:left w:val="nil"/>
              <w:bottom w:val="single" w:sz="4" w:space="0" w:color="auto"/>
              <w:right w:val="single" w:sz="4" w:space="0" w:color="auto"/>
            </w:tcBorders>
            <w:shd w:val="clear" w:color="auto" w:fill="auto"/>
            <w:noWrap/>
            <w:vAlign w:val="center"/>
            <w:hideMark/>
          </w:tcPr>
          <w:p w:rsidR="00952F21" w:rsidRPr="00D3038D" w:rsidRDefault="00952F21" w:rsidP="00203AF1">
            <w:pPr>
              <w:spacing w:after="0" w:line="240" w:lineRule="auto"/>
              <w:jc w:val="center"/>
              <w:rPr>
                <w:rFonts w:eastAsia="Times New Roman" w:cs="Times New Roman"/>
                <w:color w:val="000000"/>
                <w:sz w:val="18"/>
                <w:szCs w:val="18"/>
              </w:rPr>
            </w:pPr>
            <w:r w:rsidRPr="00D3038D">
              <w:rPr>
                <w:rFonts w:eastAsia="Times New Roman" w:cs="Times New Roman"/>
                <w:color w:val="000000"/>
                <w:sz w:val="18"/>
                <w:szCs w:val="18"/>
              </w:rPr>
              <w:t>-</w:t>
            </w:r>
          </w:p>
        </w:tc>
      </w:tr>
    </w:tbl>
    <w:p w:rsidR="00952F21" w:rsidRPr="00F819A5" w:rsidRDefault="00952F21" w:rsidP="00952F21">
      <w:pPr>
        <w:jc w:val="both"/>
      </w:pPr>
    </w:p>
    <w:p w:rsidR="00CC6A53" w:rsidRPr="00CC6A53" w:rsidRDefault="00CC6A53" w:rsidP="00CC6A53"/>
    <w:sectPr w:rsidR="00CC6A53" w:rsidRPr="00CC6A5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7D" w:rsidRDefault="0089107D" w:rsidP="00BD79D9">
      <w:pPr>
        <w:spacing w:after="0" w:line="240" w:lineRule="auto"/>
      </w:pPr>
      <w:r>
        <w:separator/>
      </w:r>
    </w:p>
  </w:endnote>
  <w:endnote w:type="continuationSeparator" w:id="0">
    <w:p w:rsidR="0089107D" w:rsidRDefault="0089107D" w:rsidP="00BD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86680"/>
      <w:docPartObj>
        <w:docPartGallery w:val="Page Numbers (Bottom of Page)"/>
        <w:docPartUnique/>
      </w:docPartObj>
    </w:sdtPr>
    <w:sdtEndPr>
      <w:rPr>
        <w:noProof/>
      </w:rPr>
    </w:sdtEndPr>
    <w:sdtContent>
      <w:p w:rsidR="00BD79D9" w:rsidRDefault="00BD79D9">
        <w:pPr>
          <w:pStyle w:val="Footer"/>
          <w:jc w:val="right"/>
        </w:pPr>
        <w:r>
          <w:fldChar w:fldCharType="begin"/>
        </w:r>
        <w:r>
          <w:instrText xml:space="preserve"> PAGE   \* MERGEFORMAT </w:instrText>
        </w:r>
        <w:r>
          <w:fldChar w:fldCharType="separate"/>
        </w:r>
        <w:r w:rsidR="00D3038D">
          <w:rPr>
            <w:noProof/>
          </w:rPr>
          <w:t>2</w:t>
        </w:r>
        <w:r>
          <w:rPr>
            <w:noProof/>
          </w:rPr>
          <w:fldChar w:fldCharType="end"/>
        </w:r>
      </w:p>
    </w:sdtContent>
  </w:sdt>
  <w:p w:rsidR="00BD79D9" w:rsidRDefault="00BD79D9">
    <w:pPr>
      <w:pStyle w:val="Footer"/>
    </w:pPr>
    <w:r>
      <w:t>Supplemental File S3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7D" w:rsidRDefault="0089107D" w:rsidP="00BD79D9">
      <w:pPr>
        <w:spacing w:after="0" w:line="240" w:lineRule="auto"/>
      </w:pPr>
      <w:r>
        <w:separator/>
      </w:r>
    </w:p>
  </w:footnote>
  <w:footnote w:type="continuationSeparator" w:id="0">
    <w:p w:rsidR="0089107D" w:rsidRDefault="0089107D" w:rsidP="00BD7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83A2C"/>
    <w:multiLevelType w:val="hybridMultilevel"/>
    <w:tmpl w:val="DE2A9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64"/>
    <w:rsid w:val="00250445"/>
    <w:rsid w:val="007F1E99"/>
    <w:rsid w:val="0089107D"/>
    <w:rsid w:val="008E641E"/>
    <w:rsid w:val="00952F21"/>
    <w:rsid w:val="00BD79D9"/>
    <w:rsid w:val="00C85364"/>
    <w:rsid w:val="00CC6A53"/>
    <w:rsid w:val="00CD40AE"/>
    <w:rsid w:val="00D3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41D29-8192-42EB-9F49-AEF9E278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364"/>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C8536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364"/>
    <w:rPr>
      <w:rFonts w:asciiTheme="majorHAnsi" w:eastAsiaTheme="majorEastAsia" w:hAnsiTheme="majorHAnsi" w:cstheme="majorBidi"/>
      <w:b/>
      <w:bCs/>
      <w:color w:val="2E74B5" w:themeColor="accent1" w:themeShade="BF"/>
      <w:sz w:val="28"/>
      <w:szCs w:val="28"/>
      <w:lang w:eastAsia="en-GB"/>
    </w:rPr>
  </w:style>
  <w:style w:type="paragraph" w:styleId="Caption">
    <w:name w:val="caption"/>
    <w:basedOn w:val="Normal"/>
    <w:next w:val="Normal"/>
    <w:uiPriority w:val="35"/>
    <w:unhideWhenUsed/>
    <w:qFormat/>
    <w:rsid w:val="00C85364"/>
    <w:pPr>
      <w:spacing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C85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364"/>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952F21"/>
    <w:rPr>
      <w:sz w:val="16"/>
      <w:szCs w:val="16"/>
    </w:rPr>
  </w:style>
  <w:style w:type="paragraph" w:styleId="ListParagraph">
    <w:name w:val="List Paragraph"/>
    <w:basedOn w:val="Normal"/>
    <w:uiPriority w:val="34"/>
    <w:qFormat/>
    <w:rsid w:val="00952F21"/>
    <w:pPr>
      <w:ind w:left="720"/>
      <w:contextualSpacing/>
    </w:pPr>
  </w:style>
  <w:style w:type="paragraph" w:styleId="Header">
    <w:name w:val="header"/>
    <w:basedOn w:val="Normal"/>
    <w:link w:val="HeaderChar"/>
    <w:uiPriority w:val="99"/>
    <w:unhideWhenUsed/>
    <w:rsid w:val="00BD7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9D9"/>
    <w:rPr>
      <w:rFonts w:eastAsiaTheme="minorEastAsia"/>
      <w:lang w:eastAsia="en-GB"/>
    </w:rPr>
  </w:style>
  <w:style w:type="paragraph" w:styleId="Footer">
    <w:name w:val="footer"/>
    <w:basedOn w:val="Normal"/>
    <w:link w:val="FooterChar"/>
    <w:uiPriority w:val="99"/>
    <w:unhideWhenUsed/>
    <w:rsid w:val="00BD7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9D9"/>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Dellicour</dc:creator>
  <cp:keywords/>
  <dc:description/>
  <cp:lastModifiedBy>Stephanie Dellicour</cp:lastModifiedBy>
  <cp:revision>3</cp:revision>
  <dcterms:created xsi:type="dcterms:W3CDTF">2015-09-30T13:58:00Z</dcterms:created>
  <dcterms:modified xsi:type="dcterms:W3CDTF">2015-10-01T10:23:00Z</dcterms:modified>
</cp:coreProperties>
</file>