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59" w:rsidRPr="0090608F" w:rsidRDefault="00F46059" w:rsidP="00F46059">
      <w:pPr>
        <w:rPr>
          <w:lang w:val="en-US"/>
        </w:rPr>
      </w:pPr>
      <w:r w:rsidRPr="0090608F">
        <w:rPr>
          <w:lang w:val="en-US"/>
        </w:rPr>
        <w:t xml:space="preserve">((Supporting Information can be included here </w:t>
      </w:r>
      <w:r w:rsidRPr="0090608F">
        <w:rPr>
          <w:lang w:val="en-GB"/>
        </w:rPr>
        <w:t>using this template</w:t>
      </w:r>
      <w:r w:rsidRPr="0090608F">
        <w:rPr>
          <w:lang w:val="en-US"/>
        </w:rPr>
        <w:t>))</w:t>
      </w:r>
    </w:p>
    <w:p w:rsidR="00F46059" w:rsidRPr="0090608F" w:rsidRDefault="00F46059" w:rsidP="00F46059">
      <w:pPr>
        <w:rPr>
          <w:b/>
          <w:lang w:val="en-US"/>
        </w:rPr>
      </w:pPr>
    </w:p>
    <w:p w:rsidR="00F46059" w:rsidRPr="0090608F" w:rsidRDefault="00F46059" w:rsidP="00F46059">
      <w:pPr>
        <w:spacing w:line="480" w:lineRule="auto"/>
        <w:rPr>
          <w:lang w:val="en-US"/>
        </w:rPr>
      </w:pPr>
      <w:proofErr w:type="gramStart"/>
      <w:r w:rsidRPr="0090608F">
        <w:rPr>
          <w:lang w:val="en-US"/>
        </w:rPr>
        <w:t xml:space="preserve">Copyright WILEY-VCH </w:t>
      </w:r>
      <w:proofErr w:type="spellStart"/>
      <w:r w:rsidRPr="0090608F">
        <w:rPr>
          <w:lang w:val="en-US"/>
        </w:rPr>
        <w:t>Verlag</w:t>
      </w:r>
      <w:proofErr w:type="spellEnd"/>
      <w:r w:rsidRPr="0090608F">
        <w:rPr>
          <w:lang w:val="en-US"/>
        </w:rPr>
        <w:t xml:space="preserve"> GmbH &amp; Co. </w:t>
      </w:r>
      <w:proofErr w:type="spellStart"/>
      <w:r w:rsidRPr="0090608F">
        <w:rPr>
          <w:lang w:val="en-US"/>
        </w:rPr>
        <w:t>KGaA</w:t>
      </w:r>
      <w:proofErr w:type="spellEnd"/>
      <w:r w:rsidRPr="0090608F">
        <w:rPr>
          <w:lang w:val="en-US"/>
        </w:rPr>
        <w:t xml:space="preserve">, 69469 </w:t>
      </w:r>
      <w:proofErr w:type="spellStart"/>
      <w:r w:rsidRPr="0090608F">
        <w:rPr>
          <w:lang w:val="en-US"/>
        </w:rPr>
        <w:t>Weinheim</w:t>
      </w:r>
      <w:proofErr w:type="spellEnd"/>
      <w:r w:rsidRPr="0090608F">
        <w:rPr>
          <w:lang w:val="en-US"/>
        </w:rPr>
        <w:t>, Germany, 2013.</w:t>
      </w:r>
      <w:proofErr w:type="gramEnd"/>
    </w:p>
    <w:p w:rsidR="00F46059" w:rsidRPr="0090608F" w:rsidRDefault="00F46059" w:rsidP="00F46059">
      <w:pPr>
        <w:pStyle w:val="Title2"/>
        <w:rPr>
          <w:b w:val="0"/>
        </w:rPr>
      </w:pPr>
    </w:p>
    <w:p w:rsidR="00F46059" w:rsidRPr="0090608F" w:rsidRDefault="00F46059" w:rsidP="00F46059">
      <w:pPr>
        <w:pStyle w:val="Title2"/>
        <w:rPr>
          <w:b w:val="0"/>
          <w:sz w:val="32"/>
          <w:szCs w:val="32"/>
        </w:rPr>
      </w:pPr>
      <w:r w:rsidRPr="0090608F">
        <w:rPr>
          <w:b w:val="0"/>
          <w:sz w:val="32"/>
          <w:szCs w:val="32"/>
        </w:rPr>
        <w:t xml:space="preserve">Supporting Information </w:t>
      </w:r>
    </w:p>
    <w:p w:rsidR="00F46059" w:rsidRPr="0090608F" w:rsidRDefault="00F46059" w:rsidP="00F46059">
      <w:pPr>
        <w:pStyle w:val="Title2"/>
        <w:rPr>
          <w:b w:val="0"/>
        </w:rPr>
      </w:pPr>
    </w:p>
    <w:p w:rsidR="00F46059" w:rsidRPr="0090608F" w:rsidRDefault="00F46059" w:rsidP="00F46059">
      <w:pPr>
        <w:pStyle w:val="Title2"/>
      </w:pPr>
    </w:p>
    <w:p w:rsidR="00F46059" w:rsidRPr="0090608F" w:rsidRDefault="00F46059" w:rsidP="00F46059">
      <w:pPr>
        <w:pStyle w:val="Title2"/>
        <w:rPr>
          <w:b w:val="0"/>
        </w:rPr>
      </w:pPr>
      <w:r w:rsidRPr="0090608F">
        <w:t xml:space="preserve">Selective Vaporization of Superheated </w:t>
      </w:r>
      <w:proofErr w:type="spellStart"/>
      <w:r w:rsidRPr="0090608F">
        <w:t>Nanodroplets</w:t>
      </w:r>
      <w:proofErr w:type="spellEnd"/>
      <w:r w:rsidRPr="0090608F">
        <w:t xml:space="preserve"> for Rapid, Sensitive Acoustic </w:t>
      </w:r>
      <w:proofErr w:type="spellStart"/>
      <w:r w:rsidRPr="0090608F">
        <w:t>Biosensing</w:t>
      </w:r>
      <w:proofErr w:type="spellEnd"/>
      <w:r w:rsidRPr="0090608F">
        <w:rPr>
          <w:b w:val="0"/>
        </w:rPr>
        <w:t xml:space="preserve"> </w:t>
      </w:r>
    </w:p>
    <w:p w:rsidR="00F46059" w:rsidRPr="0090608F" w:rsidRDefault="00F46059" w:rsidP="00F46059">
      <w:pPr>
        <w:pStyle w:val="Title2"/>
        <w:rPr>
          <w:b w:val="0"/>
        </w:rPr>
      </w:pPr>
    </w:p>
    <w:p w:rsidR="00F46059" w:rsidRPr="0090608F" w:rsidRDefault="00F46059" w:rsidP="00F46059">
      <w:pPr>
        <w:pStyle w:val="AuthorsFull"/>
      </w:pPr>
      <w:proofErr w:type="spellStart"/>
      <w:r w:rsidRPr="0090608F">
        <w:t>Rajarshi</w:t>
      </w:r>
      <w:proofErr w:type="spellEnd"/>
      <w:r w:rsidRPr="0090608F">
        <w:t xml:space="preserve"> </w:t>
      </w:r>
      <w:proofErr w:type="spellStart"/>
      <w:r w:rsidRPr="0090608F">
        <w:t>Chattaraj</w:t>
      </w:r>
      <w:proofErr w:type="spellEnd"/>
      <w:r w:rsidRPr="0090608F">
        <w:t xml:space="preserve">, </w:t>
      </w:r>
      <w:proofErr w:type="spellStart"/>
      <w:r w:rsidRPr="0090608F">
        <w:t>Praveena</w:t>
      </w:r>
      <w:proofErr w:type="spellEnd"/>
      <w:r w:rsidRPr="0090608F">
        <w:t xml:space="preserve"> Mohan, Jeremy D. </w:t>
      </w:r>
      <w:proofErr w:type="spellStart"/>
      <w:r w:rsidRPr="0090608F">
        <w:t>Besmer</w:t>
      </w:r>
      <w:proofErr w:type="spellEnd"/>
      <w:r w:rsidRPr="0090608F">
        <w:t xml:space="preserve">, and Andrew P. Goodwin* </w:t>
      </w:r>
    </w:p>
    <w:p w:rsidR="00F46059" w:rsidRPr="0090608F" w:rsidRDefault="00F46059" w:rsidP="00F46059">
      <w:pPr>
        <w:pStyle w:val="Tableofcontents"/>
      </w:pPr>
    </w:p>
    <w:p w:rsidR="00F46059" w:rsidRPr="0090608F" w:rsidRDefault="00F46059" w:rsidP="00F46059">
      <w:pPr>
        <w:pStyle w:val="Legend"/>
      </w:pPr>
    </w:p>
    <w:p w:rsidR="00F46059" w:rsidRPr="0090608F" w:rsidRDefault="00F46059" w:rsidP="00F46059">
      <w:pPr>
        <w:pStyle w:val="Legend"/>
      </w:pPr>
    </w:p>
    <w:p w:rsidR="00F46059" w:rsidRPr="0090608F" w:rsidRDefault="00F46059" w:rsidP="00F46059">
      <w:pPr>
        <w:pStyle w:val="FETableFootnote"/>
      </w:pPr>
      <w:proofErr w:type="gramStart"/>
      <w:r w:rsidRPr="0090608F">
        <w:rPr>
          <w:b/>
        </w:rPr>
        <w:t>Table 1.</w:t>
      </w:r>
      <w:proofErr w:type="gramEnd"/>
      <w:r w:rsidRPr="0090608F">
        <w:t xml:space="preserve"> Mean size </w:t>
      </w:r>
      <w:r w:rsidR="003434D7" w:rsidRPr="0090608F">
        <w:t xml:space="preserve">and droplet stock concentration </w:t>
      </w:r>
      <w:r w:rsidRPr="0090608F">
        <w:t xml:space="preserve">as measured by </w:t>
      </w:r>
      <w:proofErr w:type="spellStart"/>
      <w:r w:rsidRPr="0090608F">
        <w:t>Nanoparticle</w:t>
      </w:r>
      <w:proofErr w:type="spellEnd"/>
      <w:r w:rsidRPr="0090608F">
        <w:t xml:space="preserve"> Tracking Analysis vs. droplet centrifuge fractionation speed. </w:t>
      </w:r>
    </w:p>
    <w:tbl>
      <w:tblPr>
        <w:tblW w:w="0" w:type="auto"/>
        <w:tblLook w:val="01E0"/>
      </w:tblPr>
      <w:tblGrid>
        <w:gridCol w:w="1443"/>
        <w:gridCol w:w="1128"/>
        <w:gridCol w:w="1523"/>
      </w:tblGrid>
      <w:tr w:rsidR="003434D7" w:rsidRPr="0090608F">
        <w:tc>
          <w:tcPr>
            <w:tcW w:w="14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434D7" w:rsidRPr="0090608F" w:rsidRDefault="003434D7" w:rsidP="000A27D8">
            <w:pPr>
              <w:pStyle w:val="TCTableBody"/>
              <w:rPr>
                <w:rFonts w:eastAsia="Cambria"/>
                <w:kern w:val="24"/>
              </w:rPr>
            </w:pPr>
            <w:r w:rsidRPr="0090608F">
              <w:rPr>
                <w:kern w:val="24"/>
              </w:rPr>
              <w:t xml:space="preserve">Centrifuge fractionation speed (x </w:t>
            </w:r>
            <w:r w:rsidRPr="0090608F">
              <w:rPr>
                <w:i/>
                <w:iCs/>
                <w:kern w:val="24"/>
              </w:rPr>
              <w:t>g</w:t>
            </w:r>
            <w:r w:rsidRPr="0090608F">
              <w:rPr>
                <w:kern w:val="24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</w:tcPr>
          <w:p w:rsidR="003434D7" w:rsidRPr="0090608F" w:rsidRDefault="003434D7" w:rsidP="00FC7E0A">
            <w:pPr>
              <w:pStyle w:val="TCTableBody"/>
              <w:rPr>
                <w:rFonts w:eastAsia="Cambria"/>
                <w:kern w:val="24"/>
              </w:rPr>
            </w:pPr>
            <w:r w:rsidRPr="0090608F">
              <w:rPr>
                <w:kern w:val="24"/>
              </w:rPr>
              <w:t>Mean droplet size (nm)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</w:tcPr>
          <w:p w:rsidR="003434D7" w:rsidRPr="0090608F" w:rsidRDefault="003434D7" w:rsidP="003126A7">
            <w:pPr>
              <w:pStyle w:val="TCTableBody"/>
              <w:rPr>
                <w:kern w:val="24"/>
              </w:rPr>
            </w:pPr>
            <w:r w:rsidRPr="0090608F">
              <w:rPr>
                <w:kern w:val="24"/>
              </w:rPr>
              <w:t>Approximate droplet concentration (mL</w:t>
            </w:r>
            <w:r w:rsidRPr="0090608F">
              <w:rPr>
                <w:kern w:val="24"/>
                <w:vertAlign w:val="superscript"/>
              </w:rPr>
              <w:t>-1</w:t>
            </w:r>
            <w:r w:rsidRPr="0090608F">
              <w:rPr>
                <w:kern w:val="24"/>
              </w:rPr>
              <w:t>)</w:t>
            </w:r>
          </w:p>
        </w:tc>
      </w:tr>
      <w:tr w:rsidR="003434D7" w:rsidRPr="0090608F">
        <w:tc>
          <w:tcPr>
            <w:tcW w:w="1443" w:type="dxa"/>
            <w:tcBorders>
              <w:top w:val="single" w:sz="4" w:space="0" w:color="000000"/>
            </w:tcBorders>
            <w:shd w:val="clear" w:color="auto" w:fill="auto"/>
          </w:tcPr>
          <w:p w:rsidR="003434D7" w:rsidRPr="0090608F" w:rsidRDefault="003434D7" w:rsidP="000A27D8">
            <w:pPr>
              <w:pStyle w:val="TCTableBody"/>
              <w:rPr>
                <w:rFonts w:eastAsia="Cambria"/>
                <w:i/>
                <w:iCs/>
                <w:kern w:val="24"/>
              </w:rPr>
            </w:pPr>
            <w:r w:rsidRPr="0090608F">
              <w:rPr>
                <w:kern w:val="24"/>
              </w:rPr>
              <w:t>400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3434D7" w:rsidRPr="0090608F" w:rsidRDefault="003434D7" w:rsidP="00FC7E0A">
            <w:pPr>
              <w:pStyle w:val="TCTableBody"/>
              <w:rPr>
                <w:rFonts w:eastAsia="Cambria"/>
                <w:kern w:val="24"/>
              </w:rPr>
            </w:pPr>
            <w:r w:rsidRPr="0090608F">
              <w:rPr>
                <w:kern w:val="24"/>
              </w:rPr>
              <w:t>367.6±2</w:t>
            </w:r>
          </w:p>
        </w:tc>
        <w:tc>
          <w:tcPr>
            <w:tcW w:w="1128" w:type="dxa"/>
            <w:tcBorders>
              <w:top w:val="single" w:sz="4" w:space="0" w:color="000000"/>
            </w:tcBorders>
          </w:tcPr>
          <w:p w:rsidR="003434D7" w:rsidRPr="0090608F" w:rsidRDefault="003434D7" w:rsidP="000A27D8">
            <w:pPr>
              <w:pStyle w:val="TCTableBody"/>
              <w:rPr>
                <w:kern w:val="24"/>
                <w:vertAlign w:val="superscript"/>
              </w:rPr>
            </w:pPr>
            <w:r w:rsidRPr="0090608F">
              <w:rPr>
                <w:kern w:val="24"/>
              </w:rPr>
              <w:t>2.8x10</w:t>
            </w:r>
            <w:r w:rsidRPr="0090608F">
              <w:rPr>
                <w:kern w:val="24"/>
                <w:vertAlign w:val="superscript"/>
              </w:rPr>
              <w:t>11</w:t>
            </w:r>
          </w:p>
        </w:tc>
      </w:tr>
      <w:tr w:rsidR="003434D7" w:rsidRPr="0090608F">
        <w:tc>
          <w:tcPr>
            <w:tcW w:w="1443" w:type="dxa"/>
            <w:tcBorders>
              <w:bottom w:val="single" w:sz="4" w:space="0" w:color="000000"/>
            </w:tcBorders>
            <w:shd w:val="clear" w:color="auto" w:fill="auto"/>
          </w:tcPr>
          <w:p w:rsidR="003434D7" w:rsidRPr="0090608F" w:rsidRDefault="003434D7" w:rsidP="000A27D8">
            <w:pPr>
              <w:pStyle w:val="TCTableBody"/>
              <w:rPr>
                <w:rFonts w:eastAsia="Cambria"/>
                <w:i/>
                <w:iCs/>
                <w:kern w:val="24"/>
              </w:rPr>
            </w:pPr>
            <w:r w:rsidRPr="0090608F">
              <w:rPr>
                <w:kern w:val="24"/>
              </w:rPr>
              <w:t>300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3434D7" w:rsidRPr="0090608F" w:rsidRDefault="003434D7" w:rsidP="00FC7E0A">
            <w:pPr>
              <w:pStyle w:val="TCTableBody"/>
              <w:rPr>
                <w:rFonts w:eastAsia="Cambria"/>
                <w:kern w:val="24"/>
              </w:rPr>
            </w:pPr>
            <w:r w:rsidRPr="0090608F">
              <w:rPr>
                <w:kern w:val="24"/>
              </w:rPr>
              <w:t>435.3±20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3434D7" w:rsidRPr="0090608F" w:rsidRDefault="003434D7" w:rsidP="000A27D8">
            <w:pPr>
              <w:pStyle w:val="TCTableBody"/>
              <w:rPr>
                <w:kern w:val="24"/>
              </w:rPr>
            </w:pPr>
            <w:r w:rsidRPr="0090608F">
              <w:rPr>
                <w:kern w:val="24"/>
              </w:rPr>
              <w:t>3.5x10</w:t>
            </w:r>
            <w:r w:rsidRPr="0090608F">
              <w:rPr>
                <w:kern w:val="24"/>
                <w:vertAlign w:val="superscript"/>
              </w:rPr>
              <w:t>11</w:t>
            </w:r>
          </w:p>
        </w:tc>
      </w:tr>
      <w:tr w:rsidR="003434D7" w:rsidRPr="0090608F">
        <w:tc>
          <w:tcPr>
            <w:tcW w:w="1443" w:type="dxa"/>
            <w:tcBorders>
              <w:bottom w:val="single" w:sz="4" w:space="0" w:color="000000"/>
            </w:tcBorders>
            <w:shd w:val="clear" w:color="auto" w:fill="auto"/>
          </w:tcPr>
          <w:p w:rsidR="003434D7" w:rsidRPr="0090608F" w:rsidRDefault="003434D7" w:rsidP="000A27D8">
            <w:pPr>
              <w:pStyle w:val="TCTableBody"/>
              <w:rPr>
                <w:rFonts w:eastAsia="Cambria"/>
                <w:i/>
                <w:iCs/>
                <w:kern w:val="24"/>
              </w:rPr>
            </w:pPr>
            <w:r w:rsidRPr="0090608F">
              <w:rPr>
                <w:kern w:val="24"/>
              </w:rPr>
              <w:t>200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3434D7" w:rsidRPr="0090608F" w:rsidRDefault="003434D7" w:rsidP="00FC7E0A">
            <w:pPr>
              <w:pStyle w:val="TCTableBody"/>
              <w:rPr>
                <w:rFonts w:eastAsia="Cambria"/>
                <w:kern w:val="24"/>
              </w:rPr>
            </w:pPr>
            <w:r w:rsidRPr="0090608F">
              <w:rPr>
                <w:kern w:val="24"/>
              </w:rPr>
              <w:t>485.6±20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3434D7" w:rsidRPr="0090608F" w:rsidRDefault="003434D7" w:rsidP="000A27D8">
            <w:pPr>
              <w:pStyle w:val="TCTableBody"/>
              <w:rPr>
                <w:kern w:val="24"/>
              </w:rPr>
            </w:pPr>
            <w:r w:rsidRPr="0090608F">
              <w:rPr>
                <w:kern w:val="24"/>
              </w:rPr>
              <w:t>6.0x10</w:t>
            </w:r>
            <w:r w:rsidRPr="0090608F">
              <w:rPr>
                <w:kern w:val="24"/>
                <w:vertAlign w:val="superscript"/>
              </w:rPr>
              <w:t>11</w:t>
            </w:r>
          </w:p>
        </w:tc>
      </w:tr>
      <w:tr w:rsidR="003434D7" w:rsidRPr="0090608F">
        <w:tc>
          <w:tcPr>
            <w:tcW w:w="1443" w:type="dxa"/>
            <w:tcBorders>
              <w:bottom w:val="single" w:sz="4" w:space="0" w:color="000000"/>
            </w:tcBorders>
            <w:shd w:val="clear" w:color="auto" w:fill="auto"/>
          </w:tcPr>
          <w:p w:rsidR="003434D7" w:rsidRPr="0090608F" w:rsidRDefault="003434D7" w:rsidP="000A27D8">
            <w:pPr>
              <w:pStyle w:val="TCTableBody"/>
              <w:rPr>
                <w:rFonts w:eastAsia="Cambria"/>
                <w:kern w:val="24"/>
              </w:rPr>
            </w:pPr>
            <w:r w:rsidRPr="0090608F">
              <w:rPr>
                <w:kern w:val="24"/>
              </w:rPr>
              <w:t>0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3434D7" w:rsidRPr="0090608F" w:rsidRDefault="003434D7" w:rsidP="00FC7E0A">
            <w:pPr>
              <w:pStyle w:val="TCTableBody"/>
              <w:rPr>
                <w:rFonts w:eastAsia="Cambria"/>
                <w:kern w:val="24"/>
              </w:rPr>
            </w:pPr>
            <w:r w:rsidRPr="0090608F">
              <w:rPr>
                <w:kern w:val="24"/>
              </w:rPr>
              <w:t>609.1±8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3434D7" w:rsidRPr="0090608F" w:rsidRDefault="003434D7" w:rsidP="000A27D8">
            <w:pPr>
              <w:pStyle w:val="TCTableBody"/>
              <w:rPr>
                <w:kern w:val="24"/>
              </w:rPr>
            </w:pPr>
            <w:r w:rsidRPr="0090608F">
              <w:rPr>
                <w:kern w:val="24"/>
              </w:rPr>
              <w:t>12.</w:t>
            </w:r>
            <w:bookmarkStart w:id="0" w:name="_GoBack"/>
            <w:bookmarkEnd w:id="0"/>
            <w:r w:rsidR="003126A7" w:rsidRPr="0090608F">
              <w:rPr>
                <w:kern w:val="24"/>
              </w:rPr>
              <w:t>8</w:t>
            </w:r>
            <w:r w:rsidRPr="0090608F">
              <w:rPr>
                <w:kern w:val="24"/>
              </w:rPr>
              <w:t>x10</w:t>
            </w:r>
            <w:r w:rsidRPr="0090608F">
              <w:rPr>
                <w:kern w:val="24"/>
                <w:vertAlign w:val="superscript"/>
              </w:rPr>
              <w:t>11</w:t>
            </w:r>
          </w:p>
        </w:tc>
      </w:tr>
    </w:tbl>
    <w:p w:rsidR="00F46059" w:rsidRPr="0090608F" w:rsidRDefault="00F46059" w:rsidP="00F46059">
      <w:pPr>
        <w:pStyle w:val="TCTableBody"/>
      </w:pPr>
    </w:p>
    <w:p w:rsidR="00F46059" w:rsidRPr="0090608F" w:rsidRDefault="00F46059" w:rsidP="00F46059">
      <w:pPr>
        <w:pStyle w:val="Legend"/>
      </w:pPr>
    </w:p>
    <w:p w:rsidR="00F46059" w:rsidRPr="0090608F" w:rsidRDefault="00F46059" w:rsidP="00F46059">
      <w:pPr>
        <w:pStyle w:val="Legend"/>
      </w:pPr>
      <w:r w:rsidRPr="0090608F">
        <w:rPr>
          <w:noProof/>
          <w:lang w:eastAsia="en-US"/>
        </w:rPr>
        <w:drawing>
          <wp:inline distT="0" distB="0" distL="0" distR="0">
            <wp:extent cx="3014345" cy="2268855"/>
            <wp:effectExtent l="25400" t="0" r="8255" b="0"/>
            <wp:docPr id="1" name="Picture 1" descr="Figur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S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59" w:rsidRPr="0090608F" w:rsidRDefault="00F46059" w:rsidP="00F46059">
      <w:pPr>
        <w:pStyle w:val="VAFigureCaption"/>
      </w:pPr>
      <w:r w:rsidRPr="0090608F">
        <w:rPr>
          <w:b/>
        </w:rPr>
        <w:t>Figure S1.</w:t>
      </w:r>
      <w:r w:rsidRPr="0090608F">
        <w:t xml:space="preserve"> Mean brightness vs. time from HIFU pulsing of droplets as function of time. HIFU is pulsed from 3-17 s. Blue squares indicate 1 µM </w:t>
      </w:r>
      <w:proofErr w:type="spellStart"/>
      <w:r w:rsidRPr="0090608F">
        <w:t>streptavidin</w:t>
      </w:r>
      <w:proofErr w:type="spellEnd"/>
      <w:r w:rsidRPr="0090608F">
        <w:t xml:space="preserve"> loading; red triangles indicate no </w:t>
      </w:r>
      <w:proofErr w:type="spellStart"/>
      <w:r w:rsidRPr="0090608F">
        <w:t>streptavidin</w:t>
      </w:r>
      <w:proofErr w:type="spellEnd"/>
      <w:r w:rsidRPr="0090608F">
        <w:t xml:space="preserve"> loading.</w:t>
      </w:r>
    </w:p>
    <w:p w:rsidR="00F46059" w:rsidRPr="0090608F" w:rsidRDefault="00F46059" w:rsidP="00F46059">
      <w:pPr>
        <w:pStyle w:val="VAFigureCaption"/>
      </w:pPr>
    </w:p>
    <w:p w:rsidR="00F46059" w:rsidRPr="0090608F" w:rsidRDefault="00F46059" w:rsidP="00F46059">
      <w:pPr>
        <w:pStyle w:val="Legend"/>
      </w:pPr>
      <w:r w:rsidRPr="0090608F">
        <w:rPr>
          <w:noProof/>
          <w:lang w:eastAsia="en-US"/>
        </w:rPr>
        <w:drawing>
          <wp:inline distT="0" distB="0" distL="0" distR="0">
            <wp:extent cx="3030855" cy="2387600"/>
            <wp:effectExtent l="25400" t="0" r="0" b="0"/>
            <wp:docPr id="2" name="Picture 2" descr="Figur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S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59" w:rsidRPr="0090608F" w:rsidRDefault="00F46059" w:rsidP="00F46059">
      <w:pPr>
        <w:pStyle w:val="VAFigureCaption"/>
      </w:pPr>
      <w:r w:rsidRPr="0090608F">
        <w:rPr>
          <w:b/>
        </w:rPr>
        <w:t>Figure S2.</w:t>
      </w:r>
      <w:r w:rsidRPr="0090608F">
        <w:t xml:space="preserve"> Still images of </w:t>
      </w:r>
      <w:proofErr w:type="spellStart"/>
      <w:r w:rsidRPr="0090608F">
        <w:t>Neobee</w:t>
      </w:r>
      <w:proofErr w:type="spellEnd"/>
      <w:r w:rsidRPr="0090608F">
        <w:t xml:space="preserve"> oil droplets after HIFU pulsing with either no or 1 µM </w:t>
      </w:r>
      <w:proofErr w:type="spellStart"/>
      <w:r w:rsidRPr="0090608F">
        <w:t>streptavidin</w:t>
      </w:r>
      <w:proofErr w:type="spellEnd"/>
      <w:r w:rsidRPr="0090608F">
        <w:t>.</w:t>
      </w:r>
    </w:p>
    <w:p w:rsidR="00F46059" w:rsidRPr="0090608F" w:rsidRDefault="00F46059" w:rsidP="00F46059">
      <w:pPr>
        <w:pStyle w:val="SNSynopsisTOC"/>
        <w:spacing w:after="240"/>
        <w:jc w:val="left"/>
      </w:pPr>
      <w:r w:rsidRPr="0090608F">
        <w:rPr>
          <w:noProof/>
        </w:rPr>
        <w:drawing>
          <wp:inline distT="0" distB="0" distL="0" distR="0">
            <wp:extent cx="3014345" cy="3488055"/>
            <wp:effectExtent l="25400" t="0" r="8255" b="0"/>
            <wp:docPr id="3" name="Picture 2" descr="Figure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S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345" cy="348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059" w:rsidRPr="0090608F" w:rsidRDefault="00F46059" w:rsidP="00F46059">
      <w:pPr>
        <w:pStyle w:val="VAFigureCaption"/>
      </w:pPr>
      <w:r w:rsidRPr="0090608F">
        <w:rPr>
          <w:b/>
        </w:rPr>
        <w:t>Figure S3:</w:t>
      </w:r>
      <w:r w:rsidRPr="0090608F">
        <w:t xml:space="preserve"> Examples of image processing using </w:t>
      </w:r>
      <w:proofErr w:type="spellStart"/>
      <w:r w:rsidRPr="0090608F">
        <w:t>ImageJ</w:t>
      </w:r>
      <w:proofErr w:type="spellEnd"/>
      <w:r w:rsidRPr="0090608F">
        <w:t xml:space="preserve">. Top: still image from video file. Bottom: image after </w:t>
      </w:r>
      <w:proofErr w:type="spellStart"/>
      <w:r w:rsidRPr="0090608F">
        <w:t>ImageJ</w:t>
      </w:r>
      <w:proofErr w:type="spellEnd"/>
      <w:r w:rsidRPr="0090608F">
        <w:t xml:space="preserve"> processing; dashed rectangle indicates ROI.</w:t>
      </w:r>
    </w:p>
    <w:p w:rsidR="00F46059" w:rsidRPr="0090608F" w:rsidRDefault="00F46059" w:rsidP="00F46059">
      <w:pPr>
        <w:pStyle w:val="Legend"/>
      </w:pPr>
    </w:p>
    <w:p w:rsidR="00C22121" w:rsidRPr="0090608F" w:rsidRDefault="00861C5D">
      <w:pPr>
        <w:rPr>
          <w:b/>
        </w:rPr>
      </w:pPr>
    </w:p>
    <w:sectPr w:rsidR="00C22121" w:rsidRPr="0090608F" w:rsidSect="002F18CE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8CE" w:rsidRDefault="003434D7">
      <w:r>
        <w:separator/>
      </w:r>
    </w:p>
  </w:endnote>
  <w:endnote w:type="continuationSeparator" w:id="0">
    <w:p w:rsidR="002F18CE" w:rsidRDefault="00343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D8" w:rsidRDefault="00D53D83">
    <w:pPr>
      <w:pStyle w:val="Footer"/>
      <w:jc w:val="center"/>
    </w:pPr>
    <w:fldSimple w:instr="PAGE   \* MERGEFORMAT">
      <w:r w:rsidR="0090608F">
        <w:rPr>
          <w:noProof/>
        </w:rPr>
        <w:t>1</w:t>
      </w:r>
    </w:fldSimple>
  </w:p>
  <w:p w:rsidR="000A27D8" w:rsidRDefault="00861C5D" w:rsidP="000A27D8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8CE" w:rsidRDefault="003434D7">
      <w:r>
        <w:separator/>
      </w:r>
    </w:p>
  </w:footnote>
  <w:footnote w:type="continuationSeparator" w:id="0">
    <w:p w:rsidR="002F18CE" w:rsidRDefault="003434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7D8" w:rsidRPr="009B44CC" w:rsidRDefault="00F46059" w:rsidP="000A27D8">
    <w:pPr>
      <w:pStyle w:val="Header"/>
      <w:tabs>
        <w:tab w:val="left" w:pos="5003"/>
      </w:tabs>
      <w:jc w:val="right"/>
      <w:rPr>
        <w:lang w:val="en-US"/>
      </w:rPr>
    </w:pPr>
    <w:r>
      <w:tab/>
      <w:t xml:space="preserve">  </w:t>
    </w:r>
    <w:r>
      <w:tab/>
    </w:r>
    <w:r w:rsidR="00D53D83" w:rsidRPr="00D53D83"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.5pt;height:32pt">
          <v:imagedata r:id="rId1" o:title="Wiley-VCH_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F46059"/>
    <w:rsid w:val="002B4417"/>
    <w:rsid w:val="002F18CE"/>
    <w:rsid w:val="003126A7"/>
    <w:rsid w:val="003434D7"/>
    <w:rsid w:val="0090608F"/>
    <w:rsid w:val="00D53D83"/>
    <w:rsid w:val="00E414BF"/>
    <w:rsid w:val="00F460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9"/>
    <w:rPr>
      <w:rFonts w:ascii="Times New Roman" w:eastAsia="MS Mincho" w:hAnsi="Times New Roman" w:cs="Times New Roman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460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46059"/>
    <w:rPr>
      <w:rFonts w:ascii="Times New Roman" w:eastAsia="MS Mincho" w:hAnsi="Times New Roman" w:cs="Times New Roman"/>
      <w:lang w:eastAsia="ja-JP"/>
    </w:rPr>
  </w:style>
  <w:style w:type="paragraph" w:styleId="Footer">
    <w:name w:val="footer"/>
    <w:basedOn w:val="Normal"/>
    <w:link w:val="FooterChar"/>
    <w:uiPriority w:val="99"/>
    <w:rsid w:val="00F460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059"/>
    <w:rPr>
      <w:rFonts w:ascii="Times New Roman" w:eastAsia="MS Mincho" w:hAnsi="Times New Roman" w:cs="Times New Roman"/>
      <w:lang w:eastAsia="ja-JP"/>
    </w:rPr>
  </w:style>
  <w:style w:type="paragraph" w:customStyle="1" w:styleId="AuthorsFull">
    <w:name w:val="Authors Full"/>
    <w:basedOn w:val="Normal"/>
    <w:rsid w:val="00F46059"/>
    <w:rPr>
      <w:i/>
      <w:lang w:val="en-US"/>
    </w:rPr>
  </w:style>
  <w:style w:type="paragraph" w:customStyle="1" w:styleId="Legend">
    <w:name w:val="Legend"/>
    <w:basedOn w:val="Normal"/>
    <w:rsid w:val="00F46059"/>
    <w:rPr>
      <w:lang w:val="en-US"/>
    </w:rPr>
  </w:style>
  <w:style w:type="paragraph" w:customStyle="1" w:styleId="Tableofcontents">
    <w:name w:val="Table of contents"/>
    <w:basedOn w:val="Normal"/>
    <w:autoRedefine/>
    <w:rsid w:val="00F46059"/>
    <w:rPr>
      <w:b/>
      <w:lang w:val="en-US"/>
    </w:rPr>
  </w:style>
  <w:style w:type="paragraph" w:customStyle="1" w:styleId="Title2">
    <w:name w:val="Title2"/>
    <w:basedOn w:val="Normal"/>
    <w:rsid w:val="00F46059"/>
    <w:rPr>
      <w:b/>
      <w:lang w:val="en-US"/>
    </w:rPr>
  </w:style>
  <w:style w:type="paragraph" w:customStyle="1" w:styleId="VAFigureCaption">
    <w:name w:val="VA_Figure_Caption"/>
    <w:basedOn w:val="Normal"/>
    <w:next w:val="Normal"/>
    <w:rsid w:val="00F46059"/>
    <w:pPr>
      <w:spacing w:after="200" w:line="480" w:lineRule="auto"/>
      <w:jc w:val="both"/>
    </w:pPr>
    <w:rPr>
      <w:rFonts w:ascii="Times" w:eastAsia="Times New Roman" w:hAnsi="Times"/>
      <w:lang w:val="en-US" w:eastAsia="en-US"/>
    </w:rPr>
  </w:style>
  <w:style w:type="paragraph" w:customStyle="1" w:styleId="FETableFootnote">
    <w:name w:val="FE_Table_Footnote"/>
    <w:basedOn w:val="Normal"/>
    <w:next w:val="Normal"/>
    <w:rsid w:val="00F46059"/>
    <w:pPr>
      <w:spacing w:after="200"/>
      <w:ind w:firstLine="187"/>
      <w:jc w:val="both"/>
    </w:pPr>
    <w:rPr>
      <w:rFonts w:ascii="Times" w:eastAsia="Times New Roman" w:hAnsi="Times"/>
      <w:lang w:val="en-US" w:eastAsia="en-US"/>
    </w:rPr>
  </w:style>
  <w:style w:type="paragraph" w:customStyle="1" w:styleId="TCTableBody">
    <w:name w:val="TC_Table_Body"/>
    <w:basedOn w:val="Normal"/>
    <w:rsid w:val="00F46059"/>
    <w:pPr>
      <w:spacing w:after="200"/>
      <w:jc w:val="both"/>
    </w:pPr>
    <w:rPr>
      <w:rFonts w:ascii="Times" w:eastAsia="Times New Roman" w:hAnsi="Times"/>
      <w:lang w:val="en-US" w:eastAsia="en-US"/>
    </w:rPr>
  </w:style>
  <w:style w:type="paragraph" w:customStyle="1" w:styleId="SNSynopsisTOC">
    <w:name w:val="SN_Synopsis_TOC"/>
    <w:basedOn w:val="Normal"/>
    <w:rsid w:val="00F46059"/>
    <w:pPr>
      <w:spacing w:after="200" w:line="480" w:lineRule="auto"/>
      <w:jc w:val="both"/>
    </w:pPr>
    <w:rPr>
      <w:rFonts w:ascii="Times" w:eastAsia="Times New Roman" w:hAnsi="Times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4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4D7"/>
    <w:rPr>
      <w:rFonts w:ascii="Lucida Grande" w:eastAsia="MS Mincho" w:hAnsi="Lucida Grande" w:cs="Times New Roman"/>
      <w:sz w:val="18"/>
      <w:szCs w:val="18"/>
      <w:lang w:val="de-DE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991</Characters>
  <Application>Microsoft Office Word</Application>
  <DocSecurity>0</DocSecurity>
  <Lines>8</Lines>
  <Paragraphs>2</Paragraphs>
  <ScaleCrop>false</ScaleCrop>
  <Company>University of Colorado, Boulder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Goodwin</dc:creator>
  <cp:lastModifiedBy>wbnih</cp:lastModifiedBy>
  <cp:revision>2</cp:revision>
  <dcterms:created xsi:type="dcterms:W3CDTF">2015-08-13T08:43:00Z</dcterms:created>
  <dcterms:modified xsi:type="dcterms:W3CDTF">2015-08-13T08:43:00Z</dcterms:modified>
</cp:coreProperties>
</file>