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C0" w:rsidRPr="00D35EB1" w:rsidRDefault="00A1548A" w:rsidP="00A1548A">
      <w:pPr>
        <w:rPr>
          <w:rFonts w:ascii="Cambria" w:hAnsi="Cambria"/>
          <w:b/>
          <w:color w:val="2F5496" w:themeColor="accent5" w:themeShade="BF"/>
          <w:sz w:val="28"/>
          <w:szCs w:val="28"/>
        </w:rPr>
      </w:pPr>
      <w:r w:rsidRPr="00D35EB1">
        <w:rPr>
          <w:rFonts w:ascii="Cambria" w:hAnsi="Cambria"/>
          <w:b/>
          <w:color w:val="2F5496" w:themeColor="accent5" w:themeShade="BF"/>
          <w:sz w:val="28"/>
          <w:szCs w:val="28"/>
        </w:rPr>
        <w:t xml:space="preserve">Assessing the Impact of Pneumococcal Conjugate Vaccines on </w:t>
      </w:r>
      <w:r w:rsidR="00057733" w:rsidRPr="00D35EB1">
        <w:rPr>
          <w:rFonts w:ascii="Cambria" w:hAnsi="Cambria"/>
          <w:b/>
          <w:color w:val="2F5496" w:themeColor="accent5" w:themeShade="BF"/>
          <w:sz w:val="28"/>
          <w:szCs w:val="28"/>
        </w:rPr>
        <w:t xml:space="preserve">Invasive </w:t>
      </w:r>
      <w:r w:rsidRPr="00D35EB1">
        <w:rPr>
          <w:rFonts w:ascii="Cambria" w:hAnsi="Cambria"/>
          <w:b/>
          <w:color w:val="2F5496" w:themeColor="accent5" w:themeShade="BF"/>
          <w:sz w:val="28"/>
          <w:szCs w:val="28"/>
        </w:rPr>
        <w:t xml:space="preserve">Pneumococcal Disease Using Polymerase Chain Reaction-Based Surveillance: </w:t>
      </w:r>
      <w:r w:rsidR="00B328B5" w:rsidRPr="00D35EB1">
        <w:rPr>
          <w:rFonts w:ascii="Cambria" w:hAnsi="Cambria"/>
          <w:b/>
          <w:color w:val="2F5496" w:themeColor="accent5" w:themeShade="BF"/>
          <w:sz w:val="28"/>
          <w:szCs w:val="28"/>
        </w:rPr>
        <w:t>A</w:t>
      </w:r>
      <w:r w:rsidR="00365470" w:rsidRPr="00D35EB1">
        <w:rPr>
          <w:rFonts w:ascii="Cambria" w:hAnsi="Cambria"/>
          <w:b/>
          <w:color w:val="2F5496" w:themeColor="accent5" w:themeShade="BF"/>
          <w:sz w:val="28"/>
          <w:szCs w:val="28"/>
        </w:rPr>
        <w:t>n Experience from South Africa</w:t>
      </w:r>
      <w:r w:rsidRPr="00D35EB1">
        <w:rPr>
          <w:rFonts w:ascii="Cambria" w:hAnsi="Cambria"/>
          <w:b/>
          <w:color w:val="2F5496" w:themeColor="accent5" w:themeShade="BF"/>
          <w:sz w:val="28"/>
          <w:szCs w:val="28"/>
        </w:rPr>
        <w:t xml:space="preserve"> </w:t>
      </w:r>
      <w:r w:rsidR="00D87851" w:rsidRPr="00D35EB1">
        <w:rPr>
          <w:rFonts w:ascii="Cambria" w:hAnsi="Cambria"/>
          <w:b/>
          <w:color w:val="2F5496" w:themeColor="accent5" w:themeShade="BF"/>
          <w:sz w:val="28"/>
          <w:szCs w:val="28"/>
        </w:rPr>
        <w:t>(Supplementary M</w:t>
      </w:r>
      <w:r w:rsidR="008C03C0" w:rsidRPr="00D35EB1">
        <w:rPr>
          <w:rFonts w:ascii="Cambria" w:hAnsi="Cambria"/>
          <w:b/>
          <w:color w:val="2F5496" w:themeColor="accent5" w:themeShade="BF"/>
          <w:sz w:val="28"/>
          <w:szCs w:val="28"/>
        </w:rPr>
        <w:t>aterial)</w:t>
      </w:r>
    </w:p>
    <w:p w:rsidR="00D639C0" w:rsidRPr="00D35EB1" w:rsidRDefault="00D639C0" w:rsidP="00D639C0">
      <w:pPr>
        <w:rPr>
          <w:rFonts w:ascii="Cambria" w:hAnsi="Cambria"/>
          <w:color w:val="2F5496" w:themeColor="accent5" w:themeShade="BF"/>
        </w:rPr>
      </w:pPr>
    </w:p>
    <w:p w:rsidR="00103BF1" w:rsidRPr="00D35EB1" w:rsidRDefault="00103BF1" w:rsidP="00103BF1">
      <w:pPr>
        <w:jc w:val="both"/>
        <w:rPr>
          <w:rFonts w:ascii="Cambria" w:hAnsi="Cambria"/>
          <w:b/>
          <w:color w:val="2F5496" w:themeColor="accent5" w:themeShade="BF"/>
          <w:sz w:val="20"/>
          <w:szCs w:val="20"/>
        </w:rPr>
      </w:pPr>
      <w:r w:rsidRPr="00D35EB1">
        <w:rPr>
          <w:rFonts w:ascii="Cambria" w:hAnsi="Cambria"/>
          <w:b/>
          <w:color w:val="2F5496" w:themeColor="accent5" w:themeShade="BF"/>
          <w:sz w:val="20"/>
          <w:szCs w:val="20"/>
        </w:rPr>
        <w:t>Authors</w:t>
      </w:r>
    </w:p>
    <w:p w:rsidR="00103BF1" w:rsidRPr="00826CE0" w:rsidRDefault="00103BF1" w:rsidP="00103BF1">
      <w:pPr>
        <w:jc w:val="both"/>
        <w:rPr>
          <w:rFonts w:ascii="Cambria" w:hAnsi="Cambria"/>
          <w:sz w:val="20"/>
          <w:szCs w:val="20"/>
        </w:rPr>
      </w:pPr>
    </w:p>
    <w:p w:rsidR="00103BF1" w:rsidRPr="00826CE0" w:rsidRDefault="00103BF1" w:rsidP="00103BF1">
      <w:pPr>
        <w:jc w:val="both"/>
        <w:rPr>
          <w:rFonts w:ascii="Cambria" w:hAnsi="Cambria"/>
          <w:sz w:val="20"/>
          <w:szCs w:val="20"/>
        </w:rPr>
      </w:pPr>
      <w:r w:rsidRPr="00826CE0">
        <w:rPr>
          <w:rFonts w:ascii="Cambria" w:hAnsi="Cambria"/>
          <w:sz w:val="20"/>
          <w:szCs w:val="20"/>
        </w:rPr>
        <w:t>Stefano Tempia</w:t>
      </w:r>
      <w:r w:rsidRPr="00826CE0">
        <w:rPr>
          <w:rFonts w:ascii="Cambria" w:hAnsi="Cambria"/>
          <w:sz w:val="20"/>
          <w:szCs w:val="20"/>
          <w:vertAlign w:val="superscript"/>
        </w:rPr>
        <w:t>1,2,3</w:t>
      </w:r>
      <w:r w:rsidRPr="00826CE0">
        <w:rPr>
          <w:rFonts w:ascii="Cambria" w:hAnsi="Cambria"/>
          <w:sz w:val="20"/>
          <w:szCs w:val="20"/>
        </w:rPr>
        <w:t>, Nicole Wolter</w:t>
      </w:r>
      <w:r w:rsidRPr="00826CE0">
        <w:rPr>
          <w:rFonts w:ascii="Cambria" w:hAnsi="Cambria"/>
          <w:sz w:val="20"/>
          <w:szCs w:val="20"/>
          <w:vertAlign w:val="superscript"/>
        </w:rPr>
        <w:t>3</w:t>
      </w:r>
      <w:r>
        <w:rPr>
          <w:rFonts w:ascii="Cambria" w:hAnsi="Cambria"/>
          <w:sz w:val="20"/>
          <w:szCs w:val="20"/>
          <w:vertAlign w:val="superscript"/>
        </w:rPr>
        <w:t>,4</w:t>
      </w:r>
      <w:r w:rsidRPr="00826CE0">
        <w:rPr>
          <w:rFonts w:ascii="Cambria" w:hAnsi="Cambria"/>
          <w:sz w:val="20"/>
          <w:szCs w:val="20"/>
        </w:rPr>
        <w:t>, Cheryl Cohen</w:t>
      </w:r>
      <w:r w:rsidRPr="00826CE0">
        <w:rPr>
          <w:rFonts w:ascii="Cambria" w:hAnsi="Cambria"/>
          <w:sz w:val="20"/>
          <w:szCs w:val="20"/>
          <w:vertAlign w:val="superscript"/>
        </w:rPr>
        <w:t>3,</w:t>
      </w:r>
      <w:r>
        <w:rPr>
          <w:rFonts w:ascii="Cambria" w:hAnsi="Cambria"/>
          <w:sz w:val="20"/>
          <w:szCs w:val="20"/>
          <w:vertAlign w:val="superscript"/>
        </w:rPr>
        <w:t>5</w:t>
      </w:r>
      <w:r w:rsidRPr="00826CE0">
        <w:rPr>
          <w:rFonts w:ascii="Cambria" w:hAnsi="Cambria"/>
          <w:sz w:val="20"/>
          <w:szCs w:val="20"/>
        </w:rPr>
        <w:t xml:space="preserve">, </w:t>
      </w:r>
      <w:proofErr w:type="spellStart"/>
      <w:r w:rsidRPr="00826CE0">
        <w:rPr>
          <w:rFonts w:ascii="Cambria" w:hAnsi="Cambria"/>
          <w:sz w:val="20"/>
          <w:szCs w:val="20"/>
        </w:rPr>
        <w:t>Sibongile</w:t>
      </w:r>
      <w:proofErr w:type="spellEnd"/>
      <w:r w:rsidRPr="00826CE0">
        <w:rPr>
          <w:rFonts w:ascii="Cambria" w:hAnsi="Cambria"/>
          <w:sz w:val="20"/>
          <w:szCs w:val="20"/>
        </w:rPr>
        <w:t xml:space="preserve"> Walaza</w:t>
      </w:r>
      <w:r w:rsidRPr="00826CE0">
        <w:rPr>
          <w:rFonts w:ascii="Cambria" w:hAnsi="Cambria"/>
          <w:sz w:val="20"/>
          <w:szCs w:val="20"/>
          <w:vertAlign w:val="superscript"/>
        </w:rPr>
        <w:t>3</w:t>
      </w:r>
      <w:r w:rsidRPr="00826CE0">
        <w:rPr>
          <w:rFonts w:ascii="Cambria" w:hAnsi="Cambria"/>
          <w:sz w:val="20"/>
          <w:szCs w:val="20"/>
        </w:rPr>
        <w:t>, Claire von Mollendorf</w:t>
      </w:r>
      <w:r w:rsidRPr="00826CE0">
        <w:rPr>
          <w:rFonts w:ascii="Cambria" w:hAnsi="Cambria"/>
          <w:sz w:val="20"/>
          <w:szCs w:val="20"/>
          <w:vertAlign w:val="superscript"/>
        </w:rPr>
        <w:t>3</w:t>
      </w:r>
      <w:r w:rsidRPr="00826CE0">
        <w:rPr>
          <w:rFonts w:ascii="Cambria" w:hAnsi="Cambria"/>
          <w:sz w:val="20"/>
          <w:szCs w:val="20"/>
        </w:rPr>
        <w:t>, Adam L. Cohen</w:t>
      </w:r>
      <w:r w:rsidRPr="00826CE0">
        <w:rPr>
          <w:rFonts w:ascii="Cambria" w:hAnsi="Cambria"/>
          <w:sz w:val="20"/>
          <w:szCs w:val="20"/>
          <w:vertAlign w:val="superscript"/>
        </w:rPr>
        <w:t>1,2</w:t>
      </w:r>
      <w:r w:rsidRPr="00826CE0">
        <w:rPr>
          <w:rFonts w:ascii="Cambria" w:hAnsi="Cambria"/>
          <w:sz w:val="20"/>
          <w:szCs w:val="20"/>
        </w:rPr>
        <w:t>, Jocelyn Moyes</w:t>
      </w:r>
      <w:r w:rsidRPr="00826CE0">
        <w:rPr>
          <w:rFonts w:ascii="Cambria" w:hAnsi="Cambria"/>
          <w:sz w:val="20"/>
          <w:szCs w:val="20"/>
          <w:vertAlign w:val="superscript"/>
        </w:rPr>
        <w:t>3,</w:t>
      </w:r>
      <w:r>
        <w:rPr>
          <w:rFonts w:ascii="Cambria" w:hAnsi="Cambria"/>
          <w:sz w:val="20"/>
          <w:szCs w:val="20"/>
          <w:vertAlign w:val="superscript"/>
        </w:rPr>
        <w:t>5</w:t>
      </w:r>
      <w:r w:rsidRPr="00826CE0">
        <w:rPr>
          <w:rFonts w:ascii="Cambria" w:hAnsi="Cambria"/>
          <w:sz w:val="20"/>
          <w:szCs w:val="20"/>
        </w:rPr>
        <w:t xml:space="preserve">, </w:t>
      </w:r>
      <w:r>
        <w:rPr>
          <w:rFonts w:ascii="Cambria" w:hAnsi="Cambria"/>
          <w:sz w:val="20"/>
          <w:szCs w:val="20"/>
        </w:rPr>
        <w:t>Linda d</w:t>
      </w:r>
      <w:r w:rsidRPr="00826CE0">
        <w:rPr>
          <w:rFonts w:ascii="Cambria" w:hAnsi="Cambria"/>
          <w:sz w:val="20"/>
          <w:szCs w:val="20"/>
        </w:rPr>
        <w:t>e Gouveia</w:t>
      </w:r>
      <w:r w:rsidRPr="00826CE0">
        <w:rPr>
          <w:rFonts w:ascii="Cambria" w:hAnsi="Cambria"/>
          <w:sz w:val="20"/>
          <w:szCs w:val="20"/>
          <w:vertAlign w:val="superscript"/>
        </w:rPr>
        <w:t>3</w:t>
      </w:r>
      <w:r w:rsidRPr="00826CE0">
        <w:rPr>
          <w:rFonts w:ascii="Cambria" w:hAnsi="Cambria"/>
          <w:sz w:val="20"/>
          <w:szCs w:val="20"/>
        </w:rPr>
        <w:t>, Susan Nzenze</w:t>
      </w:r>
      <w:r>
        <w:rPr>
          <w:rFonts w:ascii="Cambria" w:hAnsi="Cambria"/>
          <w:sz w:val="20"/>
          <w:szCs w:val="20"/>
          <w:vertAlign w:val="superscript"/>
        </w:rPr>
        <w:t>5</w:t>
      </w:r>
      <w:r w:rsidRPr="00826CE0">
        <w:rPr>
          <w:rFonts w:ascii="Cambria" w:hAnsi="Cambria"/>
          <w:sz w:val="20"/>
          <w:szCs w:val="20"/>
          <w:vertAlign w:val="superscript"/>
        </w:rPr>
        <w:t>,6</w:t>
      </w:r>
      <w:r w:rsidRPr="00826CE0">
        <w:rPr>
          <w:rFonts w:ascii="Cambria" w:hAnsi="Cambria"/>
          <w:sz w:val="20"/>
          <w:szCs w:val="20"/>
        </w:rPr>
        <w:t xml:space="preserve">, </w:t>
      </w:r>
      <w:proofErr w:type="spellStart"/>
      <w:r w:rsidRPr="00826CE0">
        <w:rPr>
          <w:rFonts w:ascii="Cambria" w:hAnsi="Cambria"/>
          <w:sz w:val="20"/>
          <w:szCs w:val="20"/>
        </w:rPr>
        <w:t>Florette</w:t>
      </w:r>
      <w:proofErr w:type="spellEnd"/>
      <w:r w:rsidRPr="00826CE0">
        <w:rPr>
          <w:rFonts w:ascii="Cambria" w:hAnsi="Cambria"/>
          <w:sz w:val="20"/>
          <w:szCs w:val="20"/>
        </w:rPr>
        <w:t xml:space="preserve"> Treurnicht</w:t>
      </w:r>
      <w:r w:rsidRPr="00826CE0">
        <w:rPr>
          <w:rFonts w:ascii="Cambria" w:hAnsi="Cambria"/>
          <w:sz w:val="20"/>
          <w:szCs w:val="20"/>
          <w:vertAlign w:val="superscript"/>
        </w:rPr>
        <w:t>3</w:t>
      </w:r>
      <w:r w:rsidRPr="00826CE0">
        <w:rPr>
          <w:rFonts w:ascii="Cambria" w:hAnsi="Cambria"/>
          <w:sz w:val="20"/>
          <w:szCs w:val="20"/>
        </w:rPr>
        <w:t xml:space="preserve">, </w:t>
      </w:r>
      <w:proofErr w:type="spellStart"/>
      <w:r w:rsidRPr="00826CE0">
        <w:rPr>
          <w:rFonts w:ascii="Cambria" w:hAnsi="Cambria"/>
          <w:sz w:val="20"/>
          <w:szCs w:val="20"/>
        </w:rPr>
        <w:t>Marietjie</w:t>
      </w:r>
      <w:proofErr w:type="spellEnd"/>
      <w:r w:rsidRPr="00826CE0">
        <w:rPr>
          <w:rFonts w:ascii="Cambria" w:hAnsi="Cambria"/>
          <w:sz w:val="20"/>
          <w:szCs w:val="20"/>
        </w:rPr>
        <w:t xml:space="preserve"> Venter</w:t>
      </w:r>
      <w:r>
        <w:rPr>
          <w:rFonts w:ascii="Cambria" w:hAnsi="Cambria"/>
          <w:sz w:val="20"/>
          <w:szCs w:val="20"/>
          <w:vertAlign w:val="superscript"/>
        </w:rPr>
        <w:t>6</w:t>
      </w:r>
      <w:r w:rsidRPr="00826CE0">
        <w:rPr>
          <w:rFonts w:ascii="Cambria" w:hAnsi="Cambria"/>
          <w:sz w:val="20"/>
          <w:szCs w:val="20"/>
        </w:rPr>
        <w:t>, Michelle J. Groome</w:t>
      </w:r>
      <w:r>
        <w:rPr>
          <w:rFonts w:ascii="Cambria" w:hAnsi="Cambria"/>
          <w:sz w:val="20"/>
          <w:szCs w:val="20"/>
          <w:vertAlign w:val="superscript"/>
        </w:rPr>
        <w:t>7</w:t>
      </w:r>
      <w:r w:rsidRPr="00826CE0">
        <w:rPr>
          <w:rFonts w:ascii="Cambria" w:hAnsi="Cambria"/>
          <w:sz w:val="20"/>
          <w:szCs w:val="20"/>
          <w:vertAlign w:val="superscript"/>
        </w:rPr>
        <w:t>,</w:t>
      </w:r>
      <w:r>
        <w:rPr>
          <w:rFonts w:ascii="Cambria" w:hAnsi="Cambria"/>
          <w:sz w:val="20"/>
          <w:szCs w:val="20"/>
          <w:vertAlign w:val="superscript"/>
        </w:rPr>
        <w:t>8</w:t>
      </w:r>
      <w:r w:rsidRPr="00826CE0">
        <w:rPr>
          <w:rFonts w:ascii="Cambria" w:hAnsi="Cambria"/>
          <w:sz w:val="20"/>
          <w:szCs w:val="20"/>
        </w:rPr>
        <w:t xml:space="preserve">, </w:t>
      </w:r>
      <w:proofErr w:type="spellStart"/>
      <w:r w:rsidRPr="00826CE0">
        <w:rPr>
          <w:rFonts w:ascii="Cambria" w:hAnsi="Cambria"/>
          <w:sz w:val="20"/>
          <w:szCs w:val="20"/>
        </w:rPr>
        <w:t>Shabir</w:t>
      </w:r>
      <w:proofErr w:type="spellEnd"/>
      <w:r w:rsidRPr="00826CE0">
        <w:rPr>
          <w:rFonts w:ascii="Cambria" w:hAnsi="Cambria"/>
          <w:sz w:val="20"/>
          <w:szCs w:val="20"/>
        </w:rPr>
        <w:t xml:space="preserve"> A. Madhi</w:t>
      </w:r>
      <w:r>
        <w:rPr>
          <w:rFonts w:ascii="Cambria" w:hAnsi="Cambria"/>
          <w:sz w:val="20"/>
          <w:szCs w:val="20"/>
          <w:vertAlign w:val="superscript"/>
        </w:rPr>
        <w:t>3,7</w:t>
      </w:r>
      <w:r w:rsidRPr="00826CE0">
        <w:rPr>
          <w:rFonts w:ascii="Cambria" w:hAnsi="Cambria"/>
          <w:sz w:val="20"/>
          <w:szCs w:val="20"/>
          <w:vertAlign w:val="superscript"/>
        </w:rPr>
        <w:t>,</w:t>
      </w:r>
      <w:r>
        <w:rPr>
          <w:rFonts w:ascii="Cambria" w:hAnsi="Cambria"/>
          <w:sz w:val="20"/>
          <w:szCs w:val="20"/>
          <w:vertAlign w:val="superscript"/>
        </w:rPr>
        <w:t>8</w:t>
      </w:r>
      <w:r>
        <w:rPr>
          <w:rFonts w:ascii="Cambria" w:hAnsi="Cambria"/>
          <w:sz w:val="20"/>
          <w:szCs w:val="20"/>
        </w:rPr>
        <w:t>, Anne v</w:t>
      </w:r>
      <w:r w:rsidRPr="00826CE0">
        <w:rPr>
          <w:rFonts w:ascii="Cambria" w:hAnsi="Cambria"/>
          <w:sz w:val="20"/>
          <w:szCs w:val="20"/>
        </w:rPr>
        <w:t>on Gottberg</w:t>
      </w:r>
      <w:r w:rsidRPr="00826CE0">
        <w:rPr>
          <w:rFonts w:ascii="Cambria" w:hAnsi="Cambria"/>
          <w:sz w:val="20"/>
          <w:szCs w:val="20"/>
          <w:vertAlign w:val="superscript"/>
        </w:rPr>
        <w:t>3,</w:t>
      </w:r>
      <w:r>
        <w:rPr>
          <w:rFonts w:ascii="Cambria" w:hAnsi="Cambria"/>
          <w:sz w:val="20"/>
          <w:szCs w:val="20"/>
          <w:vertAlign w:val="superscript"/>
        </w:rPr>
        <w:t>4</w:t>
      </w:r>
    </w:p>
    <w:p w:rsidR="00103BF1" w:rsidRPr="00826CE0" w:rsidRDefault="00103BF1" w:rsidP="00103BF1">
      <w:pPr>
        <w:jc w:val="both"/>
        <w:rPr>
          <w:rFonts w:ascii="Cambria" w:hAnsi="Cambria"/>
          <w:sz w:val="20"/>
          <w:szCs w:val="20"/>
        </w:rPr>
      </w:pPr>
    </w:p>
    <w:p w:rsidR="00103BF1" w:rsidRPr="00D35EB1" w:rsidRDefault="00103BF1" w:rsidP="00103BF1">
      <w:pPr>
        <w:jc w:val="both"/>
        <w:rPr>
          <w:rFonts w:ascii="Cambria" w:hAnsi="Cambria"/>
          <w:b/>
          <w:color w:val="2F5496" w:themeColor="accent5" w:themeShade="BF"/>
          <w:sz w:val="20"/>
          <w:szCs w:val="20"/>
        </w:rPr>
      </w:pPr>
      <w:r w:rsidRPr="00D35EB1">
        <w:rPr>
          <w:rFonts w:ascii="Cambria" w:hAnsi="Cambria"/>
          <w:b/>
          <w:color w:val="2F5496" w:themeColor="accent5" w:themeShade="BF"/>
          <w:sz w:val="20"/>
          <w:szCs w:val="20"/>
        </w:rPr>
        <w:t>Affiliations</w:t>
      </w:r>
    </w:p>
    <w:p w:rsidR="00103BF1" w:rsidRPr="00826CE0" w:rsidRDefault="00103BF1" w:rsidP="00103BF1">
      <w:pPr>
        <w:ind w:firstLine="720"/>
        <w:jc w:val="both"/>
        <w:rPr>
          <w:rFonts w:ascii="Cambria" w:hAnsi="Cambria"/>
          <w:sz w:val="20"/>
          <w:szCs w:val="20"/>
        </w:rPr>
      </w:pPr>
    </w:p>
    <w:p w:rsidR="00103BF1" w:rsidRPr="00826CE0" w:rsidRDefault="00103BF1" w:rsidP="00103BF1">
      <w:pPr>
        <w:jc w:val="both"/>
        <w:rPr>
          <w:rFonts w:ascii="Cambria" w:hAnsi="Cambria"/>
          <w:sz w:val="20"/>
          <w:szCs w:val="20"/>
        </w:rPr>
      </w:pPr>
      <w:r w:rsidRPr="00826CE0">
        <w:rPr>
          <w:rFonts w:ascii="Cambria" w:hAnsi="Cambria"/>
          <w:sz w:val="20"/>
          <w:szCs w:val="20"/>
          <w:vertAlign w:val="superscript"/>
        </w:rPr>
        <w:t>1</w:t>
      </w:r>
      <w:r w:rsidRPr="00826CE0">
        <w:rPr>
          <w:rFonts w:ascii="Cambria" w:hAnsi="Cambria"/>
          <w:sz w:val="20"/>
          <w:szCs w:val="20"/>
        </w:rPr>
        <w:t xml:space="preserve">Influenza Division, Centers for Disease Control and Prevention, </w:t>
      </w:r>
      <w:smartTag w:uri="urn:schemas-microsoft-com:office:smarttags" w:element="City">
        <w:r w:rsidRPr="00826CE0">
          <w:rPr>
            <w:rFonts w:ascii="Cambria" w:hAnsi="Cambria"/>
            <w:sz w:val="20"/>
            <w:szCs w:val="20"/>
          </w:rPr>
          <w:t>Atlanta</w:t>
        </w:r>
      </w:smartTag>
      <w:r w:rsidRPr="00826CE0">
        <w:rPr>
          <w:rFonts w:ascii="Cambria" w:hAnsi="Cambria"/>
          <w:sz w:val="20"/>
          <w:szCs w:val="20"/>
        </w:rPr>
        <w:t xml:space="preserve">, </w:t>
      </w:r>
      <w:smartTag w:uri="urn:schemas-microsoft-com:office:smarttags" w:element="country-region">
        <w:r w:rsidRPr="00826CE0">
          <w:rPr>
            <w:rFonts w:ascii="Cambria" w:hAnsi="Cambria"/>
            <w:sz w:val="20"/>
            <w:szCs w:val="20"/>
          </w:rPr>
          <w:t>Georgia</w:t>
        </w:r>
      </w:smartTag>
      <w:r w:rsidRPr="00826CE0">
        <w:rPr>
          <w:rFonts w:ascii="Cambria" w:hAnsi="Cambria"/>
          <w:sz w:val="20"/>
          <w:szCs w:val="20"/>
        </w:rPr>
        <w:t xml:space="preserve">, </w:t>
      </w:r>
      <w:smartTag w:uri="urn:schemas-microsoft-com:office:smarttags" w:element="place">
        <w:smartTag w:uri="urn:schemas-microsoft-com:office:smarttags" w:element="country-region">
          <w:r w:rsidRPr="00826CE0">
            <w:rPr>
              <w:rFonts w:ascii="Cambria" w:hAnsi="Cambria"/>
              <w:sz w:val="20"/>
              <w:szCs w:val="20"/>
            </w:rPr>
            <w:t>United States of America</w:t>
          </w:r>
        </w:smartTag>
      </w:smartTag>
    </w:p>
    <w:p w:rsidR="00103BF1" w:rsidRPr="00826CE0" w:rsidRDefault="00103BF1" w:rsidP="00103BF1">
      <w:pPr>
        <w:jc w:val="both"/>
        <w:rPr>
          <w:rFonts w:ascii="Cambria" w:hAnsi="Cambria"/>
          <w:sz w:val="20"/>
          <w:szCs w:val="20"/>
        </w:rPr>
      </w:pPr>
      <w:r w:rsidRPr="00826CE0">
        <w:rPr>
          <w:rFonts w:ascii="Cambria" w:hAnsi="Cambria"/>
          <w:sz w:val="20"/>
          <w:szCs w:val="20"/>
          <w:vertAlign w:val="superscript"/>
        </w:rPr>
        <w:t>2</w:t>
      </w:r>
      <w:r w:rsidRPr="00826CE0">
        <w:rPr>
          <w:rFonts w:ascii="Cambria" w:hAnsi="Cambria"/>
          <w:sz w:val="20"/>
          <w:szCs w:val="20"/>
        </w:rPr>
        <w:t>Influenza Program, Centers for Disease Control and Prevention, Pretoria, South Africa</w:t>
      </w:r>
    </w:p>
    <w:p w:rsidR="00103BF1" w:rsidRDefault="00103BF1" w:rsidP="00103BF1">
      <w:pPr>
        <w:jc w:val="both"/>
        <w:rPr>
          <w:rFonts w:ascii="Cambria" w:hAnsi="Cambria"/>
          <w:sz w:val="20"/>
          <w:szCs w:val="20"/>
        </w:rPr>
      </w:pPr>
      <w:r w:rsidRPr="00826CE0">
        <w:rPr>
          <w:rFonts w:ascii="Cambria" w:hAnsi="Cambria"/>
          <w:sz w:val="20"/>
          <w:szCs w:val="20"/>
          <w:vertAlign w:val="superscript"/>
        </w:rPr>
        <w:t>3</w:t>
      </w:r>
      <w:r>
        <w:rPr>
          <w:rFonts w:ascii="Cambria" w:hAnsi="Cambria"/>
          <w:sz w:val="20"/>
          <w:szCs w:val="20"/>
        </w:rPr>
        <w:t>Centre</w:t>
      </w:r>
      <w:r w:rsidRPr="00826CE0">
        <w:rPr>
          <w:rFonts w:ascii="Cambria" w:hAnsi="Cambria"/>
          <w:sz w:val="20"/>
          <w:szCs w:val="20"/>
        </w:rPr>
        <w:t xml:space="preserve"> for Respiratory Diseases and Meningitis, National Institute for Communicable Diseases of the National Health Laboratory Service, Johannesburg, South Africa</w:t>
      </w:r>
    </w:p>
    <w:p w:rsidR="00103BF1" w:rsidRPr="004D30AD" w:rsidRDefault="00103BF1" w:rsidP="00103BF1">
      <w:pPr>
        <w:pStyle w:val="ListParagraph"/>
        <w:spacing w:after="0" w:line="240" w:lineRule="auto"/>
        <w:ind w:left="0"/>
        <w:jc w:val="both"/>
        <w:rPr>
          <w:rFonts w:ascii="Cambria" w:hAnsi="Cambria"/>
          <w:color w:val="000001"/>
          <w:spacing w:val="7"/>
          <w:sz w:val="20"/>
          <w:szCs w:val="20"/>
        </w:rPr>
      </w:pPr>
      <w:r>
        <w:rPr>
          <w:rFonts w:ascii="Cambria" w:hAnsi="Cambria"/>
          <w:color w:val="000001"/>
          <w:spacing w:val="7"/>
          <w:sz w:val="20"/>
          <w:szCs w:val="20"/>
          <w:vertAlign w:val="superscript"/>
        </w:rPr>
        <w:t>4</w:t>
      </w:r>
      <w:r>
        <w:rPr>
          <w:rFonts w:ascii="Cambria" w:hAnsi="Cambria"/>
          <w:color w:val="000001"/>
          <w:spacing w:val="7"/>
          <w:sz w:val="20"/>
          <w:szCs w:val="20"/>
        </w:rPr>
        <w:t xml:space="preserve">School of Pathology, </w:t>
      </w:r>
      <w:r w:rsidRPr="00826CE0">
        <w:rPr>
          <w:rFonts w:ascii="Cambria" w:hAnsi="Cambria"/>
          <w:color w:val="000001"/>
          <w:spacing w:val="7"/>
          <w:sz w:val="20"/>
          <w:szCs w:val="20"/>
        </w:rPr>
        <w:t>Faculty of Health Sciences, University of the Witwatersrand, Johannesburg, South Africa</w:t>
      </w:r>
    </w:p>
    <w:p w:rsidR="00103BF1" w:rsidRPr="00826CE0" w:rsidRDefault="00103BF1" w:rsidP="00103BF1">
      <w:pPr>
        <w:pStyle w:val="ListParagraph"/>
        <w:spacing w:after="0" w:line="240" w:lineRule="auto"/>
        <w:ind w:left="0"/>
        <w:jc w:val="both"/>
        <w:rPr>
          <w:rFonts w:ascii="Cambria" w:hAnsi="Cambria"/>
          <w:color w:val="000001"/>
          <w:spacing w:val="7"/>
          <w:sz w:val="20"/>
          <w:szCs w:val="20"/>
        </w:rPr>
      </w:pPr>
      <w:r>
        <w:rPr>
          <w:rFonts w:ascii="Cambria" w:hAnsi="Cambria"/>
          <w:color w:val="000001"/>
          <w:spacing w:val="7"/>
          <w:sz w:val="20"/>
          <w:szCs w:val="20"/>
          <w:vertAlign w:val="superscript"/>
        </w:rPr>
        <w:t>5</w:t>
      </w:r>
      <w:r>
        <w:rPr>
          <w:rFonts w:ascii="Cambria" w:hAnsi="Cambria"/>
          <w:color w:val="000001"/>
          <w:spacing w:val="7"/>
          <w:sz w:val="20"/>
          <w:szCs w:val="20"/>
        </w:rPr>
        <w:t xml:space="preserve">School of Public Health, </w:t>
      </w:r>
      <w:r w:rsidRPr="00826CE0">
        <w:rPr>
          <w:rFonts w:ascii="Cambria" w:hAnsi="Cambria"/>
          <w:color w:val="000001"/>
          <w:spacing w:val="7"/>
          <w:sz w:val="20"/>
          <w:szCs w:val="20"/>
        </w:rPr>
        <w:t>Faculty of Health Sciences, University of the Witwatersrand, Johannesburg, South Africa</w:t>
      </w:r>
    </w:p>
    <w:p w:rsidR="00103BF1" w:rsidRPr="00826CE0" w:rsidRDefault="00103BF1" w:rsidP="00103BF1">
      <w:pPr>
        <w:pStyle w:val="ListParagraph"/>
        <w:spacing w:after="0" w:line="240" w:lineRule="auto"/>
        <w:ind w:left="0"/>
        <w:jc w:val="both"/>
        <w:rPr>
          <w:rFonts w:ascii="Cambria" w:hAnsi="Cambria"/>
          <w:color w:val="000001"/>
          <w:spacing w:val="7"/>
          <w:sz w:val="20"/>
          <w:szCs w:val="20"/>
        </w:rPr>
      </w:pPr>
      <w:r>
        <w:rPr>
          <w:rFonts w:ascii="Cambria" w:hAnsi="Cambria"/>
          <w:color w:val="000001"/>
          <w:spacing w:val="7"/>
          <w:sz w:val="20"/>
          <w:szCs w:val="20"/>
          <w:vertAlign w:val="superscript"/>
        </w:rPr>
        <w:t>6</w:t>
      </w:r>
      <w:r w:rsidRPr="00826CE0">
        <w:rPr>
          <w:rFonts w:ascii="Cambria" w:hAnsi="Cambria"/>
          <w:color w:val="000001"/>
          <w:spacing w:val="7"/>
          <w:sz w:val="20"/>
          <w:szCs w:val="20"/>
        </w:rPr>
        <w:t>Division of Global Health Protection, Centers for Disease Control and Prevention, Pretoria, South Africa</w:t>
      </w:r>
    </w:p>
    <w:p w:rsidR="00103BF1" w:rsidRPr="00826CE0" w:rsidRDefault="00103BF1" w:rsidP="00103BF1">
      <w:pPr>
        <w:pStyle w:val="ListParagraph"/>
        <w:spacing w:after="0" w:line="240" w:lineRule="auto"/>
        <w:ind w:left="0"/>
        <w:jc w:val="both"/>
        <w:rPr>
          <w:rFonts w:ascii="Cambria" w:hAnsi="Cambria"/>
          <w:color w:val="000001"/>
          <w:spacing w:val="7"/>
          <w:sz w:val="20"/>
          <w:szCs w:val="20"/>
        </w:rPr>
      </w:pPr>
      <w:r>
        <w:rPr>
          <w:rFonts w:ascii="Cambria" w:hAnsi="Cambria"/>
          <w:color w:val="000001"/>
          <w:spacing w:val="7"/>
          <w:sz w:val="20"/>
          <w:szCs w:val="20"/>
          <w:vertAlign w:val="superscript"/>
        </w:rPr>
        <w:t>7</w:t>
      </w:r>
      <w:r w:rsidRPr="00826CE0">
        <w:rPr>
          <w:rFonts w:ascii="Cambria" w:hAnsi="Cambria"/>
          <w:color w:val="000001"/>
          <w:spacing w:val="7"/>
          <w:sz w:val="20"/>
          <w:szCs w:val="20"/>
        </w:rPr>
        <w:t>Respiratory and Meningeal Pathogens Research Unit, University of the Witwatersrand, Johannesburg, South Africa</w:t>
      </w:r>
    </w:p>
    <w:p w:rsidR="00103BF1" w:rsidRPr="00826CE0" w:rsidRDefault="00103BF1" w:rsidP="00103BF1">
      <w:pPr>
        <w:pStyle w:val="ListParagraph"/>
        <w:spacing w:after="0" w:line="240" w:lineRule="auto"/>
        <w:ind w:left="0"/>
        <w:jc w:val="both"/>
        <w:rPr>
          <w:rFonts w:ascii="Cambria" w:hAnsi="Cambria"/>
          <w:color w:val="000001"/>
          <w:spacing w:val="7"/>
          <w:sz w:val="20"/>
          <w:szCs w:val="20"/>
        </w:rPr>
      </w:pPr>
      <w:r>
        <w:rPr>
          <w:rFonts w:ascii="Cambria" w:hAnsi="Cambria"/>
          <w:color w:val="000001"/>
          <w:spacing w:val="7"/>
          <w:sz w:val="20"/>
          <w:szCs w:val="20"/>
          <w:vertAlign w:val="superscript"/>
        </w:rPr>
        <w:t>8</w:t>
      </w:r>
      <w:r w:rsidRPr="00826CE0">
        <w:rPr>
          <w:rFonts w:ascii="Cambria" w:hAnsi="Cambria"/>
          <w:color w:val="000001"/>
          <w:spacing w:val="7"/>
          <w:sz w:val="20"/>
          <w:szCs w:val="20"/>
        </w:rPr>
        <w:t>Department of Science and Technology/National Research Foundation: Vaccine Preventable Diseases, University of the Witwatersrand, Johannesburg, South Africa</w:t>
      </w:r>
    </w:p>
    <w:p w:rsidR="00D639C0" w:rsidRDefault="00D639C0">
      <w:pPr>
        <w:spacing w:after="160" w:line="259" w:lineRule="auto"/>
      </w:pPr>
      <w:r>
        <w:br w:type="page"/>
      </w:r>
    </w:p>
    <w:p w:rsidR="00D639C0" w:rsidRPr="00D35EB1" w:rsidRDefault="00D639C0" w:rsidP="00D639C0">
      <w:pPr>
        <w:jc w:val="both"/>
        <w:rPr>
          <w:rFonts w:ascii="Cambria" w:hAnsi="Cambria"/>
          <w:b/>
          <w:color w:val="2F5496" w:themeColor="accent5" w:themeShade="BF"/>
        </w:rPr>
      </w:pPr>
      <w:r w:rsidRPr="00D35EB1">
        <w:rPr>
          <w:rFonts w:ascii="Cambria" w:hAnsi="Cambria"/>
          <w:b/>
          <w:color w:val="2F5496" w:themeColor="accent5" w:themeShade="BF"/>
        </w:rPr>
        <w:lastRenderedPageBreak/>
        <w:t>METHODS</w:t>
      </w:r>
    </w:p>
    <w:p w:rsidR="00D639C0" w:rsidRPr="00D35EB1" w:rsidRDefault="00D639C0" w:rsidP="00D639C0">
      <w:pPr>
        <w:jc w:val="both"/>
        <w:rPr>
          <w:rFonts w:ascii="Cambria" w:hAnsi="Cambria"/>
          <w:b/>
          <w:color w:val="2F5496" w:themeColor="accent5" w:themeShade="BF"/>
        </w:rPr>
      </w:pPr>
    </w:p>
    <w:p w:rsidR="00D639C0" w:rsidRPr="00D35EB1" w:rsidRDefault="00D639C0" w:rsidP="00D639C0">
      <w:pPr>
        <w:jc w:val="both"/>
        <w:rPr>
          <w:rFonts w:ascii="Cambria" w:hAnsi="Cambria"/>
          <w:b/>
          <w:color w:val="2F5496" w:themeColor="accent5" w:themeShade="BF"/>
        </w:rPr>
      </w:pPr>
      <w:r w:rsidRPr="00D35EB1">
        <w:rPr>
          <w:rFonts w:ascii="Cambria" w:hAnsi="Cambria"/>
          <w:b/>
          <w:color w:val="2F5496" w:themeColor="accent5" w:themeShade="BF"/>
        </w:rPr>
        <w:t>Description of the surveillance programs</w:t>
      </w:r>
    </w:p>
    <w:p w:rsidR="00D639C0" w:rsidRPr="00826CE0" w:rsidRDefault="00D639C0" w:rsidP="00D639C0">
      <w:pPr>
        <w:jc w:val="both"/>
        <w:rPr>
          <w:rFonts w:ascii="Cambria" w:hAnsi="Cambria"/>
          <w:b/>
        </w:rPr>
      </w:pPr>
    </w:p>
    <w:p w:rsidR="00D639C0" w:rsidRPr="006B4DB7" w:rsidRDefault="00D639C0" w:rsidP="00D639C0">
      <w:pPr>
        <w:jc w:val="both"/>
        <w:rPr>
          <w:rFonts w:ascii="Cambria" w:hAnsi="Cambria"/>
          <w:i/>
          <w:color w:val="2F5496" w:themeColor="accent5" w:themeShade="BF"/>
          <w:u w:val="single"/>
        </w:rPr>
      </w:pPr>
      <w:r w:rsidRPr="006B4DB7">
        <w:rPr>
          <w:rFonts w:ascii="Cambria" w:hAnsi="Cambria"/>
          <w:i/>
          <w:color w:val="2F5496" w:themeColor="accent5" w:themeShade="BF"/>
          <w:u w:val="single"/>
        </w:rPr>
        <w:t>The Severe Acute Respiratory Illness (SARI) program</w:t>
      </w:r>
    </w:p>
    <w:p w:rsidR="00D639C0" w:rsidRPr="00826CE0" w:rsidRDefault="00D639C0" w:rsidP="00D639C0">
      <w:pPr>
        <w:jc w:val="both"/>
        <w:rPr>
          <w:rFonts w:ascii="Cambria" w:hAnsi="Cambria"/>
          <w:i/>
          <w:u w:val="single"/>
        </w:rPr>
      </w:pPr>
    </w:p>
    <w:p w:rsidR="00D639C0" w:rsidRPr="00826CE0" w:rsidRDefault="00D16049" w:rsidP="00D639C0">
      <w:pPr>
        <w:jc w:val="both"/>
        <w:rPr>
          <w:rFonts w:ascii="Cambria" w:hAnsi="Cambria"/>
        </w:rPr>
      </w:pPr>
      <w:r>
        <w:rPr>
          <w:rFonts w:ascii="Cambria" w:hAnsi="Cambria"/>
          <w:lang w:val="en-GB"/>
        </w:rPr>
        <w:t>Patients</w:t>
      </w:r>
      <w:r w:rsidR="00D639C0" w:rsidRPr="00826CE0">
        <w:rPr>
          <w:rFonts w:ascii="Cambria" w:hAnsi="Cambria"/>
        </w:rPr>
        <w:t xml:space="preserve"> that presented at </w:t>
      </w:r>
      <w:r w:rsidR="006D07AB">
        <w:rPr>
          <w:rFonts w:ascii="Cambria" w:hAnsi="Cambria"/>
        </w:rPr>
        <w:t xml:space="preserve">Chris Hani </w:t>
      </w:r>
      <w:proofErr w:type="spellStart"/>
      <w:r w:rsidR="006D07AB">
        <w:rPr>
          <w:rFonts w:ascii="Cambria" w:hAnsi="Cambria"/>
        </w:rPr>
        <w:t>Baragwanath</w:t>
      </w:r>
      <w:proofErr w:type="spellEnd"/>
      <w:r w:rsidR="006D07AB">
        <w:rPr>
          <w:rFonts w:ascii="Cambria" w:hAnsi="Cambria"/>
        </w:rPr>
        <w:t xml:space="preserve"> Academic Hospital (</w:t>
      </w:r>
      <w:r w:rsidR="00D639C0" w:rsidRPr="00826CE0">
        <w:rPr>
          <w:rFonts w:ascii="Cambria" w:hAnsi="Cambria"/>
        </w:rPr>
        <w:t>CHBAH</w:t>
      </w:r>
      <w:r w:rsidR="006D07AB">
        <w:rPr>
          <w:rFonts w:ascii="Cambria" w:hAnsi="Cambria"/>
        </w:rPr>
        <w:t>)</w:t>
      </w:r>
      <w:r w:rsidR="00103BF1">
        <w:rPr>
          <w:rFonts w:ascii="Cambria" w:hAnsi="Cambria"/>
        </w:rPr>
        <w:t xml:space="preserve"> from Monday to F</w:t>
      </w:r>
      <w:bookmarkStart w:id="0" w:name="_GoBack"/>
      <w:bookmarkEnd w:id="0"/>
      <w:r w:rsidR="00103BF1">
        <w:rPr>
          <w:rFonts w:ascii="Cambria" w:hAnsi="Cambria"/>
        </w:rPr>
        <w:t>riday</w:t>
      </w:r>
      <w:r w:rsidR="00D639C0" w:rsidRPr="00826CE0">
        <w:rPr>
          <w:rFonts w:ascii="Cambria" w:hAnsi="Cambria"/>
        </w:rPr>
        <w:t xml:space="preserve"> </w:t>
      </w:r>
      <w:r w:rsidR="00103BF1">
        <w:rPr>
          <w:rFonts w:ascii="Cambria" w:hAnsi="Cambria"/>
        </w:rPr>
        <w:t>meeting</w:t>
      </w:r>
      <w:r w:rsidR="00D639C0" w:rsidRPr="00826CE0">
        <w:rPr>
          <w:rFonts w:ascii="Cambria" w:hAnsi="Cambria"/>
        </w:rPr>
        <w:t xml:space="preserve"> the </w:t>
      </w:r>
      <w:r w:rsidR="00D639C0">
        <w:rPr>
          <w:rFonts w:ascii="Cambria" w:hAnsi="Cambria"/>
        </w:rPr>
        <w:t>severe acute respiratory illness (</w:t>
      </w:r>
      <w:r w:rsidR="00D639C0" w:rsidRPr="00826CE0">
        <w:rPr>
          <w:rFonts w:ascii="Cambria" w:hAnsi="Cambria"/>
        </w:rPr>
        <w:t>SARI</w:t>
      </w:r>
      <w:r w:rsidR="00D639C0">
        <w:rPr>
          <w:rFonts w:ascii="Cambria" w:hAnsi="Cambria"/>
        </w:rPr>
        <w:t>)</w:t>
      </w:r>
      <w:r w:rsidR="00D639C0" w:rsidRPr="00826CE0">
        <w:rPr>
          <w:rFonts w:ascii="Cambria" w:hAnsi="Cambria"/>
        </w:rPr>
        <w:t xml:space="preserve"> case definition and </w:t>
      </w:r>
      <w:r w:rsidR="00103BF1">
        <w:rPr>
          <w:rFonts w:ascii="Cambria" w:hAnsi="Cambria"/>
        </w:rPr>
        <w:t>with</w:t>
      </w:r>
      <w:r w:rsidR="00D639C0" w:rsidRPr="00826CE0">
        <w:rPr>
          <w:rFonts w:ascii="Cambria" w:hAnsi="Cambria"/>
        </w:rPr>
        <w:t xml:space="preserve"> symptom onset within 7 days from admission were eligible for enrollment, </w:t>
      </w:r>
      <w:r w:rsidR="00D639C0" w:rsidRPr="00826CE0">
        <w:rPr>
          <w:rFonts w:ascii="Cambria" w:hAnsi="Cambria"/>
          <w:lang w:val="en-GB"/>
        </w:rPr>
        <w:t>except for adult patients where enrolment occurred for two of every five working days per week due to large patient numbers (enrolment days varied according to the intake days of the two participating wards). Numbers of patients admitted, numbers meeting the study case definitions and numbers enrolled were collected throughout the study period.</w:t>
      </w:r>
      <w:r w:rsidR="00D639C0" w:rsidRPr="00826CE0">
        <w:rPr>
          <w:rFonts w:ascii="Cambria" w:hAnsi="Cambria"/>
        </w:rPr>
        <w:t xml:space="preserve"> </w:t>
      </w:r>
    </w:p>
    <w:p w:rsidR="00D639C0" w:rsidRDefault="00D639C0" w:rsidP="00D639C0">
      <w:pPr>
        <w:jc w:val="both"/>
        <w:rPr>
          <w:rFonts w:ascii="Cambria" w:hAnsi="Cambria" w:cs="Arial"/>
          <w:szCs w:val="22"/>
        </w:rPr>
      </w:pPr>
    </w:p>
    <w:p w:rsidR="00A550D7" w:rsidRPr="00826CE0" w:rsidRDefault="00A550D7" w:rsidP="00A550D7">
      <w:pPr>
        <w:jc w:val="both"/>
        <w:rPr>
          <w:rFonts w:ascii="Cambria" w:hAnsi="Cambria" w:cs="Arial"/>
          <w:szCs w:val="22"/>
        </w:rPr>
      </w:pPr>
      <w:r>
        <w:rPr>
          <w:rFonts w:ascii="Cambria" w:hAnsi="Cambria" w:cs="Arial"/>
          <w:szCs w:val="22"/>
        </w:rPr>
        <w:t xml:space="preserve">A case of SARI was defined as a hospitalized person who had illness onset within 7 days of admission and who met age-specific clinical inclusion criteria. </w:t>
      </w:r>
      <w:r w:rsidRPr="00826CE0">
        <w:rPr>
          <w:rFonts w:ascii="Cambria" w:hAnsi="Cambria" w:cs="Arial"/>
          <w:szCs w:val="22"/>
        </w:rPr>
        <w:t xml:space="preserve">A case in children aged 2 days to &lt;3 months included any hospitalized patient with diagnosis of suspected sepsis or physician-diagnosed acute lower respiratory tract infection irrespective of signs and symptoms. A case in children aged 3 months to &lt;5 years included any hospitalized patient with physician-diagnosed acute lower respiratory tract infection, including bronchitis, bronchiolitis, pneumonia and pleural effusion. A case in individuals aged ≥5 years included any hospitalized patient presenting with manifestation of acute lower respiratory tract infection with fever (&gt;38°C) </w:t>
      </w:r>
      <w:r>
        <w:rPr>
          <w:rFonts w:ascii="Cambria" w:hAnsi="Cambria" w:cs="Arial"/>
          <w:szCs w:val="22"/>
        </w:rPr>
        <w:t xml:space="preserve">or history of fever </w:t>
      </w:r>
      <w:r w:rsidRPr="00826CE0">
        <w:rPr>
          <w:rFonts w:ascii="Cambria" w:hAnsi="Cambria" w:cs="Arial"/>
          <w:szCs w:val="22"/>
        </w:rPr>
        <w:t xml:space="preserve">and cough or sore throat and shortness of breath or difficult breathing with or without clinical or radiographic findings of pneumonia. </w:t>
      </w:r>
    </w:p>
    <w:p w:rsidR="00D639C0" w:rsidRPr="00826CE0" w:rsidRDefault="00D639C0" w:rsidP="00D639C0">
      <w:pPr>
        <w:jc w:val="both"/>
        <w:rPr>
          <w:rFonts w:ascii="Cambria" w:hAnsi="Cambria" w:cs="Arial"/>
          <w:szCs w:val="22"/>
        </w:rPr>
      </w:pPr>
    </w:p>
    <w:p w:rsidR="00D639C0" w:rsidRPr="00826CE0" w:rsidRDefault="00D639C0" w:rsidP="00D639C0">
      <w:pPr>
        <w:jc w:val="both"/>
        <w:rPr>
          <w:rFonts w:ascii="Cambria" w:hAnsi="Cambria" w:cs="Arial"/>
          <w:szCs w:val="22"/>
        </w:rPr>
      </w:pPr>
      <w:r w:rsidRPr="00826CE0">
        <w:rPr>
          <w:rFonts w:ascii="Cambria" w:hAnsi="Cambria" w:cs="Arial"/>
          <w:szCs w:val="22"/>
        </w:rPr>
        <w:t xml:space="preserve">Study staff completed case report forms until discharge and collected nasopharyngeal (NP) aspirates from children &lt;5 years of age and nasopharyngeal swabs from individuals </w:t>
      </w:r>
      <w:r w:rsidRPr="00826CE0">
        <w:rPr>
          <w:rFonts w:ascii="Cambria" w:hAnsi="Cambria"/>
          <w:szCs w:val="22"/>
        </w:rPr>
        <w:t>≥</w:t>
      </w:r>
      <w:r w:rsidRPr="00826CE0">
        <w:rPr>
          <w:rFonts w:ascii="Cambria" w:hAnsi="Cambria" w:cs="Arial"/>
          <w:szCs w:val="22"/>
        </w:rPr>
        <w:t>5 years of age as well as blood spec</w:t>
      </w:r>
      <w:r w:rsidR="00103BF1">
        <w:rPr>
          <w:rFonts w:ascii="Cambria" w:hAnsi="Cambria" w:cs="Arial"/>
          <w:szCs w:val="22"/>
        </w:rPr>
        <w:t xml:space="preserve">imens. All decisions on medical </w:t>
      </w:r>
      <w:r w:rsidRPr="00826CE0">
        <w:rPr>
          <w:rFonts w:ascii="Cambria" w:hAnsi="Cambria" w:cs="Arial"/>
          <w:szCs w:val="22"/>
        </w:rPr>
        <w:t>car</w:t>
      </w:r>
      <w:r w:rsidR="00E34DB1">
        <w:rPr>
          <w:rFonts w:ascii="Cambria" w:hAnsi="Cambria" w:cs="Arial"/>
          <w:szCs w:val="22"/>
        </w:rPr>
        <w:t xml:space="preserve">e, including requests for </w:t>
      </w:r>
      <w:r w:rsidRPr="00826CE0">
        <w:rPr>
          <w:rFonts w:ascii="Cambria" w:hAnsi="Cambria" w:cs="Arial"/>
          <w:szCs w:val="22"/>
        </w:rPr>
        <w:t xml:space="preserve">cultures, were undertaken at </w:t>
      </w:r>
      <w:r w:rsidR="00103BF1">
        <w:rPr>
          <w:rFonts w:ascii="Cambria" w:hAnsi="Cambria" w:cs="Arial"/>
          <w:szCs w:val="22"/>
        </w:rPr>
        <w:t xml:space="preserve">the discretion of the attending </w:t>
      </w:r>
      <w:r w:rsidRPr="00826CE0">
        <w:rPr>
          <w:rFonts w:ascii="Cambria" w:hAnsi="Cambria" w:cs="Arial"/>
          <w:szCs w:val="22"/>
        </w:rPr>
        <w:t>p</w:t>
      </w:r>
      <w:r w:rsidR="00EA764E">
        <w:rPr>
          <w:rFonts w:ascii="Cambria" w:hAnsi="Cambria" w:cs="Arial"/>
          <w:szCs w:val="22"/>
        </w:rPr>
        <w:t xml:space="preserve">hysician. When available, </w:t>
      </w:r>
      <w:r w:rsidRPr="00826CE0">
        <w:rPr>
          <w:rFonts w:ascii="Cambria" w:hAnsi="Cambria" w:cs="Arial"/>
          <w:szCs w:val="22"/>
        </w:rPr>
        <w:t xml:space="preserve">culture results performed at site were recorded. Data in case report forms were reviewed regularly to identify inconsistencies and regular site visits were conducted to ensure adherence to study procedures. </w:t>
      </w:r>
    </w:p>
    <w:p w:rsidR="00D639C0" w:rsidRPr="00826CE0" w:rsidRDefault="00D639C0" w:rsidP="00D639C0">
      <w:pPr>
        <w:jc w:val="both"/>
        <w:rPr>
          <w:rFonts w:ascii="Cambria" w:hAnsi="Cambria" w:cs="Arial"/>
          <w:szCs w:val="22"/>
        </w:rPr>
      </w:pPr>
    </w:p>
    <w:p w:rsidR="00D639C0" w:rsidRPr="006B4DB7" w:rsidRDefault="00D639C0" w:rsidP="00D639C0">
      <w:pPr>
        <w:jc w:val="both"/>
        <w:rPr>
          <w:rFonts w:ascii="Cambria" w:hAnsi="Cambria"/>
          <w:i/>
          <w:color w:val="2F5496" w:themeColor="accent5" w:themeShade="BF"/>
          <w:u w:val="single"/>
        </w:rPr>
      </w:pPr>
      <w:r w:rsidRPr="006B4DB7">
        <w:rPr>
          <w:rFonts w:ascii="Cambria" w:hAnsi="Cambria"/>
          <w:i/>
          <w:color w:val="2F5496" w:themeColor="accent5" w:themeShade="BF"/>
          <w:u w:val="single"/>
        </w:rPr>
        <w:t>The Group for Enteric, Respiratory and Meningeal Disease Surveillance (GERMS) program</w:t>
      </w:r>
    </w:p>
    <w:p w:rsidR="00D639C0" w:rsidRPr="00826CE0" w:rsidRDefault="00D639C0" w:rsidP="00D639C0">
      <w:pPr>
        <w:jc w:val="both"/>
        <w:rPr>
          <w:rFonts w:ascii="Cambria" w:hAnsi="Cambria" w:cs="Arial"/>
          <w:szCs w:val="22"/>
        </w:rPr>
      </w:pPr>
    </w:p>
    <w:p w:rsidR="00D639C0" w:rsidRDefault="006D07AB" w:rsidP="00D639C0">
      <w:pPr>
        <w:jc w:val="both"/>
        <w:rPr>
          <w:rFonts w:ascii="Cambria" w:hAnsi="Cambria" w:cs="Arial"/>
          <w:szCs w:val="22"/>
        </w:rPr>
      </w:pPr>
      <w:r>
        <w:rPr>
          <w:rFonts w:ascii="Cambria" w:hAnsi="Cambria" w:cs="Arial"/>
          <w:szCs w:val="22"/>
        </w:rPr>
        <w:t xml:space="preserve">In 2012, over 200 laboratories representing more than 450 hospitals actively participated in the GERMS program. </w:t>
      </w:r>
      <w:r w:rsidR="00D639C0" w:rsidRPr="00826CE0">
        <w:rPr>
          <w:rFonts w:ascii="Cambria" w:hAnsi="Cambria" w:cs="Arial"/>
          <w:szCs w:val="22"/>
        </w:rPr>
        <w:t xml:space="preserve">Patients with </w:t>
      </w:r>
      <w:r w:rsidR="00D639C0">
        <w:rPr>
          <w:rFonts w:ascii="Cambria" w:hAnsi="Cambria" w:cs="Arial"/>
          <w:szCs w:val="22"/>
        </w:rPr>
        <w:t xml:space="preserve">invasive pneumococcal </w:t>
      </w:r>
      <w:r w:rsidR="00103BF1">
        <w:rPr>
          <w:rFonts w:ascii="Cambria" w:hAnsi="Cambria" w:cs="Arial"/>
          <w:szCs w:val="22"/>
        </w:rPr>
        <w:t>disease</w:t>
      </w:r>
      <w:r w:rsidR="00D639C0">
        <w:rPr>
          <w:rFonts w:ascii="Cambria" w:hAnsi="Cambria" w:cs="Arial"/>
          <w:szCs w:val="22"/>
        </w:rPr>
        <w:t xml:space="preserve"> (</w:t>
      </w:r>
      <w:r w:rsidR="00D639C0" w:rsidRPr="00826CE0">
        <w:rPr>
          <w:rFonts w:ascii="Cambria" w:hAnsi="Cambria" w:cs="Arial"/>
          <w:szCs w:val="22"/>
        </w:rPr>
        <w:t>IPD</w:t>
      </w:r>
      <w:r w:rsidR="00D639C0">
        <w:rPr>
          <w:rFonts w:ascii="Cambria" w:hAnsi="Cambria" w:cs="Arial"/>
          <w:szCs w:val="22"/>
        </w:rPr>
        <w:t>)</w:t>
      </w:r>
      <w:r w:rsidR="00D639C0" w:rsidRPr="00826CE0">
        <w:rPr>
          <w:rFonts w:ascii="Cambria" w:hAnsi="Cambria" w:cs="Arial"/>
          <w:szCs w:val="22"/>
        </w:rPr>
        <w:t xml:space="preserve"> were defined as hospitalized persons from whom </w:t>
      </w:r>
      <w:r w:rsidR="00D639C0" w:rsidRPr="00826CE0">
        <w:rPr>
          <w:rFonts w:ascii="Cambria" w:hAnsi="Cambria" w:cs="Arial"/>
          <w:i/>
          <w:szCs w:val="22"/>
        </w:rPr>
        <w:t xml:space="preserve">S. </w:t>
      </w:r>
      <w:proofErr w:type="spellStart"/>
      <w:r w:rsidR="00D639C0" w:rsidRPr="00826CE0">
        <w:rPr>
          <w:rFonts w:ascii="Cambria" w:hAnsi="Cambria" w:cs="Arial"/>
          <w:i/>
          <w:szCs w:val="22"/>
        </w:rPr>
        <w:t>pneumoniae</w:t>
      </w:r>
      <w:proofErr w:type="spellEnd"/>
      <w:r w:rsidR="00D639C0" w:rsidRPr="00826CE0">
        <w:rPr>
          <w:rFonts w:ascii="Cambria" w:hAnsi="Cambria" w:cs="Arial"/>
          <w:szCs w:val="22"/>
        </w:rPr>
        <w:t xml:space="preserve"> was cultured from specimens that are normally sterile (e.g., cerebrospinal fluid, blood or joint fluid). </w:t>
      </w:r>
      <w:r>
        <w:rPr>
          <w:rFonts w:ascii="Cambria" w:hAnsi="Cambria" w:cs="Arial"/>
          <w:szCs w:val="22"/>
        </w:rPr>
        <w:t>Reports of laboratory-confirmed IPD together with isolates and demog</w:t>
      </w:r>
      <w:r w:rsidR="00103BF1">
        <w:rPr>
          <w:rFonts w:ascii="Cambria" w:hAnsi="Cambria" w:cs="Arial"/>
          <w:szCs w:val="22"/>
        </w:rPr>
        <w:t>raphic details (e.g. age, sex</w:t>
      </w:r>
      <w:r>
        <w:rPr>
          <w:rFonts w:ascii="Cambria" w:hAnsi="Cambria" w:cs="Arial"/>
          <w:szCs w:val="22"/>
        </w:rPr>
        <w:t xml:space="preserve">, date of specimen collection and body fluid source of isolate) were recorded from all hospitals. Enhanced surveillance at 24 sentinel sites (including </w:t>
      </w:r>
      <w:r>
        <w:rPr>
          <w:rFonts w:ascii="Cambria" w:hAnsi="Cambria" w:cs="Arial"/>
          <w:szCs w:val="22"/>
        </w:rPr>
        <w:lastRenderedPageBreak/>
        <w:t xml:space="preserve">CHBAH) collected additional information including HIV </w:t>
      </w:r>
      <w:proofErr w:type="spellStart"/>
      <w:r>
        <w:rPr>
          <w:rFonts w:ascii="Cambria" w:hAnsi="Cambria" w:cs="Arial"/>
          <w:szCs w:val="22"/>
        </w:rPr>
        <w:t>serostatus</w:t>
      </w:r>
      <w:proofErr w:type="spellEnd"/>
      <w:r>
        <w:rPr>
          <w:rFonts w:ascii="Cambria" w:hAnsi="Cambria" w:cs="Arial"/>
          <w:szCs w:val="22"/>
        </w:rPr>
        <w:t xml:space="preserve"> of enrolled patients.</w:t>
      </w:r>
    </w:p>
    <w:p w:rsidR="00960E50" w:rsidRDefault="00960E50" w:rsidP="00D639C0">
      <w:pPr>
        <w:jc w:val="both"/>
        <w:rPr>
          <w:rFonts w:ascii="Cambria" w:hAnsi="Cambria" w:cs="Arial"/>
          <w:szCs w:val="22"/>
        </w:rPr>
      </w:pPr>
    </w:p>
    <w:p w:rsidR="00247D6F" w:rsidRPr="00D35EB1" w:rsidRDefault="00247D6F" w:rsidP="00247D6F">
      <w:pPr>
        <w:jc w:val="both"/>
        <w:rPr>
          <w:rFonts w:ascii="Cambria" w:hAnsi="Cambria" w:cs="Arial"/>
          <w:b/>
          <w:color w:val="2F5496" w:themeColor="accent5" w:themeShade="BF"/>
          <w:szCs w:val="22"/>
        </w:rPr>
      </w:pPr>
      <w:r w:rsidRPr="00D35EB1">
        <w:rPr>
          <w:rFonts w:ascii="Cambria" w:hAnsi="Cambria" w:cs="Arial"/>
          <w:b/>
          <w:color w:val="2F5496" w:themeColor="accent5" w:themeShade="BF"/>
          <w:szCs w:val="22"/>
        </w:rPr>
        <w:t xml:space="preserve">Detection and serotyping of </w:t>
      </w:r>
      <w:r w:rsidRPr="00D35EB1">
        <w:rPr>
          <w:rFonts w:ascii="Cambria" w:hAnsi="Cambria" w:cs="Arial"/>
          <w:b/>
          <w:i/>
          <w:color w:val="2F5496" w:themeColor="accent5" w:themeShade="BF"/>
          <w:szCs w:val="22"/>
        </w:rPr>
        <w:t xml:space="preserve">S. </w:t>
      </w:r>
      <w:proofErr w:type="spellStart"/>
      <w:r w:rsidRPr="00D35EB1">
        <w:rPr>
          <w:rFonts w:ascii="Cambria" w:hAnsi="Cambria" w:cs="Arial"/>
          <w:b/>
          <w:i/>
          <w:color w:val="2F5496" w:themeColor="accent5" w:themeShade="BF"/>
          <w:szCs w:val="22"/>
        </w:rPr>
        <w:t>pneumoniae</w:t>
      </w:r>
      <w:proofErr w:type="spellEnd"/>
    </w:p>
    <w:p w:rsidR="00247D6F" w:rsidRDefault="00247D6F" w:rsidP="00247D6F">
      <w:pPr>
        <w:jc w:val="both"/>
        <w:rPr>
          <w:rFonts w:ascii="Cambria" w:hAnsi="Cambria" w:cs="Arial"/>
          <w:szCs w:val="22"/>
        </w:rPr>
      </w:pPr>
    </w:p>
    <w:p w:rsidR="00312CB6" w:rsidRDefault="00312CB6" w:rsidP="00247D6F">
      <w:pPr>
        <w:jc w:val="both"/>
        <w:rPr>
          <w:rFonts w:ascii="Cambria" w:hAnsi="Cambria"/>
          <w:i/>
          <w:u w:val="single"/>
        </w:rPr>
      </w:pPr>
      <w:r w:rsidRPr="00826CE0">
        <w:rPr>
          <w:rFonts w:ascii="Cambria" w:hAnsi="Cambria" w:cs="Arial"/>
          <w:szCs w:val="22"/>
        </w:rPr>
        <w:t>All blood samples and IPD isolates/clinical specimens collected from CHBAH under the SARI and GERMS surveillance progr</w:t>
      </w:r>
      <w:r>
        <w:rPr>
          <w:rFonts w:ascii="Cambria" w:hAnsi="Cambria" w:cs="Arial"/>
          <w:szCs w:val="22"/>
        </w:rPr>
        <w:t>ams were processed at the Centre</w:t>
      </w:r>
      <w:r w:rsidRPr="00826CE0">
        <w:rPr>
          <w:rFonts w:ascii="Cambria" w:hAnsi="Cambria" w:cs="Arial"/>
          <w:szCs w:val="22"/>
        </w:rPr>
        <w:t xml:space="preserve"> for Respiratory Diseases and Meningitis (CRDM), National Institute for Communicable Diseases (NICD) of the National Health laboratory Services (NHLS), Johannesburg, South Africa. The CRDM bacteriology laboratory is </w:t>
      </w:r>
      <w:r>
        <w:rPr>
          <w:rFonts w:ascii="Cambria" w:hAnsi="Cambria" w:cs="Arial"/>
          <w:szCs w:val="22"/>
        </w:rPr>
        <w:t>a SANAS (South African National Accreditation System) accredited laboratory since 2008.</w:t>
      </w:r>
    </w:p>
    <w:p w:rsidR="00312CB6" w:rsidRDefault="00312CB6" w:rsidP="00247D6F">
      <w:pPr>
        <w:jc w:val="both"/>
        <w:rPr>
          <w:rFonts w:ascii="Cambria" w:hAnsi="Cambria"/>
          <w:i/>
          <w:u w:val="single"/>
        </w:rPr>
      </w:pPr>
    </w:p>
    <w:p w:rsidR="00247D6F" w:rsidRPr="006B4DB7" w:rsidRDefault="00247D6F" w:rsidP="00247D6F">
      <w:pPr>
        <w:jc w:val="both"/>
        <w:rPr>
          <w:rFonts w:ascii="Cambria" w:hAnsi="Cambria"/>
          <w:i/>
          <w:color w:val="2F5496" w:themeColor="accent5" w:themeShade="BF"/>
          <w:u w:val="single"/>
        </w:rPr>
      </w:pPr>
      <w:r w:rsidRPr="006B4DB7">
        <w:rPr>
          <w:rFonts w:ascii="Cambria" w:hAnsi="Cambria"/>
          <w:i/>
          <w:color w:val="2F5496" w:themeColor="accent5" w:themeShade="BF"/>
          <w:u w:val="single"/>
        </w:rPr>
        <w:t>Samples collected under the Severe Acute Respiratory Illness (SARI) program</w:t>
      </w:r>
    </w:p>
    <w:p w:rsidR="00247D6F" w:rsidRDefault="00247D6F" w:rsidP="00247D6F">
      <w:pPr>
        <w:jc w:val="both"/>
        <w:rPr>
          <w:rFonts w:ascii="Cambria" w:hAnsi="Cambria" w:cs="Arial"/>
          <w:szCs w:val="22"/>
        </w:rPr>
      </w:pPr>
    </w:p>
    <w:p w:rsidR="00247D6F" w:rsidRDefault="00247D6F" w:rsidP="00247D6F">
      <w:pPr>
        <w:jc w:val="both"/>
        <w:rPr>
          <w:rFonts w:ascii="Cambria" w:hAnsi="Cambria" w:cs="Arial"/>
          <w:szCs w:val="22"/>
        </w:rPr>
      </w:pPr>
      <w:r>
        <w:rPr>
          <w:rFonts w:ascii="Cambria" w:hAnsi="Cambria" w:cs="Arial"/>
          <w:szCs w:val="22"/>
        </w:rPr>
        <w:t>For the SARI program, collection and testing of blood samples at CHBAH started in May 2009. Whole blood samples were collected within 24 hours of hospital admiss</w:t>
      </w:r>
      <w:r w:rsidR="00103BF1">
        <w:rPr>
          <w:rFonts w:ascii="Cambria" w:hAnsi="Cambria" w:cs="Arial"/>
          <w:szCs w:val="22"/>
        </w:rPr>
        <w:t>ion. Specimens were stored at 4</w:t>
      </w:r>
      <w:r w:rsidR="00103BF1">
        <w:rPr>
          <w:rFonts w:ascii="Arial" w:hAnsi="Arial" w:cs="Arial"/>
          <w:szCs w:val="22"/>
        </w:rPr>
        <w:t>°</w:t>
      </w:r>
      <w:proofErr w:type="spellStart"/>
      <w:r>
        <w:rPr>
          <w:rFonts w:ascii="Cambria" w:hAnsi="Cambria" w:cs="Arial"/>
          <w:szCs w:val="22"/>
        </w:rPr>
        <w:t>C at</w:t>
      </w:r>
      <w:proofErr w:type="spellEnd"/>
      <w:r>
        <w:rPr>
          <w:rFonts w:ascii="Cambria" w:hAnsi="Cambria" w:cs="Arial"/>
          <w:szCs w:val="22"/>
        </w:rPr>
        <w:t xml:space="preserve"> site and transported to the CRDM for testing. DNA was extracted from 200 </w:t>
      </w:r>
      <w:proofErr w:type="spellStart"/>
      <w:r>
        <w:rPr>
          <w:rFonts w:ascii="Cambria" w:hAnsi="Cambria" w:cs="Arial"/>
          <w:szCs w:val="22"/>
        </w:rPr>
        <w:t>μl</w:t>
      </w:r>
      <w:proofErr w:type="spellEnd"/>
      <w:r>
        <w:rPr>
          <w:rFonts w:ascii="Cambria" w:hAnsi="Cambria" w:cs="Arial"/>
          <w:szCs w:val="22"/>
        </w:rPr>
        <w:t xml:space="preserve"> of whole blood using the DNA Iso</w:t>
      </w:r>
      <w:r w:rsidR="00103BF1">
        <w:rPr>
          <w:rFonts w:ascii="Cambria" w:hAnsi="Cambria" w:cs="Arial"/>
          <w:szCs w:val="22"/>
        </w:rPr>
        <w:t xml:space="preserve">lation kit III for bacteria for the Roche </w:t>
      </w:r>
      <w:proofErr w:type="spellStart"/>
      <w:r w:rsidR="00103BF1">
        <w:rPr>
          <w:rFonts w:ascii="Cambria" w:hAnsi="Cambria" w:cs="Arial"/>
          <w:szCs w:val="22"/>
        </w:rPr>
        <w:t>MagNA</w:t>
      </w:r>
      <w:proofErr w:type="spellEnd"/>
      <w:r w:rsidR="00103BF1">
        <w:rPr>
          <w:rFonts w:ascii="Cambria" w:hAnsi="Cambria" w:cs="Arial"/>
          <w:szCs w:val="22"/>
        </w:rPr>
        <w:t xml:space="preserve"> Pure LC 1.0 or 2.0 </w:t>
      </w:r>
      <w:r>
        <w:rPr>
          <w:rFonts w:ascii="Cambria" w:hAnsi="Cambria" w:cs="Arial"/>
          <w:szCs w:val="22"/>
        </w:rPr>
        <w:t xml:space="preserve"> </w:t>
      </w:r>
      <w:r w:rsidR="00103BF1">
        <w:rPr>
          <w:rFonts w:ascii="Cambria" w:hAnsi="Cambria" w:cs="Arial"/>
          <w:szCs w:val="22"/>
        </w:rPr>
        <w:t xml:space="preserve">instruments and the </w:t>
      </w:r>
      <w:proofErr w:type="spellStart"/>
      <w:r w:rsidR="00103BF1">
        <w:rPr>
          <w:rFonts w:ascii="Cambria" w:hAnsi="Cambria" w:cs="Arial"/>
          <w:szCs w:val="22"/>
        </w:rPr>
        <w:t>MagNA</w:t>
      </w:r>
      <w:proofErr w:type="spellEnd"/>
      <w:r w:rsidR="00103BF1">
        <w:rPr>
          <w:rFonts w:ascii="Cambria" w:hAnsi="Cambria" w:cs="Arial"/>
          <w:szCs w:val="22"/>
        </w:rPr>
        <w:t xml:space="preserve"> Pure 96 DNA and viral NA SV kit for the Roche </w:t>
      </w:r>
      <w:proofErr w:type="spellStart"/>
      <w:r w:rsidR="00103BF1">
        <w:rPr>
          <w:rFonts w:ascii="Cambria" w:hAnsi="Cambria" w:cs="Arial"/>
          <w:szCs w:val="22"/>
        </w:rPr>
        <w:t>MagNA</w:t>
      </w:r>
      <w:proofErr w:type="spellEnd"/>
      <w:r w:rsidR="00103BF1">
        <w:rPr>
          <w:rFonts w:ascii="Cambria" w:hAnsi="Cambria" w:cs="Arial"/>
          <w:szCs w:val="22"/>
        </w:rPr>
        <w:t xml:space="preserve"> Pure 96 instrument </w:t>
      </w:r>
      <w:r>
        <w:rPr>
          <w:rFonts w:ascii="Cambria" w:hAnsi="Cambria" w:cs="Arial"/>
          <w:szCs w:val="22"/>
        </w:rPr>
        <w:t xml:space="preserve">according to the manufacturer’s instructions. Extracted DNA was eluted into 100 </w:t>
      </w:r>
      <w:proofErr w:type="spellStart"/>
      <w:r>
        <w:rPr>
          <w:rFonts w:ascii="Cambria" w:hAnsi="Cambria" w:cs="Arial"/>
          <w:szCs w:val="22"/>
        </w:rPr>
        <w:t>μl</w:t>
      </w:r>
      <w:proofErr w:type="spellEnd"/>
      <w:r>
        <w:rPr>
          <w:rFonts w:ascii="Cambria" w:hAnsi="Cambria" w:cs="Arial"/>
          <w:szCs w:val="22"/>
        </w:rPr>
        <w:t xml:space="preserve"> of e</w:t>
      </w:r>
      <w:r w:rsidR="00103BF1">
        <w:rPr>
          <w:rFonts w:ascii="Cambria" w:hAnsi="Cambria" w:cs="Arial"/>
          <w:szCs w:val="22"/>
        </w:rPr>
        <w:t>lution buffer and stored at -20</w:t>
      </w:r>
      <w:r w:rsidR="00103BF1">
        <w:rPr>
          <w:rFonts w:ascii="Arial" w:hAnsi="Arial" w:cs="Arial"/>
          <w:szCs w:val="22"/>
        </w:rPr>
        <w:t>°</w:t>
      </w:r>
      <w:r>
        <w:rPr>
          <w:rFonts w:ascii="Cambria" w:hAnsi="Cambria" w:cs="Arial"/>
          <w:szCs w:val="22"/>
        </w:rPr>
        <w:t xml:space="preserve">C. </w:t>
      </w:r>
    </w:p>
    <w:p w:rsidR="00247D6F" w:rsidRDefault="00247D6F" w:rsidP="00247D6F">
      <w:pPr>
        <w:jc w:val="both"/>
        <w:rPr>
          <w:rFonts w:ascii="Cambria" w:hAnsi="Cambria" w:cs="Arial"/>
          <w:szCs w:val="22"/>
        </w:rPr>
      </w:pPr>
    </w:p>
    <w:p w:rsidR="00247D6F" w:rsidRDefault="00103BF1" w:rsidP="00247D6F">
      <w:pPr>
        <w:jc w:val="both"/>
        <w:rPr>
          <w:rFonts w:ascii="Cambria" w:hAnsi="Cambria" w:cs="Arial"/>
          <w:szCs w:val="22"/>
        </w:rPr>
      </w:pPr>
      <w:r>
        <w:rPr>
          <w:rFonts w:ascii="Cambria" w:hAnsi="Cambria" w:cs="Arial"/>
          <w:szCs w:val="22"/>
        </w:rPr>
        <w:t xml:space="preserve">A case of </w:t>
      </w:r>
      <w:proofErr w:type="spellStart"/>
      <w:r>
        <w:rPr>
          <w:rFonts w:ascii="Cambria" w:hAnsi="Cambria" w:cs="Arial"/>
          <w:szCs w:val="22"/>
        </w:rPr>
        <w:t>bacter</w:t>
      </w:r>
      <w:r w:rsidR="00247D6F">
        <w:rPr>
          <w:rFonts w:ascii="Cambria" w:hAnsi="Cambria" w:cs="Arial"/>
          <w:szCs w:val="22"/>
        </w:rPr>
        <w:t>emic</w:t>
      </w:r>
      <w:proofErr w:type="spellEnd"/>
      <w:r w:rsidR="00247D6F">
        <w:rPr>
          <w:rFonts w:ascii="Cambria" w:hAnsi="Cambria" w:cs="Arial"/>
          <w:szCs w:val="22"/>
        </w:rPr>
        <w:t xml:space="preserve"> pneumococcal pneumonia (BPP) was defined as the identification of </w:t>
      </w:r>
      <w:r w:rsidR="00247D6F">
        <w:rPr>
          <w:rFonts w:ascii="Cambria" w:hAnsi="Cambria" w:cs="Arial"/>
          <w:i/>
          <w:szCs w:val="22"/>
        </w:rPr>
        <w:t xml:space="preserve">S. </w:t>
      </w:r>
      <w:proofErr w:type="spellStart"/>
      <w:r w:rsidR="00247D6F">
        <w:rPr>
          <w:rFonts w:ascii="Cambria" w:hAnsi="Cambria" w:cs="Arial"/>
          <w:i/>
          <w:szCs w:val="22"/>
        </w:rPr>
        <w:t>pneumoniae</w:t>
      </w:r>
      <w:proofErr w:type="spellEnd"/>
      <w:r w:rsidR="00247D6F">
        <w:rPr>
          <w:rFonts w:ascii="Cambria" w:hAnsi="Cambria" w:cs="Arial"/>
          <w:szCs w:val="22"/>
        </w:rPr>
        <w:t xml:space="preserve"> in the blood specimen using a single-target (</w:t>
      </w:r>
      <w:proofErr w:type="spellStart"/>
      <w:r w:rsidR="00247D6F">
        <w:rPr>
          <w:rFonts w:ascii="Cambria" w:hAnsi="Cambria" w:cs="Arial"/>
          <w:i/>
          <w:szCs w:val="22"/>
        </w:rPr>
        <w:t>lytA</w:t>
      </w:r>
      <w:proofErr w:type="spellEnd"/>
      <w:r w:rsidR="00247D6F">
        <w:rPr>
          <w:rFonts w:ascii="Cambria" w:hAnsi="Cambria" w:cs="Arial"/>
          <w:szCs w:val="22"/>
        </w:rPr>
        <w:t xml:space="preserve">) quantitative real-time PCR assay adapted from </w:t>
      </w:r>
      <w:proofErr w:type="spellStart"/>
      <w:r w:rsidR="00247D6F">
        <w:rPr>
          <w:rFonts w:ascii="Cambria" w:hAnsi="Cambria" w:cs="Arial"/>
          <w:szCs w:val="22"/>
        </w:rPr>
        <w:t>Carvalho</w:t>
      </w:r>
      <w:proofErr w:type="spellEnd"/>
      <w:r w:rsidR="00247D6F">
        <w:rPr>
          <w:rFonts w:ascii="Cambria" w:hAnsi="Cambria" w:cs="Arial"/>
          <w:szCs w:val="22"/>
        </w:rPr>
        <w:t xml:space="preserve"> </w:t>
      </w:r>
      <w:r w:rsidR="00247D6F" w:rsidRPr="00E34DB1">
        <w:rPr>
          <w:rFonts w:ascii="Cambria" w:hAnsi="Cambria" w:cs="Arial"/>
          <w:i/>
          <w:szCs w:val="22"/>
        </w:rPr>
        <w:t>et al.</w:t>
      </w:r>
      <w:r w:rsidR="00247D6F">
        <w:rPr>
          <w:rFonts w:ascii="Cambria" w:hAnsi="Cambria" w:cs="Arial"/>
          <w:szCs w:val="22"/>
        </w:rPr>
        <w:t xml:space="preserve"> [</w:t>
      </w:r>
      <w:r w:rsidR="00247D6F" w:rsidRPr="00247D6F">
        <w:rPr>
          <w:rStyle w:val="EndnoteReference"/>
          <w:rFonts w:ascii="Cambria" w:hAnsi="Cambria" w:cs="Arial"/>
          <w:szCs w:val="22"/>
          <w:vertAlign w:val="baseline"/>
        </w:rPr>
        <w:endnoteReference w:id="1"/>
      </w:r>
      <w:r w:rsidR="00247D6F">
        <w:rPr>
          <w:rFonts w:ascii="Cambria" w:hAnsi="Cambria" w:cs="Arial"/>
          <w:szCs w:val="22"/>
        </w:rPr>
        <w:t xml:space="preserve">]. </w:t>
      </w:r>
      <w:proofErr w:type="spellStart"/>
      <w:r w:rsidR="00247D6F">
        <w:rPr>
          <w:rFonts w:ascii="Cambria" w:hAnsi="Cambria" w:cs="Arial"/>
          <w:i/>
          <w:szCs w:val="22"/>
        </w:rPr>
        <w:t>lytA</w:t>
      </w:r>
      <w:proofErr w:type="spellEnd"/>
      <w:r w:rsidR="00247D6F">
        <w:rPr>
          <w:rFonts w:ascii="Cambria" w:hAnsi="Cambria" w:cs="Arial"/>
          <w:szCs w:val="22"/>
        </w:rPr>
        <w:t xml:space="preserve">-positive specimens (cycle threshold (Ct) value&lt;40) were serotyped by real-time PCR using an adaption of the method described by </w:t>
      </w:r>
      <w:proofErr w:type="spellStart"/>
      <w:r w:rsidR="00247D6F">
        <w:rPr>
          <w:rFonts w:ascii="Cambria" w:hAnsi="Cambria" w:cs="Arial"/>
          <w:szCs w:val="22"/>
        </w:rPr>
        <w:t>Azzari</w:t>
      </w:r>
      <w:proofErr w:type="spellEnd"/>
      <w:r w:rsidR="00247D6F">
        <w:rPr>
          <w:rFonts w:ascii="Cambria" w:hAnsi="Cambria" w:cs="Arial"/>
          <w:szCs w:val="22"/>
        </w:rPr>
        <w:t xml:space="preserve"> </w:t>
      </w:r>
      <w:r w:rsidR="00247D6F" w:rsidRPr="00E34DB1">
        <w:rPr>
          <w:rFonts w:ascii="Cambria" w:hAnsi="Cambria" w:cs="Arial"/>
          <w:i/>
          <w:szCs w:val="22"/>
        </w:rPr>
        <w:t>et al.</w:t>
      </w:r>
      <w:r w:rsidR="00247D6F">
        <w:rPr>
          <w:rFonts w:ascii="Cambria" w:hAnsi="Cambria" w:cs="Arial"/>
          <w:szCs w:val="22"/>
        </w:rPr>
        <w:t xml:space="preserve"> [</w:t>
      </w:r>
      <w:r w:rsidR="00247D6F" w:rsidRPr="00247D6F">
        <w:rPr>
          <w:rStyle w:val="EndnoteReference"/>
          <w:rFonts w:ascii="Cambria" w:hAnsi="Cambria" w:cs="Arial"/>
          <w:szCs w:val="22"/>
          <w:vertAlign w:val="baseline"/>
        </w:rPr>
        <w:endnoteReference w:id="2"/>
      </w:r>
      <w:r w:rsidR="00247D6F">
        <w:rPr>
          <w:rFonts w:ascii="Cambria" w:hAnsi="Cambria" w:cs="Arial"/>
          <w:szCs w:val="22"/>
        </w:rPr>
        <w:t>]. Reactions were performed as duplex reactions and detected serotypes/</w:t>
      </w:r>
      <w:proofErr w:type="spellStart"/>
      <w:r w:rsidR="00247D6F">
        <w:rPr>
          <w:rFonts w:ascii="Cambria" w:hAnsi="Cambria" w:cs="Arial"/>
          <w:szCs w:val="22"/>
        </w:rPr>
        <w:t>serogroups</w:t>
      </w:r>
      <w:proofErr w:type="spellEnd"/>
      <w:r w:rsidR="00247D6F">
        <w:rPr>
          <w:rFonts w:ascii="Cambria" w:hAnsi="Cambria" w:cs="Arial"/>
          <w:szCs w:val="22"/>
        </w:rPr>
        <w:t xml:space="preserve"> 1, 3, 4, 5, 6A/B, 6C/D, 7A/F, 8, 9A/L/V/N, 10A/B, 12A/B/F, 14, 15A/B/C/F, 18A/B/C, 19A, 19B/F, 20, 22A/F/38, 23F, 33A/F/37, 35B and 38. The serotyp</w:t>
      </w:r>
      <w:r>
        <w:rPr>
          <w:rFonts w:ascii="Cambria" w:hAnsi="Cambria" w:cs="Arial"/>
          <w:szCs w:val="22"/>
        </w:rPr>
        <w:t>ing</w:t>
      </w:r>
      <w:r w:rsidR="00247D6F">
        <w:rPr>
          <w:rFonts w:ascii="Cambria" w:hAnsi="Cambria" w:cs="Arial"/>
          <w:szCs w:val="22"/>
        </w:rPr>
        <w:t xml:space="preserve"> assay included targets for all serotypes/</w:t>
      </w:r>
      <w:proofErr w:type="spellStart"/>
      <w:r w:rsidR="00247D6F">
        <w:rPr>
          <w:rFonts w:ascii="Cambria" w:hAnsi="Cambria" w:cs="Arial"/>
          <w:szCs w:val="22"/>
        </w:rPr>
        <w:t>serogroups</w:t>
      </w:r>
      <w:proofErr w:type="spellEnd"/>
      <w:r w:rsidR="00247D6F">
        <w:rPr>
          <w:rFonts w:ascii="Cambria" w:hAnsi="Cambria" w:cs="Arial"/>
          <w:szCs w:val="22"/>
        </w:rPr>
        <w:t xml:space="preserve"> included in PCV-7 or PCV-13. Altogether, taking into account the mixed serotypes or </w:t>
      </w:r>
      <w:proofErr w:type="spellStart"/>
      <w:r w:rsidR="00247D6F">
        <w:rPr>
          <w:rFonts w:ascii="Cambria" w:hAnsi="Cambria" w:cs="Arial"/>
          <w:szCs w:val="22"/>
        </w:rPr>
        <w:t>serogroups</w:t>
      </w:r>
      <w:proofErr w:type="spellEnd"/>
      <w:r w:rsidR="00247D6F">
        <w:rPr>
          <w:rFonts w:ascii="Cambria" w:hAnsi="Cambria" w:cs="Arial"/>
          <w:szCs w:val="22"/>
        </w:rPr>
        <w:t xml:space="preserve"> the assay detected 42 serotypes. If</w:t>
      </w:r>
      <w:r w:rsidR="00596490">
        <w:rPr>
          <w:rFonts w:ascii="Cambria" w:hAnsi="Cambria" w:cs="Arial"/>
          <w:szCs w:val="22"/>
        </w:rPr>
        <w:t xml:space="preserve"> a specimen tested negative (Ct-</w:t>
      </w:r>
      <w:r w:rsidR="00247D6F">
        <w:rPr>
          <w:rFonts w:ascii="Cambria" w:hAnsi="Cambria" w:cs="Arial"/>
          <w:szCs w:val="22"/>
        </w:rPr>
        <w:t>value</w:t>
      </w:r>
      <w:r w:rsidR="005600DE">
        <w:rPr>
          <w:rFonts w:ascii="Cambria" w:hAnsi="Cambria" w:cs="Arial"/>
          <w:szCs w:val="22"/>
        </w:rPr>
        <w:t xml:space="preserve"> </w:t>
      </w:r>
      <w:r w:rsidR="00247D6F">
        <w:rPr>
          <w:rFonts w:ascii="Cambria" w:hAnsi="Cambria" w:cs="Arial"/>
          <w:szCs w:val="22"/>
        </w:rPr>
        <w:t xml:space="preserve">≥40) in all eleven reactions, it was considered to be a serotype not included in the assay (Neg42) and consequentially not a PCV-7 or PCV-13 serotype. </w:t>
      </w:r>
    </w:p>
    <w:p w:rsidR="004E042C" w:rsidRDefault="004E042C" w:rsidP="00247D6F">
      <w:pPr>
        <w:jc w:val="both"/>
        <w:rPr>
          <w:rFonts w:ascii="Cambria" w:hAnsi="Cambria" w:cs="Arial"/>
          <w:szCs w:val="22"/>
        </w:rPr>
      </w:pPr>
    </w:p>
    <w:p w:rsidR="004E042C" w:rsidRDefault="001669FE" w:rsidP="004E042C">
      <w:pPr>
        <w:jc w:val="both"/>
        <w:rPr>
          <w:rFonts w:ascii="Cambria" w:hAnsi="Cambria"/>
        </w:rPr>
      </w:pPr>
      <w:r>
        <w:rPr>
          <w:rFonts w:ascii="Cambria" w:hAnsi="Cambria"/>
        </w:rPr>
        <w:t>For the interpretation of the results of this analysis, i</w:t>
      </w:r>
      <w:r w:rsidR="004E042C">
        <w:rPr>
          <w:rFonts w:ascii="Cambria" w:hAnsi="Cambria"/>
        </w:rPr>
        <w:t>t should be noted that molecular serotyp</w:t>
      </w:r>
      <w:r w:rsidR="00103BF1">
        <w:rPr>
          <w:rFonts w:ascii="Cambria" w:hAnsi="Cambria"/>
        </w:rPr>
        <w:t>ing</w:t>
      </w:r>
      <w:r w:rsidR="004E042C">
        <w:rPr>
          <w:rFonts w:ascii="Cambria" w:hAnsi="Cambria"/>
        </w:rPr>
        <w:t xml:space="preserve"> assays, like those used in this study, have intrinsic limitations. Mainly, the high genotypic similarities between the capsular loci </w:t>
      </w:r>
      <w:r w:rsidR="00103BF1">
        <w:rPr>
          <w:rFonts w:ascii="Cambria" w:hAnsi="Cambria"/>
        </w:rPr>
        <w:t>of certain serotypes make</w:t>
      </w:r>
      <w:r w:rsidR="004E042C">
        <w:rPr>
          <w:rFonts w:ascii="Cambria" w:hAnsi="Cambria"/>
        </w:rPr>
        <w:t xml:space="preserve"> it difficult to develop a serotype-specific assay, and, there</w:t>
      </w:r>
      <w:r w:rsidR="00103BF1">
        <w:rPr>
          <w:rFonts w:ascii="Cambria" w:hAnsi="Cambria"/>
        </w:rPr>
        <w:t xml:space="preserve">fore, certain </w:t>
      </w:r>
      <w:proofErr w:type="spellStart"/>
      <w:r w:rsidR="00103BF1">
        <w:rPr>
          <w:rFonts w:ascii="Cambria" w:hAnsi="Cambria"/>
        </w:rPr>
        <w:t>serogroups</w:t>
      </w:r>
      <w:proofErr w:type="spellEnd"/>
      <w:r w:rsidR="00103BF1">
        <w:rPr>
          <w:rFonts w:ascii="Cambria" w:hAnsi="Cambria"/>
        </w:rPr>
        <w:t xml:space="preserve"> remain</w:t>
      </w:r>
      <w:r w:rsidR="004E042C">
        <w:rPr>
          <w:rFonts w:ascii="Cambria" w:hAnsi="Cambria"/>
        </w:rPr>
        <w:t xml:space="preserve"> unresolved to specific serotypes [</w:t>
      </w:r>
      <w:r w:rsidR="004E042C" w:rsidRPr="004E042C">
        <w:rPr>
          <w:rStyle w:val="EndnoteReference"/>
          <w:rFonts w:ascii="Cambria" w:hAnsi="Cambria"/>
          <w:vertAlign w:val="baseline"/>
        </w:rPr>
        <w:endnoteReference w:id="3"/>
      </w:r>
      <w:r w:rsidR="004E042C">
        <w:rPr>
          <w:rFonts w:ascii="Cambria" w:hAnsi="Cambria"/>
        </w:rPr>
        <w:t xml:space="preserve">]. If </w:t>
      </w:r>
      <w:proofErr w:type="spellStart"/>
      <w:r w:rsidR="004E042C">
        <w:rPr>
          <w:rFonts w:ascii="Cambria" w:hAnsi="Cambria"/>
        </w:rPr>
        <w:t>serogroups</w:t>
      </w:r>
      <w:proofErr w:type="spellEnd"/>
      <w:r w:rsidR="004E042C">
        <w:rPr>
          <w:rFonts w:ascii="Cambria" w:hAnsi="Cambria"/>
        </w:rPr>
        <w:t xml:space="preserve"> including vaccine serotypes are included in the relevant PCV category, like in our study, then </w:t>
      </w:r>
      <w:r w:rsidR="004E042C">
        <w:rPr>
          <w:rFonts w:ascii="Cambria" w:hAnsi="Cambria"/>
          <w:szCs w:val="22"/>
        </w:rPr>
        <w:t xml:space="preserve">the proportional contribution of the non-vaccine serotypes to the overall burden of pneumococcal disease would be lower and those of vaccine serotypes would be higher than the true value. Nonetheless, this would not affect trends as it is expected </w:t>
      </w:r>
      <w:r w:rsidR="004E042C">
        <w:rPr>
          <w:rFonts w:ascii="Cambria" w:hAnsi="Cambria"/>
          <w:szCs w:val="22"/>
        </w:rPr>
        <w:lastRenderedPageBreak/>
        <w:t>that non-vaccine serotypes would not be affected by the introduction of PCV during the early years of introduction when serotype replacement is not expected</w:t>
      </w:r>
      <w:r w:rsidR="00055229">
        <w:rPr>
          <w:rFonts w:ascii="Cambria" w:hAnsi="Cambria"/>
          <w:szCs w:val="22"/>
        </w:rPr>
        <w:t>; hence</w:t>
      </w:r>
      <w:r w:rsidR="00055229" w:rsidRPr="00826CE0">
        <w:rPr>
          <w:rFonts w:ascii="Cambria" w:hAnsi="Cambria"/>
          <w:szCs w:val="22"/>
        </w:rPr>
        <w:t xml:space="preserve"> trends of vaccine groups would be driven by changes among the vaccine serotypes even if non-vaccine serotypes </w:t>
      </w:r>
      <w:r w:rsidR="00E00CFD">
        <w:rPr>
          <w:rFonts w:ascii="Cambria" w:hAnsi="Cambria"/>
          <w:szCs w:val="22"/>
        </w:rPr>
        <w:t>are</w:t>
      </w:r>
      <w:r w:rsidR="00055229" w:rsidRPr="00826CE0">
        <w:rPr>
          <w:rFonts w:ascii="Cambria" w:hAnsi="Cambria"/>
          <w:szCs w:val="22"/>
        </w:rPr>
        <w:t xml:space="preserve"> included</w:t>
      </w:r>
      <w:r w:rsidR="00055229">
        <w:rPr>
          <w:rFonts w:ascii="Cambria" w:hAnsi="Cambria"/>
          <w:szCs w:val="22"/>
        </w:rPr>
        <w:t xml:space="preserve"> in the PCV categories</w:t>
      </w:r>
      <w:r w:rsidR="00055229" w:rsidRPr="00826CE0">
        <w:rPr>
          <w:rFonts w:ascii="Cambria" w:hAnsi="Cambria"/>
          <w:szCs w:val="22"/>
        </w:rPr>
        <w:t xml:space="preserve">. </w:t>
      </w:r>
      <w:r w:rsidR="00E451E9">
        <w:rPr>
          <w:rFonts w:ascii="Cambria" w:hAnsi="Cambria"/>
          <w:szCs w:val="22"/>
        </w:rPr>
        <w:t xml:space="preserve">However, even if the introduction of PCV in the routine infant immunization program would result in the elimination of all PCV serotypes a “base rate” of PCV serotype will remain, owing to the potential inclusion of non-vaccine serotypes in the PCV categories. </w:t>
      </w:r>
      <w:r w:rsidR="004E042C">
        <w:rPr>
          <w:rFonts w:ascii="Cambria" w:hAnsi="Cambria"/>
        </w:rPr>
        <w:t>In addition, limited serotypes are included in the serotype assays to reduce the time and labor required, and, therefore, not all serotypes are detected, including potentially important non-vaccine serotypes. This would hinder the ability to detect possible serotype replacement.</w:t>
      </w:r>
    </w:p>
    <w:p w:rsidR="00247D6F" w:rsidRDefault="00247D6F" w:rsidP="00247D6F">
      <w:pPr>
        <w:jc w:val="both"/>
        <w:rPr>
          <w:rFonts w:ascii="Cambria" w:hAnsi="Cambria" w:cs="Arial"/>
          <w:szCs w:val="22"/>
        </w:rPr>
      </w:pPr>
    </w:p>
    <w:p w:rsidR="00247D6F" w:rsidRPr="006B4DB7" w:rsidRDefault="00247D6F" w:rsidP="00247D6F">
      <w:pPr>
        <w:jc w:val="both"/>
        <w:rPr>
          <w:rFonts w:ascii="Cambria" w:hAnsi="Cambria"/>
          <w:i/>
          <w:color w:val="2F5496" w:themeColor="accent5" w:themeShade="BF"/>
          <w:u w:val="single"/>
        </w:rPr>
      </w:pPr>
      <w:r w:rsidRPr="006B4DB7">
        <w:rPr>
          <w:rFonts w:ascii="Cambria" w:hAnsi="Cambria"/>
          <w:i/>
          <w:color w:val="2F5496" w:themeColor="accent5" w:themeShade="BF"/>
          <w:u w:val="single"/>
        </w:rPr>
        <w:t>Samples collected under the Group for Enteric, Respiratory and Meningeal Disease Surveillance (GERMS) program</w:t>
      </w:r>
    </w:p>
    <w:p w:rsidR="00247D6F" w:rsidRDefault="00247D6F" w:rsidP="00247D6F">
      <w:pPr>
        <w:jc w:val="both"/>
        <w:rPr>
          <w:rFonts w:ascii="Cambria" w:hAnsi="Cambria" w:cs="Arial"/>
          <w:szCs w:val="22"/>
        </w:rPr>
      </w:pPr>
    </w:p>
    <w:p w:rsidR="00247D6F" w:rsidRDefault="00247D6F" w:rsidP="00247D6F">
      <w:pPr>
        <w:jc w:val="both"/>
        <w:rPr>
          <w:rFonts w:ascii="Cambria" w:hAnsi="Cambria" w:cs="Arial"/>
          <w:szCs w:val="22"/>
        </w:rPr>
      </w:pPr>
      <w:r>
        <w:rPr>
          <w:rFonts w:ascii="Cambria" w:hAnsi="Cambria" w:cs="Arial"/>
          <w:i/>
          <w:szCs w:val="22"/>
        </w:rPr>
        <w:t xml:space="preserve">S. </w:t>
      </w:r>
      <w:proofErr w:type="spellStart"/>
      <w:r>
        <w:rPr>
          <w:rFonts w:ascii="Cambria" w:hAnsi="Cambria" w:cs="Arial"/>
          <w:i/>
          <w:szCs w:val="22"/>
        </w:rPr>
        <w:t>pneumoniae</w:t>
      </w:r>
      <w:proofErr w:type="spellEnd"/>
      <w:r>
        <w:rPr>
          <w:rFonts w:ascii="Cambria" w:hAnsi="Cambria" w:cs="Arial"/>
          <w:szCs w:val="22"/>
        </w:rPr>
        <w:t xml:space="preserve"> isolates or clinical specimens (in the event than an organism could not be cultured) obtained from the GERMS program were submitted to the CRDM for testing. Upon receipt of specimens, the bacterial strains were </w:t>
      </w:r>
      <w:proofErr w:type="spellStart"/>
      <w:r>
        <w:rPr>
          <w:rFonts w:ascii="Cambria" w:hAnsi="Cambria" w:cs="Arial"/>
          <w:szCs w:val="22"/>
        </w:rPr>
        <w:t>subcultured</w:t>
      </w:r>
      <w:proofErr w:type="spellEnd"/>
      <w:r>
        <w:rPr>
          <w:rFonts w:ascii="Cambria" w:hAnsi="Cambria" w:cs="Arial"/>
          <w:szCs w:val="22"/>
        </w:rPr>
        <w:t xml:space="preserve"> from Dorset transport medium onto 5% horse blood Columbia base agar (</w:t>
      </w:r>
      <w:proofErr w:type="spellStart"/>
      <w:r>
        <w:rPr>
          <w:rFonts w:ascii="Cambria" w:hAnsi="Cambria" w:cs="Arial"/>
          <w:szCs w:val="22"/>
        </w:rPr>
        <w:t>Oxoid</w:t>
      </w:r>
      <w:proofErr w:type="spellEnd"/>
      <w:r>
        <w:rPr>
          <w:rFonts w:ascii="Cambria" w:hAnsi="Cambria" w:cs="Arial"/>
          <w:szCs w:val="22"/>
        </w:rPr>
        <w:t>, Hampshire, UK). The culture identification was confirmed using standard microbiological procedures [</w:t>
      </w:r>
      <w:r w:rsidRPr="00D129B4">
        <w:rPr>
          <w:rStyle w:val="EndnoteReference"/>
          <w:rFonts w:ascii="Cambria" w:hAnsi="Cambria" w:cs="Arial"/>
          <w:szCs w:val="22"/>
          <w:vertAlign w:val="baseline"/>
        </w:rPr>
        <w:endnoteReference w:id="4"/>
      </w:r>
      <w:r>
        <w:rPr>
          <w:rFonts w:ascii="Cambria" w:hAnsi="Cambria" w:cs="Arial"/>
          <w:szCs w:val="22"/>
        </w:rPr>
        <w:t xml:space="preserve">]. Strains were serotyped by the </w:t>
      </w:r>
      <w:proofErr w:type="spellStart"/>
      <w:r>
        <w:rPr>
          <w:rFonts w:ascii="Cambria" w:hAnsi="Cambria" w:cs="Arial"/>
          <w:szCs w:val="22"/>
        </w:rPr>
        <w:t>Quellung</w:t>
      </w:r>
      <w:proofErr w:type="spellEnd"/>
      <w:r>
        <w:rPr>
          <w:rFonts w:ascii="Cambria" w:hAnsi="Cambria" w:cs="Arial"/>
          <w:szCs w:val="22"/>
        </w:rPr>
        <w:t xml:space="preserve"> reaction [</w:t>
      </w:r>
      <w:r w:rsidR="00D129B4" w:rsidRPr="00D129B4">
        <w:rPr>
          <w:rStyle w:val="EndnoteReference"/>
          <w:rFonts w:ascii="Cambria" w:hAnsi="Cambria" w:cs="Arial"/>
          <w:szCs w:val="22"/>
          <w:vertAlign w:val="baseline"/>
        </w:rPr>
        <w:endnoteReference w:id="5"/>
      </w:r>
      <w:r>
        <w:rPr>
          <w:rFonts w:ascii="Cambria" w:hAnsi="Cambria" w:cs="Arial"/>
          <w:szCs w:val="22"/>
        </w:rPr>
        <w:t>] using type-specific antisera (</w:t>
      </w:r>
      <w:proofErr w:type="spellStart"/>
      <w:r>
        <w:rPr>
          <w:rFonts w:ascii="Cambria" w:hAnsi="Cambria" w:cs="Arial"/>
          <w:szCs w:val="22"/>
        </w:rPr>
        <w:t>Statens</w:t>
      </w:r>
      <w:proofErr w:type="spellEnd"/>
      <w:r>
        <w:rPr>
          <w:rFonts w:ascii="Cambria" w:hAnsi="Cambria" w:cs="Arial"/>
          <w:szCs w:val="22"/>
        </w:rPr>
        <w:t xml:space="preserve"> Serum Institute, Copenhagen, Denmark). </w:t>
      </w:r>
    </w:p>
    <w:p w:rsidR="00247D6F" w:rsidRDefault="00247D6F" w:rsidP="00247D6F">
      <w:pPr>
        <w:jc w:val="both"/>
        <w:rPr>
          <w:rFonts w:ascii="Cambria" w:hAnsi="Cambria" w:cs="Arial"/>
          <w:szCs w:val="22"/>
        </w:rPr>
      </w:pPr>
    </w:p>
    <w:p w:rsidR="00960E50" w:rsidRPr="00D35EB1" w:rsidRDefault="00960E50" w:rsidP="00960E50">
      <w:pPr>
        <w:jc w:val="both"/>
        <w:rPr>
          <w:rFonts w:ascii="Cambria" w:hAnsi="Cambria" w:cs="Arial"/>
          <w:b/>
          <w:color w:val="2F5496" w:themeColor="accent5" w:themeShade="BF"/>
          <w:szCs w:val="22"/>
        </w:rPr>
      </w:pPr>
      <w:r w:rsidRPr="00D35EB1">
        <w:rPr>
          <w:rFonts w:ascii="Cambria" w:hAnsi="Cambria" w:cs="Arial"/>
          <w:b/>
          <w:color w:val="2F5496" w:themeColor="accent5" w:themeShade="BF"/>
          <w:szCs w:val="22"/>
        </w:rPr>
        <w:t>Determination of HIV status</w:t>
      </w:r>
    </w:p>
    <w:p w:rsidR="00960E50" w:rsidRPr="00826CE0" w:rsidRDefault="00960E50" w:rsidP="00960E50">
      <w:pPr>
        <w:jc w:val="both"/>
        <w:rPr>
          <w:rFonts w:ascii="Cambria" w:hAnsi="Cambria" w:cs="Arial"/>
          <w:szCs w:val="22"/>
        </w:rPr>
      </w:pPr>
    </w:p>
    <w:p w:rsidR="00960E50" w:rsidRPr="00826CE0" w:rsidRDefault="009513D8" w:rsidP="00960E50">
      <w:pPr>
        <w:jc w:val="both"/>
        <w:rPr>
          <w:rFonts w:ascii="Cambria" w:hAnsi="Cambria" w:cs="Arial"/>
          <w:szCs w:val="22"/>
        </w:rPr>
      </w:pPr>
      <w:r>
        <w:rPr>
          <w:rFonts w:ascii="Cambria" w:hAnsi="Cambria" w:cs="Arial"/>
          <w:szCs w:val="22"/>
        </w:rPr>
        <w:t>For</w:t>
      </w:r>
      <w:r w:rsidR="00960E50">
        <w:rPr>
          <w:rFonts w:ascii="Cambria" w:hAnsi="Cambria" w:cs="Arial"/>
          <w:szCs w:val="22"/>
        </w:rPr>
        <w:t xml:space="preserve"> the SARI program </w:t>
      </w:r>
      <w:r w:rsidR="00960E50" w:rsidRPr="00826CE0">
        <w:rPr>
          <w:rFonts w:ascii="Cambria" w:hAnsi="Cambria" w:cs="Arial"/>
          <w:szCs w:val="22"/>
        </w:rPr>
        <w:t>HIV results were obtained from a combination of two sources: (</w:t>
      </w:r>
      <w:proofErr w:type="spellStart"/>
      <w:r w:rsidR="00960E50" w:rsidRPr="00826CE0">
        <w:rPr>
          <w:rFonts w:ascii="Cambria" w:hAnsi="Cambria" w:cs="Arial"/>
          <w:szCs w:val="22"/>
        </w:rPr>
        <w:t>i</w:t>
      </w:r>
      <w:proofErr w:type="spellEnd"/>
      <w:r w:rsidR="00960E50" w:rsidRPr="00826CE0">
        <w:rPr>
          <w:rFonts w:ascii="Cambria" w:hAnsi="Cambria" w:cs="Arial"/>
          <w:szCs w:val="22"/>
        </w:rPr>
        <w:t xml:space="preserve">) patient clinical records </w:t>
      </w:r>
      <w:r w:rsidR="009837B6">
        <w:rPr>
          <w:rFonts w:ascii="Cambria" w:hAnsi="Cambria" w:cs="Arial"/>
          <w:szCs w:val="22"/>
        </w:rPr>
        <w:t>when</w:t>
      </w:r>
      <w:r w:rsidR="00960E50" w:rsidRPr="00826CE0">
        <w:rPr>
          <w:rFonts w:ascii="Cambria" w:hAnsi="Cambria" w:cs="Arial"/>
          <w:szCs w:val="22"/>
        </w:rPr>
        <w:t xml:space="preserve"> available and (ii) for consenting patients, an anonymized linked dried blood spot was tested at NICD. </w:t>
      </w:r>
      <w:r w:rsidR="009837B6">
        <w:rPr>
          <w:rFonts w:ascii="Cambria" w:hAnsi="Cambria" w:cs="Arial"/>
          <w:szCs w:val="22"/>
        </w:rPr>
        <w:t>When</w:t>
      </w:r>
      <w:r w:rsidR="00960E50" w:rsidRPr="00826CE0">
        <w:rPr>
          <w:rFonts w:ascii="Cambria" w:hAnsi="Cambria" w:cs="Arial"/>
          <w:szCs w:val="22"/>
        </w:rPr>
        <w:t xml:space="preserve"> both results were available, the NICD result was used. </w:t>
      </w:r>
      <w:r w:rsidR="00960E50">
        <w:rPr>
          <w:rFonts w:ascii="Cambria" w:hAnsi="Cambria" w:cs="Arial"/>
          <w:szCs w:val="22"/>
        </w:rPr>
        <w:t>For the GERMS program HIV results performed at the participating sites were obtained from patient clinical records only.</w:t>
      </w:r>
      <w:r w:rsidR="00960E50" w:rsidRPr="00826CE0">
        <w:rPr>
          <w:rFonts w:ascii="Cambria" w:hAnsi="Cambria" w:cs="Arial"/>
          <w:szCs w:val="22"/>
        </w:rPr>
        <w:t xml:space="preserve"> Testing included HIV enzyme-linked </w:t>
      </w:r>
      <w:proofErr w:type="spellStart"/>
      <w:r w:rsidR="00960E50" w:rsidRPr="00826CE0">
        <w:rPr>
          <w:rFonts w:ascii="Cambria" w:hAnsi="Cambria" w:cs="Arial"/>
          <w:szCs w:val="22"/>
        </w:rPr>
        <w:t>immunosorbent</w:t>
      </w:r>
      <w:proofErr w:type="spellEnd"/>
      <w:r w:rsidR="00960E50" w:rsidRPr="00826CE0">
        <w:rPr>
          <w:rFonts w:ascii="Cambria" w:hAnsi="Cambria" w:cs="Arial"/>
          <w:szCs w:val="22"/>
        </w:rPr>
        <w:t xml:space="preserve"> assay (ELISA) testing for patients ≥18 months and PCR testing for children &lt;18 months.</w:t>
      </w:r>
    </w:p>
    <w:p w:rsidR="00960E50" w:rsidRPr="00826CE0" w:rsidRDefault="00960E50" w:rsidP="00960E50">
      <w:pPr>
        <w:jc w:val="both"/>
        <w:rPr>
          <w:rFonts w:ascii="Cambria" w:hAnsi="Cambria" w:cs="Arial"/>
          <w:szCs w:val="22"/>
        </w:rPr>
      </w:pPr>
    </w:p>
    <w:p w:rsidR="00960E50" w:rsidRPr="00D35EB1" w:rsidRDefault="00960E50" w:rsidP="00960E50">
      <w:pPr>
        <w:jc w:val="both"/>
        <w:rPr>
          <w:rFonts w:ascii="Cambria" w:hAnsi="Cambria" w:cs="Arial"/>
          <w:b/>
          <w:color w:val="2F5496" w:themeColor="accent5" w:themeShade="BF"/>
          <w:szCs w:val="22"/>
        </w:rPr>
      </w:pPr>
      <w:r w:rsidRPr="00D35EB1">
        <w:rPr>
          <w:rFonts w:ascii="Cambria" w:hAnsi="Cambria" w:cs="Arial"/>
          <w:b/>
          <w:color w:val="2F5496" w:themeColor="accent5" w:themeShade="BF"/>
          <w:szCs w:val="22"/>
        </w:rPr>
        <w:t>Definitions</w:t>
      </w:r>
    </w:p>
    <w:p w:rsidR="00960E50" w:rsidRPr="00826CE0" w:rsidRDefault="00960E50" w:rsidP="00960E50">
      <w:pPr>
        <w:jc w:val="both"/>
        <w:rPr>
          <w:rFonts w:ascii="Cambria" w:hAnsi="Cambria" w:cs="Arial"/>
          <w:szCs w:val="22"/>
        </w:rPr>
      </w:pPr>
    </w:p>
    <w:p w:rsidR="00960E50" w:rsidRPr="00826CE0" w:rsidRDefault="00960E50" w:rsidP="00960E50">
      <w:pPr>
        <w:jc w:val="both"/>
        <w:rPr>
          <w:rFonts w:ascii="Cambria" w:hAnsi="Cambria" w:cs="Arial"/>
          <w:szCs w:val="22"/>
        </w:rPr>
      </w:pPr>
      <w:r w:rsidRPr="00826CE0">
        <w:rPr>
          <w:rFonts w:ascii="Cambria" w:hAnsi="Cambria" w:cs="Arial"/>
          <w:szCs w:val="22"/>
        </w:rPr>
        <w:t xml:space="preserve">For this study underlying medical conditions included; chronic lung disease, chronic heart disease, liver disease, renal disease, diabetes mellitus, </w:t>
      </w:r>
      <w:proofErr w:type="spellStart"/>
      <w:r w:rsidRPr="00826CE0">
        <w:rPr>
          <w:rFonts w:ascii="Cambria" w:hAnsi="Cambria" w:cs="Arial"/>
          <w:szCs w:val="22"/>
        </w:rPr>
        <w:t>immunocompromizing</w:t>
      </w:r>
      <w:proofErr w:type="spellEnd"/>
      <w:r w:rsidRPr="00826CE0">
        <w:rPr>
          <w:rFonts w:ascii="Cambria" w:hAnsi="Cambria" w:cs="Arial"/>
          <w:szCs w:val="22"/>
        </w:rPr>
        <w:t xml:space="preserve"> conditions excluding HIV infection or neurological disease. Comorbidities were considered absent in cases for which the medical records stated that the patient had no underlying medical condition or when there was no direct reference to that condition. </w:t>
      </w:r>
    </w:p>
    <w:p w:rsidR="00960E50" w:rsidRPr="00826CE0" w:rsidRDefault="00960E50" w:rsidP="00960E50">
      <w:pPr>
        <w:jc w:val="both"/>
        <w:rPr>
          <w:rFonts w:ascii="Cambria" w:hAnsi="Cambria" w:cs="Arial"/>
          <w:szCs w:val="22"/>
        </w:rPr>
      </w:pPr>
    </w:p>
    <w:p w:rsidR="00960E50" w:rsidRPr="00826CE0" w:rsidRDefault="004865D6" w:rsidP="00960E50">
      <w:pPr>
        <w:jc w:val="both"/>
        <w:rPr>
          <w:rFonts w:ascii="Cambria" w:hAnsi="Cambria"/>
          <w:szCs w:val="22"/>
        </w:rPr>
      </w:pPr>
      <w:proofErr w:type="spellStart"/>
      <w:r w:rsidRPr="004865D6">
        <w:rPr>
          <w:rFonts w:ascii="Cambria" w:hAnsi="Cambria"/>
          <w:i/>
          <w:szCs w:val="22"/>
        </w:rPr>
        <w:t>lytA</w:t>
      </w:r>
      <w:proofErr w:type="spellEnd"/>
      <w:r>
        <w:rPr>
          <w:rFonts w:ascii="Cambria" w:hAnsi="Cambria"/>
          <w:szCs w:val="22"/>
        </w:rPr>
        <w:t>-positive (</w:t>
      </w:r>
      <w:r w:rsidR="00960E50" w:rsidRPr="00826CE0">
        <w:rPr>
          <w:rFonts w:ascii="Cambria" w:hAnsi="Cambria"/>
          <w:szCs w:val="22"/>
        </w:rPr>
        <w:t>SARI</w:t>
      </w:r>
      <w:r>
        <w:rPr>
          <w:rFonts w:ascii="Cambria" w:hAnsi="Cambria"/>
          <w:szCs w:val="22"/>
        </w:rPr>
        <w:t>)</w:t>
      </w:r>
      <w:r w:rsidR="00960E50" w:rsidRPr="00826CE0">
        <w:rPr>
          <w:rFonts w:ascii="Cambria" w:hAnsi="Cambria"/>
          <w:szCs w:val="22"/>
        </w:rPr>
        <w:t xml:space="preserve"> </w:t>
      </w:r>
      <w:r w:rsidR="00103BF1">
        <w:rPr>
          <w:rFonts w:ascii="Cambria" w:hAnsi="Cambria"/>
          <w:szCs w:val="22"/>
        </w:rPr>
        <w:t xml:space="preserve">specimen </w:t>
      </w:r>
      <w:r w:rsidR="00960E50" w:rsidRPr="00826CE0">
        <w:rPr>
          <w:rFonts w:ascii="Cambria" w:hAnsi="Cambria"/>
          <w:szCs w:val="22"/>
        </w:rPr>
        <w:t>serotypes were categorized as PCV-7 serotypes/</w:t>
      </w:r>
      <w:proofErr w:type="spellStart"/>
      <w:r w:rsidR="00960E50" w:rsidRPr="00826CE0">
        <w:rPr>
          <w:rFonts w:ascii="Cambria" w:hAnsi="Cambria"/>
          <w:szCs w:val="22"/>
        </w:rPr>
        <w:t>serogroups</w:t>
      </w:r>
      <w:proofErr w:type="spellEnd"/>
      <w:r w:rsidR="00960E50" w:rsidRPr="00826CE0">
        <w:rPr>
          <w:rFonts w:ascii="Cambria" w:hAnsi="Cambria"/>
          <w:szCs w:val="22"/>
        </w:rPr>
        <w:t xml:space="preserve"> (4, 6A/B, 9A/V/L/N, 14, 18A/B/C, 19B/F, 23F), additional PCV-13 serotypes/</w:t>
      </w:r>
      <w:proofErr w:type="spellStart"/>
      <w:r w:rsidR="00960E50" w:rsidRPr="00826CE0">
        <w:rPr>
          <w:rFonts w:ascii="Cambria" w:hAnsi="Cambria"/>
          <w:szCs w:val="22"/>
        </w:rPr>
        <w:t>serogroups</w:t>
      </w:r>
      <w:proofErr w:type="spellEnd"/>
      <w:r w:rsidR="00960E50" w:rsidRPr="00826CE0">
        <w:rPr>
          <w:rFonts w:ascii="Cambria" w:hAnsi="Cambria"/>
          <w:szCs w:val="22"/>
        </w:rPr>
        <w:t xml:space="preserve"> not included in PCV-7 (1, 3, 5, 7A/F, 19A), and non-vaccine serotypes (all serotypes</w:t>
      </w:r>
      <w:r w:rsidR="00A47471">
        <w:rPr>
          <w:rFonts w:ascii="Cambria" w:hAnsi="Cambria"/>
          <w:szCs w:val="22"/>
        </w:rPr>
        <w:t>/</w:t>
      </w:r>
      <w:proofErr w:type="spellStart"/>
      <w:r w:rsidR="00A47471">
        <w:rPr>
          <w:rFonts w:ascii="Cambria" w:hAnsi="Cambria"/>
          <w:szCs w:val="22"/>
        </w:rPr>
        <w:t>serogroups</w:t>
      </w:r>
      <w:proofErr w:type="spellEnd"/>
      <w:r w:rsidR="00960E50" w:rsidRPr="00826CE0">
        <w:rPr>
          <w:rFonts w:ascii="Cambria" w:hAnsi="Cambria"/>
          <w:szCs w:val="22"/>
        </w:rPr>
        <w:t xml:space="preserve"> not included in </w:t>
      </w:r>
      <w:r w:rsidR="00E00CFD">
        <w:rPr>
          <w:rFonts w:ascii="Cambria" w:hAnsi="Cambria"/>
          <w:szCs w:val="22"/>
        </w:rPr>
        <w:t xml:space="preserve">PCV-7 or </w:t>
      </w:r>
      <w:r w:rsidR="00960E50" w:rsidRPr="00826CE0">
        <w:rPr>
          <w:rFonts w:ascii="Cambria" w:hAnsi="Cambria"/>
          <w:szCs w:val="22"/>
        </w:rPr>
        <w:t xml:space="preserve">PCV-13, </w:t>
      </w:r>
      <w:r w:rsidR="00960E50" w:rsidRPr="00826CE0">
        <w:rPr>
          <w:rFonts w:ascii="Cambria" w:hAnsi="Cambria"/>
          <w:szCs w:val="22"/>
        </w:rPr>
        <w:lastRenderedPageBreak/>
        <w:t xml:space="preserve">including samples classified as Neg42). Because the serotype assay cannot differentiate serotypes within certain </w:t>
      </w:r>
      <w:proofErr w:type="spellStart"/>
      <w:r w:rsidR="00960E50" w:rsidRPr="00826CE0">
        <w:rPr>
          <w:rFonts w:ascii="Cambria" w:hAnsi="Cambria"/>
          <w:szCs w:val="22"/>
        </w:rPr>
        <w:t>serogroups</w:t>
      </w:r>
      <w:proofErr w:type="spellEnd"/>
      <w:r w:rsidR="00960E50" w:rsidRPr="00826CE0">
        <w:rPr>
          <w:rFonts w:ascii="Cambria" w:hAnsi="Cambria"/>
          <w:szCs w:val="22"/>
        </w:rPr>
        <w:t xml:space="preserve"> we included </w:t>
      </w:r>
      <w:proofErr w:type="spellStart"/>
      <w:r w:rsidR="00960E50" w:rsidRPr="00826CE0">
        <w:rPr>
          <w:rFonts w:ascii="Cambria" w:hAnsi="Cambria"/>
          <w:szCs w:val="22"/>
        </w:rPr>
        <w:t>serogroups</w:t>
      </w:r>
      <w:proofErr w:type="spellEnd"/>
      <w:r w:rsidR="00960E50" w:rsidRPr="00826CE0">
        <w:rPr>
          <w:rFonts w:ascii="Cambria" w:hAnsi="Cambria"/>
          <w:szCs w:val="22"/>
        </w:rPr>
        <w:t xml:space="preserve"> that included a vaccine serotype in the corresponding PCV category. This resulted in the potential inclusion of non-vaccine serotypes in a specific vaccine </w:t>
      </w:r>
      <w:r w:rsidR="00D16049">
        <w:rPr>
          <w:rFonts w:ascii="Cambria" w:hAnsi="Cambria"/>
          <w:szCs w:val="22"/>
        </w:rPr>
        <w:t>group</w:t>
      </w:r>
      <w:r w:rsidR="00960E50" w:rsidRPr="00826CE0">
        <w:rPr>
          <w:rFonts w:ascii="Cambria" w:hAnsi="Cambria"/>
          <w:szCs w:val="22"/>
        </w:rPr>
        <w:t xml:space="preserve"> (e.g., 6A, 9A/L/N, 18A/B and 19B in the PCV-7 group; and 7A in the PCV-13 group) and the exclusion of the same serotype from the non-vaccine group. </w:t>
      </w:r>
    </w:p>
    <w:p w:rsidR="00960E50" w:rsidRPr="00826CE0" w:rsidRDefault="00960E50" w:rsidP="00960E50">
      <w:pPr>
        <w:jc w:val="both"/>
        <w:rPr>
          <w:rFonts w:ascii="Cambria" w:hAnsi="Cambria"/>
          <w:szCs w:val="22"/>
        </w:rPr>
      </w:pPr>
    </w:p>
    <w:p w:rsidR="00960E50" w:rsidRPr="00826CE0" w:rsidRDefault="004865D6" w:rsidP="00960E50">
      <w:pPr>
        <w:jc w:val="both"/>
        <w:rPr>
          <w:rFonts w:ascii="Cambria" w:hAnsi="Cambria" w:cs="Arial"/>
          <w:b/>
          <w:szCs w:val="22"/>
        </w:rPr>
      </w:pPr>
      <w:r>
        <w:rPr>
          <w:rFonts w:ascii="Cambria" w:hAnsi="Cambria"/>
          <w:szCs w:val="22"/>
        </w:rPr>
        <w:t>Culture-positive (</w:t>
      </w:r>
      <w:r w:rsidR="00960E50" w:rsidRPr="00826CE0">
        <w:rPr>
          <w:rFonts w:ascii="Cambria" w:hAnsi="Cambria"/>
          <w:szCs w:val="22"/>
        </w:rPr>
        <w:t>GERMS</w:t>
      </w:r>
      <w:r>
        <w:rPr>
          <w:rFonts w:ascii="Cambria" w:hAnsi="Cambria"/>
          <w:szCs w:val="22"/>
        </w:rPr>
        <w:t>)</w:t>
      </w:r>
      <w:r w:rsidR="00960E50" w:rsidRPr="00826CE0">
        <w:rPr>
          <w:rFonts w:ascii="Cambria" w:hAnsi="Cambria"/>
          <w:szCs w:val="22"/>
        </w:rPr>
        <w:t xml:space="preserve"> </w:t>
      </w:r>
      <w:r w:rsidR="00D9681E">
        <w:rPr>
          <w:rFonts w:ascii="Cambria" w:hAnsi="Cambria"/>
          <w:szCs w:val="22"/>
        </w:rPr>
        <w:t xml:space="preserve">specimen </w:t>
      </w:r>
      <w:r w:rsidR="00960E50" w:rsidRPr="00826CE0">
        <w:rPr>
          <w:rFonts w:ascii="Cambria" w:hAnsi="Cambria"/>
          <w:szCs w:val="22"/>
        </w:rPr>
        <w:t>serotypes were categorized as PCV-7 serotypes (4, 6</w:t>
      </w:r>
      <w:r w:rsidR="00103BF1">
        <w:rPr>
          <w:rFonts w:ascii="Cambria" w:hAnsi="Cambria"/>
          <w:szCs w:val="22"/>
        </w:rPr>
        <w:t>A/B, 9V</w:t>
      </w:r>
      <w:r w:rsidR="00960E50" w:rsidRPr="00826CE0">
        <w:rPr>
          <w:rFonts w:ascii="Cambria" w:hAnsi="Cambria"/>
          <w:szCs w:val="22"/>
        </w:rPr>
        <w:t>, 14, 18C, 19F, 23F; 6A was included in this group bec</w:t>
      </w:r>
      <w:r w:rsidR="00BD217C">
        <w:rPr>
          <w:rFonts w:ascii="Cambria" w:hAnsi="Cambria"/>
          <w:szCs w:val="22"/>
        </w:rPr>
        <w:t>ause</w:t>
      </w:r>
      <w:r w:rsidR="00A46FBA">
        <w:rPr>
          <w:rFonts w:ascii="Cambria" w:hAnsi="Cambria"/>
          <w:szCs w:val="22"/>
        </w:rPr>
        <w:t xml:space="preserve"> of known cross-protection [</w:t>
      </w:r>
      <w:r w:rsidR="00A46FBA" w:rsidRPr="00983210">
        <w:rPr>
          <w:rStyle w:val="EndnoteReference"/>
          <w:rFonts w:ascii="Cambria" w:hAnsi="Cambria"/>
          <w:szCs w:val="22"/>
          <w:vertAlign w:val="baseline"/>
        </w:rPr>
        <w:endnoteReference w:id="6"/>
      </w:r>
      <w:r w:rsidR="00BD217C">
        <w:rPr>
          <w:rFonts w:ascii="Cambria" w:hAnsi="Cambria"/>
          <w:szCs w:val="22"/>
        </w:rPr>
        <w:t>]</w:t>
      </w:r>
      <w:r w:rsidR="00960E50" w:rsidRPr="00826CE0">
        <w:rPr>
          <w:rFonts w:ascii="Cambria" w:hAnsi="Cambria"/>
          <w:szCs w:val="22"/>
        </w:rPr>
        <w:t xml:space="preserve">), additional PCV-13 serotypes not included in PCV-7 (1, 3, 5, 7F, 19A), and non-vaccine serotypes (all serotypes not included in </w:t>
      </w:r>
      <w:r w:rsidR="00E00CFD">
        <w:rPr>
          <w:rFonts w:ascii="Cambria" w:hAnsi="Cambria"/>
          <w:szCs w:val="22"/>
        </w:rPr>
        <w:t xml:space="preserve">PCV-7, </w:t>
      </w:r>
      <w:r w:rsidR="00960E50" w:rsidRPr="00826CE0">
        <w:rPr>
          <w:rFonts w:ascii="Cambria" w:hAnsi="Cambria"/>
          <w:szCs w:val="22"/>
        </w:rPr>
        <w:t>PCV-13</w:t>
      </w:r>
      <w:r w:rsidR="00D16049">
        <w:rPr>
          <w:rFonts w:ascii="Cambria" w:hAnsi="Cambria"/>
          <w:szCs w:val="22"/>
        </w:rPr>
        <w:t xml:space="preserve"> or 6A</w:t>
      </w:r>
      <w:r w:rsidR="00960E50" w:rsidRPr="00826CE0">
        <w:rPr>
          <w:rFonts w:ascii="Cambria" w:hAnsi="Cambria"/>
          <w:szCs w:val="22"/>
        </w:rPr>
        <w:t>).</w:t>
      </w:r>
    </w:p>
    <w:p w:rsidR="00D639C0" w:rsidRPr="00826CE0" w:rsidRDefault="00D639C0" w:rsidP="00D639C0">
      <w:pPr>
        <w:jc w:val="both"/>
        <w:rPr>
          <w:rFonts w:ascii="Cambria" w:hAnsi="Cambria" w:cs="Arial"/>
          <w:szCs w:val="22"/>
        </w:rPr>
      </w:pPr>
    </w:p>
    <w:p w:rsidR="00D639C0" w:rsidRPr="00D35EB1" w:rsidRDefault="00D639C0" w:rsidP="00D639C0">
      <w:pPr>
        <w:jc w:val="both"/>
        <w:rPr>
          <w:rFonts w:ascii="Cambria" w:hAnsi="Cambria" w:cs="Arial"/>
          <w:b/>
          <w:color w:val="2F5496" w:themeColor="accent5" w:themeShade="BF"/>
          <w:szCs w:val="22"/>
        </w:rPr>
      </w:pPr>
      <w:r w:rsidRPr="00D35EB1">
        <w:rPr>
          <w:rFonts w:ascii="Cambria" w:hAnsi="Cambria" w:cs="Arial"/>
          <w:b/>
          <w:color w:val="2F5496" w:themeColor="accent5" w:themeShade="BF"/>
          <w:szCs w:val="22"/>
        </w:rPr>
        <w:t>Statistical analysis</w:t>
      </w:r>
    </w:p>
    <w:p w:rsidR="00D639C0" w:rsidRPr="00826CE0" w:rsidRDefault="00D639C0" w:rsidP="00D639C0">
      <w:pPr>
        <w:jc w:val="both"/>
        <w:rPr>
          <w:rFonts w:ascii="Cambria" w:hAnsi="Cambria" w:cs="Arial"/>
          <w:b/>
          <w:szCs w:val="22"/>
        </w:rPr>
      </w:pPr>
    </w:p>
    <w:p w:rsidR="00D639C0" w:rsidRPr="006B4DB7" w:rsidRDefault="00D639C0" w:rsidP="00D639C0">
      <w:pPr>
        <w:jc w:val="both"/>
        <w:rPr>
          <w:rFonts w:ascii="Cambria" w:hAnsi="Cambria" w:cs="Arial"/>
          <w:i/>
          <w:color w:val="2F5496" w:themeColor="accent5" w:themeShade="BF"/>
          <w:szCs w:val="22"/>
          <w:u w:val="single"/>
        </w:rPr>
      </w:pPr>
      <w:r w:rsidRPr="006B4DB7">
        <w:rPr>
          <w:rFonts w:ascii="Cambria" w:hAnsi="Cambria" w:cs="Arial"/>
          <w:i/>
          <w:color w:val="2F5496" w:themeColor="accent5" w:themeShade="BF"/>
          <w:szCs w:val="22"/>
          <w:u w:val="single"/>
        </w:rPr>
        <w:t xml:space="preserve">Stage-1 analysis: proportion of </w:t>
      </w:r>
      <w:proofErr w:type="spellStart"/>
      <w:r w:rsidRPr="006B4DB7">
        <w:rPr>
          <w:rFonts w:ascii="Cambria" w:hAnsi="Cambria" w:cs="Arial"/>
          <w:i/>
          <w:color w:val="2F5496" w:themeColor="accent5" w:themeShade="BF"/>
          <w:szCs w:val="22"/>
          <w:u w:val="single"/>
        </w:rPr>
        <w:t>serotypable</w:t>
      </w:r>
      <w:proofErr w:type="spellEnd"/>
      <w:r w:rsidRPr="006B4DB7">
        <w:rPr>
          <w:rFonts w:ascii="Cambria" w:hAnsi="Cambria" w:cs="Arial"/>
          <w:i/>
          <w:color w:val="2F5496" w:themeColor="accent5" w:themeShade="BF"/>
          <w:szCs w:val="22"/>
          <w:u w:val="single"/>
        </w:rPr>
        <w:t xml:space="preserve"> samples by </w:t>
      </w:r>
      <w:proofErr w:type="spellStart"/>
      <w:r w:rsidRPr="006B4DB7">
        <w:rPr>
          <w:rFonts w:ascii="Cambria" w:hAnsi="Cambria" w:cs="Arial"/>
          <w:i/>
          <w:color w:val="2F5496" w:themeColor="accent5" w:themeShade="BF"/>
          <w:szCs w:val="22"/>
          <w:u w:val="single"/>
        </w:rPr>
        <w:t>lytA</w:t>
      </w:r>
      <w:proofErr w:type="spellEnd"/>
      <w:r w:rsidRPr="006B4DB7">
        <w:rPr>
          <w:rFonts w:ascii="Cambria" w:hAnsi="Cambria" w:cs="Arial"/>
          <w:i/>
          <w:color w:val="2F5496" w:themeColor="accent5" w:themeShade="BF"/>
          <w:szCs w:val="22"/>
          <w:u w:val="single"/>
        </w:rPr>
        <w:t xml:space="preserve"> Ct-value among </w:t>
      </w:r>
      <w:proofErr w:type="spellStart"/>
      <w:r w:rsidRPr="006B4DB7">
        <w:rPr>
          <w:rFonts w:ascii="Cambria" w:hAnsi="Cambria" w:cs="Arial"/>
          <w:i/>
          <w:color w:val="2F5496" w:themeColor="accent5" w:themeShade="BF"/>
          <w:szCs w:val="22"/>
          <w:u w:val="single"/>
        </w:rPr>
        <w:t>lytA</w:t>
      </w:r>
      <w:proofErr w:type="spellEnd"/>
      <w:r w:rsidRPr="006B4DB7">
        <w:rPr>
          <w:rFonts w:ascii="Cambria" w:hAnsi="Cambria" w:cs="Arial"/>
          <w:i/>
          <w:color w:val="2F5496" w:themeColor="accent5" w:themeShade="BF"/>
          <w:szCs w:val="22"/>
          <w:u w:val="single"/>
        </w:rPr>
        <w:t>-positive patients with SARI</w:t>
      </w:r>
    </w:p>
    <w:p w:rsidR="00D639C0" w:rsidRPr="00826CE0" w:rsidRDefault="00D639C0" w:rsidP="00D639C0">
      <w:pPr>
        <w:jc w:val="both"/>
        <w:rPr>
          <w:rFonts w:ascii="Cambria" w:hAnsi="Cambria" w:cs="Arial"/>
          <w:i/>
          <w:szCs w:val="22"/>
          <w:u w:val="single"/>
        </w:rPr>
      </w:pPr>
    </w:p>
    <w:p w:rsidR="00D639C0" w:rsidRDefault="00D639C0" w:rsidP="00D639C0">
      <w:pPr>
        <w:jc w:val="both"/>
        <w:rPr>
          <w:rFonts w:ascii="Cambria" w:hAnsi="Cambria"/>
          <w:szCs w:val="22"/>
        </w:rPr>
      </w:pPr>
      <w:r w:rsidRPr="00826CE0">
        <w:rPr>
          <w:rFonts w:ascii="Cambria" w:hAnsi="Cambria" w:cs="Arial"/>
          <w:szCs w:val="22"/>
        </w:rPr>
        <w:t xml:space="preserve">For this analysis we used logistic regression to compare the proportion of </w:t>
      </w:r>
      <w:proofErr w:type="spellStart"/>
      <w:r w:rsidRPr="00826CE0">
        <w:rPr>
          <w:rFonts w:ascii="Cambria" w:hAnsi="Cambria" w:cs="Arial"/>
          <w:szCs w:val="22"/>
        </w:rPr>
        <w:t>serotypable</w:t>
      </w:r>
      <w:proofErr w:type="spellEnd"/>
      <w:r w:rsidRPr="00826CE0">
        <w:rPr>
          <w:rFonts w:ascii="Cambria" w:hAnsi="Cambria" w:cs="Arial"/>
          <w:szCs w:val="22"/>
        </w:rPr>
        <w:t xml:space="preserve"> samples with </w:t>
      </w:r>
      <w:proofErr w:type="spellStart"/>
      <w:r w:rsidRPr="00826CE0">
        <w:rPr>
          <w:rFonts w:ascii="Cambria" w:hAnsi="Cambria" w:cs="Arial"/>
          <w:i/>
          <w:szCs w:val="22"/>
        </w:rPr>
        <w:t>lytA</w:t>
      </w:r>
      <w:proofErr w:type="spellEnd"/>
      <w:r w:rsidRPr="00826CE0">
        <w:rPr>
          <w:rFonts w:ascii="Cambria" w:hAnsi="Cambria" w:cs="Arial"/>
          <w:szCs w:val="22"/>
        </w:rPr>
        <w:t xml:space="preserve"> Ct-values </w:t>
      </w:r>
      <w:r w:rsidRPr="00826CE0">
        <w:rPr>
          <w:rFonts w:ascii="Cambria" w:hAnsi="Cambria"/>
          <w:szCs w:val="22"/>
        </w:rPr>
        <w:t xml:space="preserve">≤30 to the proportion of </w:t>
      </w:r>
      <w:proofErr w:type="spellStart"/>
      <w:r w:rsidRPr="00826CE0">
        <w:rPr>
          <w:rFonts w:ascii="Cambria" w:hAnsi="Cambria"/>
          <w:szCs w:val="22"/>
        </w:rPr>
        <w:t>serotypable</w:t>
      </w:r>
      <w:proofErr w:type="spellEnd"/>
      <w:r w:rsidRPr="00826CE0">
        <w:rPr>
          <w:rFonts w:ascii="Cambria" w:hAnsi="Cambria"/>
          <w:szCs w:val="22"/>
        </w:rPr>
        <w:t xml:space="preserve"> samples with individual </w:t>
      </w:r>
      <w:proofErr w:type="spellStart"/>
      <w:r w:rsidRPr="00826CE0">
        <w:rPr>
          <w:rFonts w:ascii="Cambria" w:hAnsi="Cambria"/>
          <w:i/>
          <w:szCs w:val="22"/>
        </w:rPr>
        <w:t>lytA</w:t>
      </w:r>
      <w:proofErr w:type="spellEnd"/>
      <w:r w:rsidRPr="00826CE0">
        <w:rPr>
          <w:rFonts w:ascii="Cambria" w:hAnsi="Cambria"/>
          <w:szCs w:val="22"/>
        </w:rPr>
        <w:t xml:space="preserve"> Ct-values from 31-</w:t>
      </w:r>
      <w:r>
        <w:rPr>
          <w:rFonts w:ascii="Cambria" w:hAnsi="Cambria"/>
          <w:szCs w:val="22"/>
        </w:rPr>
        <w:t>39</w:t>
      </w:r>
      <w:r w:rsidRPr="00826CE0">
        <w:rPr>
          <w:rFonts w:ascii="Cambria" w:hAnsi="Cambria"/>
          <w:szCs w:val="22"/>
        </w:rPr>
        <w:t xml:space="preserve">. A sample was considered </w:t>
      </w:r>
      <w:proofErr w:type="spellStart"/>
      <w:r w:rsidRPr="00826CE0">
        <w:rPr>
          <w:rFonts w:ascii="Cambria" w:hAnsi="Cambria"/>
          <w:szCs w:val="22"/>
        </w:rPr>
        <w:t>serotypable</w:t>
      </w:r>
      <w:proofErr w:type="spellEnd"/>
      <w:r w:rsidRPr="00826CE0">
        <w:rPr>
          <w:rFonts w:ascii="Cambria" w:hAnsi="Cambria"/>
          <w:szCs w:val="22"/>
        </w:rPr>
        <w:t xml:space="preserve"> if one of the serotypes/</w:t>
      </w:r>
      <w:proofErr w:type="spellStart"/>
      <w:r w:rsidRPr="00826CE0">
        <w:rPr>
          <w:rFonts w:ascii="Cambria" w:hAnsi="Cambria"/>
          <w:szCs w:val="22"/>
        </w:rPr>
        <w:t>serogroups</w:t>
      </w:r>
      <w:proofErr w:type="spellEnd"/>
      <w:r w:rsidRPr="00826CE0">
        <w:rPr>
          <w:rFonts w:ascii="Cambria" w:hAnsi="Cambria"/>
          <w:szCs w:val="22"/>
        </w:rPr>
        <w:t xml:space="preserve"> included in the </w:t>
      </w:r>
      <w:r w:rsidR="00E00CFD">
        <w:rPr>
          <w:rFonts w:ascii="Cambria" w:hAnsi="Cambria"/>
          <w:szCs w:val="22"/>
        </w:rPr>
        <w:t xml:space="preserve">molecular serotyping </w:t>
      </w:r>
      <w:r w:rsidRPr="00826CE0">
        <w:rPr>
          <w:rFonts w:ascii="Cambria" w:hAnsi="Cambria"/>
          <w:szCs w:val="22"/>
        </w:rPr>
        <w:t xml:space="preserve">assay could be detected. </w:t>
      </w:r>
    </w:p>
    <w:p w:rsidR="00F97F91" w:rsidRPr="00826CE0" w:rsidRDefault="00F97F91" w:rsidP="00D639C0">
      <w:pPr>
        <w:jc w:val="both"/>
        <w:rPr>
          <w:rFonts w:ascii="Cambria" w:hAnsi="Cambria"/>
          <w:szCs w:val="22"/>
        </w:rPr>
      </w:pPr>
    </w:p>
    <w:p w:rsidR="00D639C0" w:rsidRPr="006B4DB7" w:rsidRDefault="00D639C0" w:rsidP="00D639C0">
      <w:pPr>
        <w:jc w:val="both"/>
        <w:rPr>
          <w:rFonts w:ascii="Cambria" w:hAnsi="Cambria"/>
          <w:i/>
          <w:color w:val="2F5496" w:themeColor="accent5" w:themeShade="BF"/>
          <w:szCs w:val="22"/>
          <w:u w:val="single"/>
        </w:rPr>
      </w:pPr>
      <w:r w:rsidRPr="006B4DB7">
        <w:rPr>
          <w:rFonts w:ascii="Cambria" w:hAnsi="Cambria"/>
          <w:i/>
          <w:color w:val="2F5496" w:themeColor="accent5" w:themeShade="BF"/>
          <w:szCs w:val="22"/>
          <w:u w:val="single"/>
        </w:rPr>
        <w:t xml:space="preserve">Stage-2 analysis: factors associated with increasing Ct-values among </w:t>
      </w:r>
      <w:proofErr w:type="spellStart"/>
      <w:r w:rsidRPr="006B4DB7">
        <w:rPr>
          <w:rFonts w:ascii="Cambria" w:hAnsi="Cambria"/>
          <w:i/>
          <w:color w:val="2F5496" w:themeColor="accent5" w:themeShade="BF"/>
          <w:szCs w:val="22"/>
          <w:u w:val="single"/>
        </w:rPr>
        <w:t>lytA</w:t>
      </w:r>
      <w:proofErr w:type="spellEnd"/>
      <w:r w:rsidRPr="006B4DB7">
        <w:rPr>
          <w:rFonts w:ascii="Cambria" w:hAnsi="Cambria"/>
          <w:i/>
          <w:color w:val="2F5496" w:themeColor="accent5" w:themeShade="BF"/>
          <w:szCs w:val="22"/>
          <w:u w:val="single"/>
        </w:rPr>
        <w:t>-positive patients with SARI</w:t>
      </w:r>
    </w:p>
    <w:p w:rsidR="00D639C0" w:rsidRPr="00826CE0" w:rsidRDefault="00D639C0" w:rsidP="00D639C0">
      <w:pPr>
        <w:jc w:val="both"/>
        <w:rPr>
          <w:rFonts w:ascii="Cambria" w:hAnsi="Cambria"/>
          <w:szCs w:val="22"/>
        </w:rPr>
      </w:pPr>
    </w:p>
    <w:p w:rsidR="00D639C0" w:rsidRPr="00826CE0" w:rsidRDefault="00D639C0" w:rsidP="00D639C0">
      <w:pPr>
        <w:jc w:val="both"/>
        <w:rPr>
          <w:rFonts w:ascii="Cambria" w:hAnsi="Cambria"/>
          <w:szCs w:val="22"/>
        </w:rPr>
      </w:pPr>
      <w:r w:rsidRPr="00826CE0">
        <w:rPr>
          <w:rFonts w:ascii="Cambria" w:hAnsi="Cambria"/>
          <w:szCs w:val="22"/>
        </w:rPr>
        <w:t>For this analysis we used a proportional-odds (ordinal) model, which assumes that the ordinal outcome variable represents categories of an underlying continuous variable. The outcome variable (</w:t>
      </w:r>
      <w:proofErr w:type="spellStart"/>
      <w:r w:rsidRPr="00826CE0">
        <w:rPr>
          <w:rFonts w:ascii="Cambria" w:hAnsi="Cambria"/>
          <w:i/>
          <w:szCs w:val="22"/>
        </w:rPr>
        <w:t>lytA</w:t>
      </w:r>
      <w:proofErr w:type="spellEnd"/>
      <w:r w:rsidRPr="00826CE0">
        <w:rPr>
          <w:rFonts w:ascii="Cambria" w:hAnsi="Cambria"/>
          <w:szCs w:val="22"/>
        </w:rPr>
        <w:t xml:space="preserve"> Ct-value) was categorized in 3 levels: ≤30, 31-34 and ≥35. The coefficients of the proportional-odds model (and associated odds ratio [OR]) measure the effect of a predictor on the log odds of being above a specified level, compared with the log odds of being at or below the specified level. For the multivariable model we assessed </w:t>
      </w:r>
      <w:r w:rsidRPr="00826CE0">
        <w:rPr>
          <w:rFonts w:ascii="Cambria" w:hAnsi="Cambria"/>
        </w:rPr>
        <w:t xml:space="preserve">all variables that were significant at p&lt;0.2 on </w:t>
      </w:r>
      <w:proofErr w:type="spellStart"/>
      <w:r w:rsidRPr="00826CE0">
        <w:rPr>
          <w:rFonts w:ascii="Cambria" w:hAnsi="Cambria"/>
        </w:rPr>
        <w:t>univariate</w:t>
      </w:r>
      <w:proofErr w:type="spellEnd"/>
      <w:r w:rsidRPr="00826CE0">
        <w:rPr>
          <w:rFonts w:ascii="Cambria" w:hAnsi="Cambria"/>
        </w:rPr>
        <w:t xml:space="preserve"> analysis, and dropped non-significant factors (p≥0.05) with stepwise backward selection. Patients with missing data for included variables were dropped from the model.  </w:t>
      </w:r>
    </w:p>
    <w:p w:rsidR="00D639C0" w:rsidRPr="00826CE0" w:rsidRDefault="00D639C0" w:rsidP="00D639C0">
      <w:pPr>
        <w:jc w:val="both"/>
        <w:rPr>
          <w:rFonts w:ascii="Cambria" w:hAnsi="Cambria" w:cs="Arial"/>
          <w:szCs w:val="22"/>
        </w:rPr>
      </w:pPr>
    </w:p>
    <w:p w:rsidR="004B056B" w:rsidRPr="006B4DB7" w:rsidRDefault="004B056B" w:rsidP="004B056B">
      <w:pPr>
        <w:jc w:val="both"/>
        <w:rPr>
          <w:rFonts w:ascii="Cambria" w:hAnsi="Cambria" w:cs="Arial"/>
          <w:i/>
          <w:color w:val="2F5496" w:themeColor="accent5" w:themeShade="BF"/>
          <w:szCs w:val="22"/>
          <w:u w:val="single"/>
        </w:rPr>
      </w:pPr>
      <w:r w:rsidRPr="006B4DB7">
        <w:rPr>
          <w:rFonts w:ascii="Cambria" w:hAnsi="Cambria" w:cs="Arial"/>
          <w:i/>
          <w:color w:val="2F5496" w:themeColor="accent5" w:themeShade="BF"/>
          <w:szCs w:val="22"/>
          <w:u w:val="single"/>
        </w:rPr>
        <w:t>Stage-3 analysis: time-</w:t>
      </w:r>
      <w:r w:rsidR="00103BF1" w:rsidRPr="006B4DB7">
        <w:rPr>
          <w:rFonts w:ascii="Cambria" w:hAnsi="Cambria" w:cs="Arial"/>
          <w:i/>
          <w:color w:val="2F5496" w:themeColor="accent5" w:themeShade="BF"/>
          <w:szCs w:val="22"/>
          <w:u w:val="single"/>
        </w:rPr>
        <w:t xml:space="preserve">trends of </w:t>
      </w:r>
      <w:proofErr w:type="spellStart"/>
      <w:r w:rsidR="00103BF1" w:rsidRPr="006B4DB7">
        <w:rPr>
          <w:rFonts w:ascii="Cambria" w:hAnsi="Cambria" w:cs="Arial"/>
          <w:i/>
          <w:color w:val="2F5496" w:themeColor="accent5" w:themeShade="BF"/>
          <w:szCs w:val="22"/>
          <w:u w:val="single"/>
        </w:rPr>
        <w:t>bacter</w:t>
      </w:r>
      <w:r w:rsidRPr="006B4DB7">
        <w:rPr>
          <w:rFonts w:ascii="Cambria" w:hAnsi="Cambria" w:cs="Arial"/>
          <w:i/>
          <w:color w:val="2F5496" w:themeColor="accent5" w:themeShade="BF"/>
          <w:szCs w:val="22"/>
          <w:u w:val="single"/>
        </w:rPr>
        <w:t>emic</w:t>
      </w:r>
      <w:proofErr w:type="spellEnd"/>
      <w:r w:rsidRPr="006B4DB7">
        <w:rPr>
          <w:rFonts w:ascii="Cambria" w:hAnsi="Cambria" w:cs="Arial"/>
          <w:i/>
          <w:color w:val="2F5496" w:themeColor="accent5" w:themeShade="BF"/>
          <w:szCs w:val="22"/>
          <w:u w:val="single"/>
        </w:rPr>
        <w:t xml:space="preserve"> pneumococcal pneumonia (</w:t>
      </w:r>
      <w:proofErr w:type="spellStart"/>
      <w:r w:rsidR="00D16049" w:rsidRPr="006B4DB7">
        <w:rPr>
          <w:rFonts w:ascii="Cambria" w:hAnsi="Cambria" w:cs="Arial"/>
          <w:i/>
          <w:color w:val="2F5496" w:themeColor="accent5" w:themeShade="BF"/>
          <w:szCs w:val="22"/>
          <w:u w:val="single"/>
        </w:rPr>
        <w:t>lytA</w:t>
      </w:r>
      <w:proofErr w:type="spellEnd"/>
      <w:r w:rsidR="00D16049" w:rsidRPr="006B4DB7">
        <w:rPr>
          <w:rFonts w:ascii="Cambria" w:hAnsi="Cambria" w:cs="Arial"/>
          <w:i/>
          <w:color w:val="2F5496" w:themeColor="accent5" w:themeShade="BF"/>
          <w:szCs w:val="22"/>
          <w:u w:val="single"/>
        </w:rPr>
        <w:t>-positive</w:t>
      </w:r>
      <w:r w:rsidRPr="006B4DB7">
        <w:rPr>
          <w:rFonts w:ascii="Cambria" w:hAnsi="Cambria" w:cs="Arial"/>
          <w:i/>
          <w:color w:val="2F5496" w:themeColor="accent5" w:themeShade="BF"/>
          <w:szCs w:val="22"/>
          <w:u w:val="single"/>
        </w:rPr>
        <w:t>) and invasive pneumococcal disease (</w:t>
      </w:r>
      <w:r w:rsidR="00D16049" w:rsidRPr="006B4DB7">
        <w:rPr>
          <w:rFonts w:ascii="Cambria" w:hAnsi="Cambria" w:cs="Arial"/>
          <w:i/>
          <w:color w:val="2F5496" w:themeColor="accent5" w:themeShade="BF"/>
          <w:szCs w:val="22"/>
          <w:u w:val="single"/>
        </w:rPr>
        <w:t>culture-positive</w:t>
      </w:r>
      <w:r w:rsidRPr="006B4DB7">
        <w:rPr>
          <w:rFonts w:ascii="Cambria" w:hAnsi="Cambria" w:cs="Arial"/>
          <w:i/>
          <w:color w:val="2F5496" w:themeColor="accent5" w:themeShade="BF"/>
          <w:szCs w:val="22"/>
          <w:u w:val="single"/>
        </w:rPr>
        <w:t>) among HIV-uninfected children &lt;2 years of age</w:t>
      </w:r>
    </w:p>
    <w:p w:rsidR="00D639C0" w:rsidRPr="00826CE0" w:rsidRDefault="00D639C0" w:rsidP="00D639C0">
      <w:pPr>
        <w:jc w:val="both"/>
        <w:rPr>
          <w:rFonts w:ascii="Cambria" w:hAnsi="Cambria" w:cs="Arial"/>
          <w:szCs w:val="22"/>
        </w:rPr>
      </w:pPr>
    </w:p>
    <w:p w:rsidR="00D639C0" w:rsidRPr="00826CE0" w:rsidRDefault="00D639C0" w:rsidP="00D639C0">
      <w:pPr>
        <w:jc w:val="both"/>
        <w:rPr>
          <w:rFonts w:ascii="Cambria" w:hAnsi="Cambria" w:cs="Arial"/>
          <w:szCs w:val="22"/>
        </w:rPr>
      </w:pPr>
      <w:r w:rsidRPr="00826CE0">
        <w:rPr>
          <w:rFonts w:ascii="Cambria" w:hAnsi="Cambria" w:cs="Arial"/>
          <w:szCs w:val="22"/>
        </w:rPr>
        <w:t xml:space="preserve">We estimated the rate of </w:t>
      </w:r>
      <w:proofErr w:type="spellStart"/>
      <w:r w:rsidR="004B056B" w:rsidRPr="004B056B">
        <w:rPr>
          <w:rFonts w:ascii="Cambria" w:hAnsi="Cambria" w:cs="Arial"/>
          <w:i/>
          <w:szCs w:val="22"/>
        </w:rPr>
        <w:t>lytA</w:t>
      </w:r>
      <w:proofErr w:type="spellEnd"/>
      <w:r w:rsidR="004B056B">
        <w:rPr>
          <w:rFonts w:ascii="Cambria" w:hAnsi="Cambria" w:cs="Arial"/>
          <w:szCs w:val="22"/>
        </w:rPr>
        <w:t xml:space="preserve">-positive </w:t>
      </w:r>
      <w:r w:rsidRPr="00826CE0">
        <w:rPr>
          <w:rFonts w:ascii="Cambria" w:hAnsi="Cambria" w:cs="Arial"/>
          <w:szCs w:val="22"/>
        </w:rPr>
        <w:t xml:space="preserve">BPP hospitalizations </w:t>
      </w:r>
      <w:r w:rsidR="004B056B">
        <w:rPr>
          <w:rFonts w:ascii="Cambria" w:hAnsi="Cambria" w:cs="Arial"/>
          <w:szCs w:val="22"/>
        </w:rPr>
        <w:t xml:space="preserve">(SARI program) among HIV-uninfected children aged &lt;2 years </w:t>
      </w:r>
      <w:r w:rsidRPr="00826CE0">
        <w:rPr>
          <w:rFonts w:ascii="Cambria" w:hAnsi="Cambria" w:cs="Arial"/>
          <w:szCs w:val="22"/>
        </w:rPr>
        <w:t xml:space="preserve">per 100,000 person-years using the number of BPP hospitalizations, adjusting for non-enrollment (refusal to participate and non-enrollment during </w:t>
      </w:r>
      <w:r w:rsidR="00571D8B">
        <w:rPr>
          <w:rFonts w:ascii="Cambria" w:hAnsi="Cambria" w:cs="Arial"/>
          <w:szCs w:val="22"/>
        </w:rPr>
        <w:t>weekends</w:t>
      </w:r>
      <w:r w:rsidR="00777C73">
        <w:rPr>
          <w:rFonts w:ascii="Cambria" w:hAnsi="Cambria" w:cs="Arial"/>
          <w:szCs w:val="22"/>
        </w:rPr>
        <w:t xml:space="preserve"> [</w:t>
      </w:r>
      <w:r w:rsidR="00777C73" w:rsidRPr="005079D7">
        <w:rPr>
          <w:rStyle w:val="EndnoteReference"/>
          <w:rFonts w:ascii="Cambria" w:hAnsi="Cambria" w:cs="Arial"/>
          <w:szCs w:val="22"/>
          <w:vertAlign w:val="baseline"/>
        </w:rPr>
        <w:endnoteReference w:id="7"/>
      </w:r>
      <w:r w:rsidR="00777C73" w:rsidRPr="005079D7">
        <w:rPr>
          <w:rFonts w:ascii="Cambria" w:hAnsi="Cambria" w:cs="Arial"/>
          <w:szCs w:val="22"/>
        </w:rPr>
        <w:t>,</w:t>
      </w:r>
      <w:r w:rsidR="00777C73" w:rsidRPr="005079D7">
        <w:rPr>
          <w:rStyle w:val="EndnoteReference"/>
          <w:rFonts w:ascii="Cambria" w:hAnsi="Cambria" w:cs="Arial"/>
          <w:szCs w:val="22"/>
          <w:vertAlign w:val="baseline"/>
        </w:rPr>
        <w:endnoteReference w:id="8"/>
      </w:r>
      <w:r w:rsidR="00BD217C">
        <w:rPr>
          <w:rFonts w:ascii="Cambria" w:hAnsi="Cambria" w:cs="Arial"/>
          <w:szCs w:val="22"/>
        </w:rPr>
        <w:t>]</w:t>
      </w:r>
      <w:r w:rsidRPr="00826CE0">
        <w:rPr>
          <w:rFonts w:ascii="Cambria" w:hAnsi="Cambria" w:cs="Arial"/>
          <w:szCs w:val="22"/>
        </w:rPr>
        <w:t>) for each year using the following formula:</w:t>
      </w:r>
    </w:p>
    <w:p w:rsidR="00D639C0" w:rsidRPr="00826CE0" w:rsidRDefault="00D639C0" w:rsidP="00D639C0">
      <w:pPr>
        <w:jc w:val="both"/>
        <w:rPr>
          <w:rFonts w:ascii="Cambria" w:hAnsi="Cambria" w:cs="Arial"/>
          <w:szCs w:val="22"/>
        </w:rPr>
      </w:pPr>
    </w:p>
    <w:p w:rsidR="00D639C0" w:rsidRPr="00826CE0" w:rsidRDefault="00571D8B" w:rsidP="00D639C0">
      <w:pPr>
        <w:jc w:val="both"/>
        <w:rPr>
          <w:rFonts w:ascii="Cambria" w:hAnsi="Cambria" w:cs="Arial"/>
          <w:szCs w:val="22"/>
        </w:rPr>
      </w:pPr>
      <w:r w:rsidRPr="004B056B">
        <w:rPr>
          <w:rFonts w:ascii="Cambria" w:hAnsi="Cambria"/>
          <w:position w:val="-30"/>
          <w:lang w:val="en-ZA"/>
        </w:rPr>
        <w:object w:dxaOrig="646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45pt;height:51.7pt" o:ole="">
            <v:imagedata r:id="rId7" o:title=""/>
          </v:shape>
          <o:OLEObject Type="Embed" ProgID="Equation.DSMT4" ShapeID="_x0000_i1025" DrawAspect="Content" ObjectID="_1503920414" r:id="rId8"/>
        </w:object>
      </w:r>
      <w:r w:rsidR="00D639C0" w:rsidRPr="00826CE0">
        <w:rPr>
          <w:rFonts w:ascii="Cambria" w:hAnsi="Cambria"/>
          <w:lang w:val="en-ZA"/>
        </w:rPr>
        <w:tab/>
      </w:r>
      <w:r w:rsidR="00D639C0" w:rsidRPr="00826CE0">
        <w:rPr>
          <w:rFonts w:ascii="Cambria" w:hAnsi="Cambria"/>
          <w:lang w:val="en-ZA"/>
        </w:rPr>
        <w:tab/>
      </w:r>
      <w:r w:rsidR="00D639C0" w:rsidRPr="00826CE0">
        <w:rPr>
          <w:rFonts w:ascii="Cambria" w:hAnsi="Cambria"/>
          <w:lang w:val="en-ZA"/>
        </w:rPr>
        <w:tab/>
        <w:t>(1)</w:t>
      </w:r>
    </w:p>
    <w:p w:rsidR="00D639C0" w:rsidRPr="00826CE0" w:rsidRDefault="00D639C0" w:rsidP="00D639C0">
      <w:pPr>
        <w:spacing w:after="240"/>
        <w:jc w:val="both"/>
        <w:rPr>
          <w:rFonts w:ascii="Cambria" w:hAnsi="Cambria"/>
          <w:lang w:val="en-ZA"/>
        </w:rPr>
      </w:pPr>
      <w:r w:rsidRPr="00826CE0">
        <w:rPr>
          <w:rFonts w:ascii="Cambria" w:hAnsi="Cambria"/>
          <w:lang w:val="en-ZA"/>
        </w:rPr>
        <w:t xml:space="preserve">Where </w:t>
      </w:r>
      <w:r w:rsidR="00571D8B" w:rsidRPr="00826CE0">
        <w:rPr>
          <w:rFonts w:ascii="Cambria" w:hAnsi="Cambria"/>
          <w:position w:val="-16"/>
          <w:lang w:val="en-ZA"/>
        </w:rPr>
        <w:object w:dxaOrig="880" w:dyaOrig="400">
          <v:shape id="_x0000_i1026" type="#_x0000_t75" style="width:44.15pt;height:19.9pt" o:ole="">
            <v:imagedata r:id="rId9" o:title=""/>
          </v:shape>
          <o:OLEObject Type="Embed" ProgID="Equation.DSMT4" ShapeID="_x0000_i1026" DrawAspect="Content" ObjectID="_1503920415" r:id="rId10"/>
        </w:object>
      </w:r>
      <w:r w:rsidRPr="00826CE0">
        <w:rPr>
          <w:rFonts w:ascii="Cambria" w:hAnsi="Cambria"/>
          <w:lang w:val="en-ZA"/>
        </w:rPr>
        <w:t xml:space="preserve"> is the estimated rate of BPP hospitalization </w:t>
      </w:r>
      <w:r w:rsidR="00571D8B">
        <w:rPr>
          <w:rFonts w:ascii="Cambria" w:hAnsi="Cambria"/>
          <w:lang w:val="en-ZA"/>
        </w:rPr>
        <w:t xml:space="preserve">among HIV-uninfected children aged &lt;2 years </w:t>
      </w:r>
      <w:r w:rsidRPr="00826CE0">
        <w:rPr>
          <w:rFonts w:ascii="Cambria" w:hAnsi="Cambria"/>
          <w:lang w:val="en-ZA"/>
        </w:rPr>
        <w:t>a</w:t>
      </w:r>
      <w:r w:rsidR="00BD217C">
        <w:rPr>
          <w:rFonts w:ascii="Cambria" w:hAnsi="Cambria"/>
          <w:lang w:val="en-ZA"/>
        </w:rPr>
        <w:t>ssociated with vaccine serotypes</w:t>
      </w:r>
      <w:r w:rsidR="004F2050">
        <w:rPr>
          <w:rFonts w:ascii="Cambria" w:hAnsi="Cambria"/>
          <w:lang w:val="en-ZA"/>
        </w:rPr>
        <w:t xml:space="preserve"> category</w:t>
      </w:r>
      <w:r w:rsidRPr="00826CE0">
        <w:rPr>
          <w:rFonts w:ascii="Cambria" w:hAnsi="Cambria"/>
          <w:lang w:val="en-ZA"/>
        </w:rPr>
        <w:t xml:space="preserve"> </w:t>
      </w:r>
      <w:r w:rsidR="00571D8B">
        <w:rPr>
          <w:rFonts w:ascii="Cambria" w:hAnsi="Cambria"/>
          <w:i/>
          <w:lang w:val="en-ZA"/>
        </w:rPr>
        <w:t>j</w:t>
      </w:r>
      <w:r w:rsidRPr="00826CE0">
        <w:rPr>
          <w:rFonts w:ascii="Cambria" w:hAnsi="Cambria"/>
          <w:lang w:val="en-ZA"/>
        </w:rPr>
        <w:t xml:space="preserve"> (PCV-7, additional PCV-13 and non-vaccine serotypes) in year </w:t>
      </w:r>
      <w:proofErr w:type="spellStart"/>
      <w:r w:rsidRPr="00826CE0">
        <w:rPr>
          <w:rFonts w:ascii="Cambria" w:hAnsi="Cambria"/>
          <w:i/>
          <w:lang w:val="en-ZA"/>
        </w:rPr>
        <w:t>i</w:t>
      </w:r>
      <w:proofErr w:type="spellEnd"/>
      <w:r w:rsidR="00571D8B">
        <w:rPr>
          <w:rFonts w:ascii="Cambria" w:hAnsi="Cambria"/>
          <w:lang w:val="en-ZA"/>
        </w:rPr>
        <w:t xml:space="preserve"> (2009-2012)</w:t>
      </w:r>
      <w:r w:rsidRPr="00826CE0">
        <w:rPr>
          <w:rFonts w:ascii="Cambria" w:hAnsi="Cambria"/>
          <w:lang w:val="en-ZA"/>
        </w:rPr>
        <w:t xml:space="preserve">; </w:t>
      </w:r>
      <w:r w:rsidR="005079D7" w:rsidRPr="005079D7">
        <w:rPr>
          <w:rFonts w:ascii="Cambria" w:hAnsi="Cambria"/>
          <w:position w:val="-14"/>
          <w:lang w:val="en-ZA"/>
        </w:rPr>
        <w:object w:dxaOrig="1140" w:dyaOrig="380">
          <v:shape id="_x0000_i1027" type="#_x0000_t75" style="width:57pt;height:19pt" o:ole="">
            <v:imagedata r:id="rId11" o:title=""/>
          </v:shape>
          <o:OLEObject Type="Embed" ProgID="Equation.DSMT4" ShapeID="_x0000_i1027" DrawAspect="Content" ObjectID="_1503920416" r:id="rId12"/>
        </w:object>
      </w:r>
      <w:r w:rsidRPr="00826CE0">
        <w:rPr>
          <w:rFonts w:ascii="Cambria" w:hAnsi="Cambria"/>
          <w:lang w:val="en-ZA"/>
        </w:rPr>
        <w:t xml:space="preserve">is the number of SARI cases </w:t>
      </w:r>
      <w:r w:rsidR="00571D8B">
        <w:rPr>
          <w:rFonts w:ascii="Cambria" w:hAnsi="Cambria"/>
          <w:lang w:val="en-ZA"/>
        </w:rPr>
        <w:t xml:space="preserve">aged &lt;2 years </w:t>
      </w:r>
      <w:r w:rsidRPr="00826CE0">
        <w:rPr>
          <w:rFonts w:ascii="Cambria" w:hAnsi="Cambria"/>
          <w:lang w:val="en-ZA"/>
        </w:rPr>
        <w:t xml:space="preserve">enrolled in year </w:t>
      </w:r>
      <w:proofErr w:type="spellStart"/>
      <w:r w:rsidRPr="00826CE0">
        <w:rPr>
          <w:rFonts w:ascii="Cambria" w:hAnsi="Cambria"/>
          <w:i/>
          <w:lang w:val="en-ZA"/>
        </w:rPr>
        <w:t>i</w:t>
      </w:r>
      <w:proofErr w:type="spellEnd"/>
      <w:r w:rsidRPr="00826CE0">
        <w:rPr>
          <w:rFonts w:ascii="Cambria" w:hAnsi="Cambria"/>
          <w:lang w:val="en-ZA"/>
        </w:rPr>
        <w:t xml:space="preserve">; 7/5 is the coefficient used to adjust for non-enrolment over weekends; </w:t>
      </w:r>
      <w:r w:rsidRPr="00826CE0">
        <w:rPr>
          <w:rFonts w:ascii="Cambria" w:hAnsi="Cambria"/>
          <w:i/>
          <w:lang w:val="en-ZA"/>
        </w:rPr>
        <w:t>X</w:t>
      </w:r>
      <w:r w:rsidR="00571D8B">
        <w:rPr>
          <w:rFonts w:ascii="Cambria" w:hAnsi="Cambria"/>
          <w:i/>
          <w:vertAlign w:val="subscript"/>
          <w:lang w:val="en-ZA"/>
        </w:rPr>
        <w:t>i</w:t>
      </w:r>
      <w:r w:rsidRPr="00826CE0">
        <w:rPr>
          <w:rFonts w:ascii="Cambria" w:hAnsi="Cambria"/>
          <w:lang w:val="en-ZA"/>
        </w:rPr>
        <w:t xml:space="preserve"> is the proportion of all eligible </w:t>
      </w:r>
      <w:r w:rsidR="00571D8B">
        <w:rPr>
          <w:rFonts w:ascii="Cambria" w:hAnsi="Cambria"/>
          <w:lang w:val="en-ZA"/>
        </w:rPr>
        <w:t>children aged &lt;2</w:t>
      </w:r>
      <w:r w:rsidRPr="00826CE0">
        <w:rPr>
          <w:rFonts w:ascii="Cambria" w:hAnsi="Cambria"/>
          <w:lang w:val="en-ZA"/>
        </w:rPr>
        <w:t xml:space="preserve"> </w:t>
      </w:r>
      <w:r w:rsidR="00571D8B">
        <w:rPr>
          <w:rFonts w:ascii="Cambria" w:hAnsi="Cambria"/>
          <w:lang w:val="en-ZA"/>
        </w:rPr>
        <w:t xml:space="preserve">years </w:t>
      </w:r>
      <w:r w:rsidRPr="00826CE0">
        <w:rPr>
          <w:rFonts w:ascii="Cambria" w:hAnsi="Cambria"/>
          <w:lang w:val="en-ZA"/>
        </w:rPr>
        <w:t xml:space="preserve">that were enrolled in year </w:t>
      </w:r>
      <w:proofErr w:type="spellStart"/>
      <w:r w:rsidRPr="00826CE0">
        <w:rPr>
          <w:rFonts w:ascii="Cambria" w:hAnsi="Cambria"/>
          <w:i/>
          <w:lang w:val="en-ZA"/>
        </w:rPr>
        <w:t>i</w:t>
      </w:r>
      <w:proofErr w:type="spellEnd"/>
      <w:r w:rsidR="00571D8B">
        <w:rPr>
          <w:rFonts w:ascii="Cambria" w:hAnsi="Cambria"/>
          <w:lang w:val="en-ZA"/>
        </w:rPr>
        <w:t xml:space="preserve"> </w:t>
      </w:r>
      <w:r w:rsidRPr="00826CE0">
        <w:rPr>
          <w:rFonts w:ascii="Cambria" w:hAnsi="Cambria"/>
          <w:lang w:val="en-ZA"/>
        </w:rPr>
        <w:t xml:space="preserve">(obtained from study logs); </w:t>
      </w:r>
      <w:r w:rsidR="00571D8B" w:rsidRPr="00826CE0">
        <w:rPr>
          <w:rFonts w:ascii="Cambria" w:hAnsi="Cambria"/>
          <w:position w:val="-16"/>
          <w:lang w:val="en-ZA"/>
        </w:rPr>
        <w:object w:dxaOrig="1200" w:dyaOrig="400">
          <v:shape id="_x0000_i1028" type="#_x0000_t75" style="width:59.2pt;height:19.9pt" o:ole="">
            <v:imagedata r:id="rId13" o:title=""/>
          </v:shape>
          <o:OLEObject Type="Embed" ProgID="Equation.DSMT4" ShapeID="_x0000_i1028" DrawAspect="Content" ObjectID="_1503920417" r:id="rId14"/>
        </w:object>
      </w:r>
      <w:r w:rsidRPr="00826CE0">
        <w:rPr>
          <w:rFonts w:ascii="Cambria" w:hAnsi="Cambria"/>
          <w:lang w:val="en-ZA"/>
        </w:rPr>
        <w:t>is the detection ra</w:t>
      </w:r>
      <w:r w:rsidR="00BD217C">
        <w:rPr>
          <w:rFonts w:ascii="Cambria" w:hAnsi="Cambria"/>
          <w:lang w:val="en-ZA"/>
        </w:rPr>
        <w:t>te for vaccine serotypes category</w:t>
      </w:r>
      <w:r w:rsidRPr="00826CE0">
        <w:rPr>
          <w:rFonts w:ascii="Cambria" w:hAnsi="Cambria"/>
          <w:lang w:val="en-ZA"/>
        </w:rPr>
        <w:t xml:space="preserve"> </w:t>
      </w:r>
      <w:r w:rsidR="00571D8B">
        <w:rPr>
          <w:rFonts w:ascii="Cambria" w:hAnsi="Cambria"/>
          <w:i/>
          <w:lang w:val="en-ZA"/>
        </w:rPr>
        <w:t>j</w:t>
      </w:r>
      <w:r w:rsidRPr="00826CE0">
        <w:rPr>
          <w:rFonts w:ascii="Cambria" w:hAnsi="Cambria"/>
          <w:lang w:val="en-ZA"/>
        </w:rPr>
        <w:t xml:space="preserve"> among SARI cases </w:t>
      </w:r>
      <w:r w:rsidR="00571D8B">
        <w:rPr>
          <w:rFonts w:ascii="Cambria" w:hAnsi="Cambria"/>
          <w:lang w:val="en-ZA"/>
        </w:rPr>
        <w:t xml:space="preserve">aged &lt;2 years </w:t>
      </w:r>
      <w:r w:rsidRPr="00826CE0">
        <w:rPr>
          <w:rFonts w:ascii="Cambria" w:hAnsi="Cambria"/>
          <w:lang w:val="en-ZA"/>
        </w:rPr>
        <w:t xml:space="preserve">tested </w:t>
      </w:r>
      <w:r w:rsidR="004F2050">
        <w:rPr>
          <w:rFonts w:ascii="Cambria" w:hAnsi="Cambria"/>
          <w:lang w:val="en-ZA"/>
        </w:rPr>
        <w:t xml:space="preserve">by </w:t>
      </w:r>
      <w:proofErr w:type="spellStart"/>
      <w:r w:rsidR="004F2050" w:rsidRPr="004F2050">
        <w:rPr>
          <w:rFonts w:ascii="Cambria" w:hAnsi="Cambria"/>
          <w:i/>
          <w:lang w:val="en-ZA"/>
        </w:rPr>
        <w:t>lytA</w:t>
      </w:r>
      <w:proofErr w:type="spellEnd"/>
      <w:r w:rsidR="004F2050">
        <w:rPr>
          <w:rFonts w:ascii="Cambria" w:hAnsi="Cambria"/>
          <w:lang w:val="en-ZA"/>
        </w:rPr>
        <w:t xml:space="preserve"> PCR </w:t>
      </w:r>
      <w:r w:rsidRPr="00826CE0">
        <w:rPr>
          <w:rFonts w:ascii="Cambria" w:hAnsi="Cambria"/>
          <w:lang w:val="en-ZA"/>
        </w:rPr>
        <w:t xml:space="preserve">in year </w:t>
      </w:r>
      <w:proofErr w:type="spellStart"/>
      <w:r w:rsidRPr="00826CE0">
        <w:rPr>
          <w:rFonts w:ascii="Cambria" w:hAnsi="Cambria"/>
          <w:i/>
          <w:lang w:val="en-ZA"/>
        </w:rPr>
        <w:t>i</w:t>
      </w:r>
      <w:proofErr w:type="spellEnd"/>
      <w:r w:rsidRPr="00826CE0">
        <w:rPr>
          <w:rFonts w:ascii="Cambria" w:hAnsi="Cambria"/>
          <w:lang w:val="en-ZA"/>
        </w:rPr>
        <w:t xml:space="preserve">; </w:t>
      </w:r>
      <w:r w:rsidR="004F2050" w:rsidRPr="004F2050">
        <w:rPr>
          <w:rFonts w:ascii="Cambria" w:hAnsi="Cambria"/>
          <w:position w:val="-16"/>
          <w:lang w:val="en-ZA"/>
        </w:rPr>
        <w:object w:dxaOrig="1040" w:dyaOrig="400">
          <v:shape id="_x0000_i1029" type="#_x0000_t75" style="width:52.1pt;height:19.9pt" o:ole="">
            <v:imagedata r:id="rId15" o:title=""/>
          </v:shape>
          <o:OLEObject Type="Embed" ProgID="Equation.DSMT4" ShapeID="_x0000_i1029" DrawAspect="Content" ObjectID="_1503920418" r:id="rId16"/>
        </w:object>
      </w:r>
      <w:r w:rsidR="004F2050">
        <w:rPr>
          <w:rFonts w:ascii="Cambria" w:hAnsi="Cambria"/>
          <w:lang w:val="en-ZA"/>
        </w:rPr>
        <w:t xml:space="preserve">is the proportion of HIV-uninfected SARI cases among children aged &lt;2 years with known HIV </w:t>
      </w:r>
      <w:proofErr w:type="spellStart"/>
      <w:r w:rsidR="004F2050">
        <w:rPr>
          <w:rFonts w:ascii="Cambria" w:hAnsi="Cambria"/>
          <w:lang w:val="en-ZA"/>
        </w:rPr>
        <w:t>serostatus</w:t>
      </w:r>
      <w:proofErr w:type="spellEnd"/>
      <w:r w:rsidR="004F2050">
        <w:rPr>
          <w:rFonts w:ascii="Cambria" w:hAnsi="Cambria"/>
          <w:lang w:val="en-ZA"/>
        </w:rPr>
        <w:t xml:space="preserve"> in year </w:t>
      </w:r>
      <w:proofErr w:type="spellStart"/>
      <w:r w:rsidR="004F2050" w:rsidRPr="00BD217C">
        <w:rPr>
          <w:rFonts w:ascii="Cambria" w:hAnsi="Cambria"/>
          <w:i/>
          <w:lang w:val="en-ZA"/>
        </w:rPr>
        <w:t>i</w:t>
      </w:r>
      <w:proofErr w:type="spellEnd"/>
      <w:r w:rsidR="004F2050">
        <w:rPr>
          <w:rFonts w:ascii="Cambria" w:hAnsi="Cambria"/>
          <w:lang w:val="en-ZA"/>
        </w:rPr>
        <w:t xml:space="preserve"> and vaccine serotype category </w:t>
      </w:r>
      <w:r w:rsidR="004F2050" w:rsidRPr="00BD217C">
        <w:rPr>
          <w:rFonts w:ascii="Cambria" w:hAnsi="Cambria"/>
          <w:i/>
          <w:lang w:val="en-ZA"/>
        </w:rPr>
        <w:t>j</w:t>
      </w:r>
      <w:r w:rsidR="004F2050">
        <w:rPr>
          <w:rFonts w:ascii="Cambria" w:hAnsi="Cambria"/>
          <w:lang w:val="en-ZA"/>
        </w:rPr>
        <w:t xml:space="preserve">; </w:t>
      </w:r>
      <w:r w:rsidRPr="00826CE0">
        <w:rPr>
          <w:rFonts w:ascii="Cambria" w:hAnsi="Cambria"/>
          <w:lang w:val="en-ZA"/>
        </w:rPr>
        <w:t xml:space="preserve">and </w:t>
      </w:r>
      <w:proofErr w:type="spellStart"/>
      <w:r w:rsidRPr="00826CE0">
        <w:rPr>
          <w:rFonts w:ascii="Cambria" w:hAnsi="Cambria"/>
          <w:i/>
          <w:lang w:val="en-ZA"/>
        </w:rPr>
        <w:t>Pop</w:t>
      </w:r>
      <w:r w:rsidR="00571D8B">
        <w:rPr>
          <w:rFonts w:ascii="Cambria" w:hAnsi="Cambria"/>
          <w:i/>
          <w:vertAlign w:val="subscript"/>
          <w:lang w:val="en-ZA"/>
        </w:rPr>
        <w:t>i</w:t>
      </w:r>
      <w:proofErr w:type="spellEnd"/>
      <w:r w:rsidRPr="00826CE0">
        <w:rPr>
          <w:rFonts w:ascii="Cambria" w:hAnsi="Cambria"/>
          <w:lang w:val="en-ZA"/>
        </w:rPr>
        <w:t xml:space="preserve"> is the population at risk </w:t>
      </w:r>
      <w:r w:rsidR="00BD217C">
        <w:rPr>
          <w:rFonts w:ascii="Cambria" w:hAnsi="Cambria"/>
          <w:lang w:val="en-ZA"/>
        </w:rPr>
        <w:t xml:space="preserve">(e.g. HIV-uninfected children aged &lt;2 years in Soweto) </w:t>
      </w:r>
      <w:r w:rsidRPr="00826CE0">
        <w:rPr>
          <w:rFonts w:ascii="Cambria" w:hAnsi="Cambria"/>
          <w:lang w:val="en-ZA"/>
        </w:rPr>
        <w:t xml:space="preserve">in year </w:t>
      </w:r>
      <w:proofErr w:type="spellStart"/>
      <w:r w:rsidRPr="00826CE0">
        <w:rPr>
          <w:rFonts w:ascii="Cambria" w:hAnsi="Cambria"/>
          <w:i/>
          <w:lang w:val="en-ZA"/>
        </w:rPr>
        <w:t>i</w:t>
      </w:r>
      <w:proofErr w:type="spellEnd"/>
      <w:r w:rsidRPr="00826CE0">
        <w:rPr>
          <w:rFonts w:ascii="Cambria" w:hAnsi="Cambria"/>
          <w:lang w:val="en-ZA"/>
        </w:rPr>
        <w:t xml:space="preserve">. </w:t>
      </w:r>
    </w:p>
    <w:p w:rsidR="00D639C0" w:rsidRPr="00826CE0" w:rsidRDefault="00D639C0" w:rsidP="00D639C0">
      <w:pPr>
        <w:spacing w:after="240"/>
        <w:jc w:val="both"/>
        <w:rPr>
          <w:rFonts w:ascii="Cambria" w:hAnsi="Cambria" w:cs="Arial"/>
          <w:szCs w:val="22"/>
        </w:rPr>
      </w:pPr>
      <w:r w:rsidRPr="00826CE0">
        <w:rPr>
          <w:rFonts w:ascii="Cambria" w:hAnsi="Cambria"/>
          <w:lang w:val="en-ZA"/>
        </w:rPr>
        <w:t xml:space="preserve">Since </w:t>
      </w:r>
      <w:r w:rsidR="00BD217C">
        <w:rPr>
          <w:rFonts w:ascii="Cambria" w:hAnsi="Cambria"/>
          <w:lang w:val="en-ZA"/>
        </w:rPr>
        <w:t xml:space="preserve">under the SARI program </w:t>
      </w:r>
      <w:r w:rsidRPr="00826CE0">
        <w:rPr>
          <w:rFonts w:ascii="Cambria" w:hAnsi="Cambria"/>
          <w:lang w:val="en-ZA"/>
        </w:rPr>
        <w:t xml:space="preserve">collection of blood samples started in May 2009, we imputed the expected number of cases from January through April using the monthly average of cases enrolled from May through December. </w:t>
      </w:r>
    </w:p>
    <w:p w:rsidR="00D639C0" w:rsidRPr="00527C51" w:rsidRDefault="00D639C0" w:rsidP="00D639C0">
      <w:pPr>
        <w:spacing w:after="240"/>
        <w:jc w:val="both"/>
        <w:rPr>
          <w:rFonts w:ascii="Cambria" w:hAnsi="Cambria"/>
          <w:lang w:val="en-ZA"/>
        </w:rPr>
      </w:pPr>
      <w:r w:rsidRPr="00527C51">
        <w:rPr>
          <w:rFonts w:ascii="Cambria" w:hAnsi="Cambria"/>
          <w:lang w:val="en-ZA"/>
        </w:rPr>
        <w:t xml:space="preserve">For this analysis we assumed that the </w:t>
      </w:r>
      <w:r w:rsidR="0055122D" w:rsidRPr="00527C51">
        <w:rPr>
          <w:rFonts w:ascii="Cambria" w:hAnsi="Cambria"/>
          <w:lang w:val="en-ZA"/>
        </w:rPr>
        <w:t xml:space="preserve">prevalence of vaccine serotype categories and </w:t>
      </w:r>
      <w:r w:rsidRPr="00527C51">
        <w:rPr>
          <w:rFonts w:ascii="Cambria" w:hAnsi="Cambria"/>
          <w:lang w:val="en-ZA"/>
        </w:rPr>
        <w:t xml:space="preserve">HIV </w:t>
      </w:r>
      <w:r w:rsidR="005825BC" w:rsidRPr="00527C51">
        <w:rPr>
          <w:rFonts w:ascii="Cambria" w:hAnsi="Cambria"/>
          <w:lang w:val="en-ZA"/>
        </w:rPr>
        <w:t xml:space="preserve">infection </w:t>
      </w:r>
      <w:r w:rsidRPr="00527C51">
        <w:rPr>
          <w:rFonts w:ascii="Cambria" w:hAnsi="Cambria"/>
          <w:lang w:val="en-ZA"/>
        </w:rPr>
        <w:t xml:space="preserve">was the same among individuals </w:t>
      </w:r>
      <w:r w:rsidR="0055122D" w:rsidRPr="00527C51">
        <w:rPr>
          <w:rFonts w:ascii="Cambria" w:hAnsi="Cambria"/>
          <w:lang w:val="en-ZA"/>
        </w:rPr>
        <w:t>tested and not tested</w:t>
      </w:r>
      <w:r w:rsidRPr="00527C51">
        <w:rPr>
          <w:rFonts w:ascii="Cambria" w:hAnsi="Cambria"/>
          <w:lang w:val="en-ZA"/>
        </w:rPr>
        <w:t xml:space="preserve">. </w:t>
      </w:r>
      <w:r w:rsidR="00BD217C" w:rsidRPr="00527C51">
        <w:rPr>
          <w:rFonts w:ascii="Cambria" w:hAnsi="Cambria"/>
          <w:lang w:val="en-ZA"/>
        </w:rPr>
        <w:t>Age- and year specific population denominators for Soweto were obtained fr</w:t>
      </w:r>
      <w:r w:rsidR="00983210" w:rsidRPr="00527C51">
        <w:rPr>
          <w:rFonts w:ascii="Cambria" w:hAnsi="Cambria"/>
          <w:lang w:val="en-ZA"/>
        </w:rPr>
        <w:t>om Statistics South Africa [</w:t>
      </w:r>
      <w:r w:rsidR="00983210" w:rsidRPr="00527C51">
        <w:rPr>
          <w:rFonts w:ascii="Cambria" w:hAnsi="Cambria"/>
        </w:rPr>
        <w:endnoteReference w:id="9"/>
      </w:r>
      <w:r w:rsidR="00BD217C" w:rsidRPr="00527C51">
        <w:rPr>
          <w:rFonts w:ascii="Cambria" w:hAnsi="Cambria"/>
          <w:lang w:val="en-ZA"/>
        </w:rPr>
        <w:t>], while a</w:t>
      </w:r>
      <w:r w:rsidRPr="00527C51">
        <w:rPr>
          <w:rFonts w:ascii="Cambria" w:hAnsi="Cambria"/>
          <w:lang w:val="en-ZA"/>
        </w:rPr>
        <w:t xml:space="preserve">ge- and year-specific HIV prevalence in the study population was obtained from the projections of the Actuarial Society of South Africa </w:t>
      </w:r>
      <w:r w:rsidR="00983210" w:rsidRPr="00527C51">
        <w:rPr>
          <w:rFonts w:ascii="Cambria" w:hAnsi="Cambria"/>
          <w:lang w:val="en-ZA"/>
        </w:rPr>
        <w:t>AIDS and Demographic model [</w:t>
      </w:r>
      <w:r w:rsidR="00983210" w:rsidRPr="00527C51">
        <w:rPr>
          <w:rFonts w:ascii="Cambria" w:hAnsi="Cambria"/>
          <w:lang w:val="en-ZA"/>
        </w:rPr>
        <w:endnoteReference w:id="10"/>
      </w:r>
      <w:r w:rsidRPr="00527C51">
        <w:rPr>
          <w:rFonts w:ascii="Cambria" w:hAnsi="Cambria"/>
          <w:lang w:val="en-ZA"/>
        </w:rPr>
        <w:t xml:space="preserve">]. </w:t>
      </w:r>
    </w:p>
    <w:p w:rsidR="008F5B4B" w:rsidRPr="00527C51" w:rsidRDefault="00D639C0" w:rsidP="00D35EB1">
      <w:pPr>
        <w:spacing w:after="240"/>
        <w:jc w:val="both"/>
        <w:rPr>
          <w:rFonts w:ascii="Cambria" w:hAnsi="Cambria"/>
          <w:lang w:val="en-ZA"/>
        </w:rPr>
      </w:pPr>
      <w:r w:rsidRPr="00527C51">
        <w:rPr>
          <w:rFonts w:ascii="Cambria" w:hAnsi="Cambria"/>
          <w:lang w:val="en-ZA"/>
        </w:rPr>
        <w:t xml:space="preserve">A similar trend analysis was implemented using the </w:t>
      </w:r>
      <w:r w:rsidR="00D16049" w:rsidRPr="00527C51">
        <w:rPr>
          <w:rFonts w:ascii="Cambria" w:hAnsi="Cambria"/>
          <w:lang w:val="en-ZA"/>
        </w:rPr>
        <w:t>culture-positive cases</w:t>
      </w:r>
      <w:r w:rsidRPr="00527C51">
        <w:rPr>
          <w:rFonts w:ascii="Cambria" w:hAnsi="Cambria"/>
          <w:lang w:val="en-ZA"/>
        </w:rPr>
        <w:t>.</w:t>
      </w:r>
      <w:r w:rsidR="0055122D" w:rsidRPr="00527C51">
        <w:rPr>
          <w:rFonts w:ascii="Cambria" w:hAnsi="Cambria"/>
          <w:lang w:val="en-ZA"/>
        </w:rPr>
        <w:t xml:space="preserve"> However, this analysis was limited to enrolled cases since from the GERMS program the proportion of non-enrollment was not available for adjustment. </w:t>
      </w:r>
    </w:p>
    <w:p w:rsidR="00BE37CE" w:rsidRPr="00527C51" w:rsidRDefault="00BE37CE" w:rsidP="00527C51">
      <w:pPr>
        <w:spacing w:after="240"/>
        <w:jc w:val="both"/>
        <w:rPr>
          <w:rFonts w:ascii="Cambria" w:hAnsi="Cambria"/>
          <w:lang w:val="en-ZA"/>
        </w:rPr>
      </w:pPr>
    </w:p>
    <w:p w:rsidR="00BE37CE" w:rsidRDefault="00BE37CE">
      <w:pPr>
        <w:spacing w:after="160" w:line="259" w:lineRule="auto"/>
        <w:rPr>
          <w:rFonts w:ascii="Cambria" w:hAnsi="Cambria" w:cs="Arial"/>
          <w:szCs w:val="22"/>
        </w:rPr>
      </w:pPr>
      <w:r>
        <w:rPr>
          <w:rFonts w:ascii="Cambria" w:hAnsi="Cambria" w:cs="Arial"/>
          <w:szCs w:val="22"/>
        </w:rPr>
        <w:br w:type="page"/>
      </w:r>
    </w:p>
    <w:p w:rsidR="00BE37CE" w:rsidRPr="00D35EB1" w:rsidRDefault="00BE37CE" w:rsidP="00BE37CE">
      <w:pPr>
        <w:jc w:val="both"/>
        <w:rPr>
          <w:rFonts w:ascii="Cambria" w:hAnsi="Cambria" w:cs="Arial"/>
          <w:b/>
          <w:color w:val="2F5496" w:themeColor="accent5" w:themeShade="BF"/>
          <w:szCs w:val="22"/>
        </w:rPr>
      </w:pPr>
      <w:r w:rsidRPr="00D35EB1">
        <w:rPr>
          <w:rFonts w:ascii="Cambria" w:hAnsi="Cambria" w:cs="Arial"/>
          <w:b/>
          <w:color w:val="2F5496" w:themeColor="accent5" w:themeShade="BF"/>
          <w:szCs w:val="22"/>
        </w:rPr>
        <w:lastRenderedPageBreak/>
        <w:t>RESULTS</w:t>
      </w:r>
    </w:p>
    <w:p w:rsidR="00BE37CE" w:rsidRPr="00D35EB1" w:rsidRDefault="00BE37CE" w:rsidP="00BE37CE">
      <w:pPr>
        <w:jc w:val="both"/>
        <w:rPr>
          <w:rFonts w:ascii="Cambria" w:hAnsi="Cambria" w:cs="Arial"/>
          <w:color w:val="2F5496" w:themeColor="accent5" w:themeShade="BF"/>
          <w:szCs w:val="22"/>
        </w:rPr>
      </w:pPr>
    </w:p>
    <w:p w:rsidR="0095488B" w:rsidRPr="00D35EB1" w:rsidRDefault="00D35EB1" w:rsidP="0095488B">
      <w:pPr>
        <w:jc w:val="both"/>
        <w:rPr>
          <w:rFonts w:ascii="Cambria" w:hAnsi="Cambria" w:cs="Arial"/>
          <w:b/>
          <w:color w:val="2F5496" w:themeColor="accent5" w:themeShade="BF"/>
          <w:szCs w:val="22"/>
        </w:rPr>
      </w:pPr>
      <w:r w:rsidRPr="00D35EB1">
        <w:rPr>
          <w:rFonts w:ascii="Cambria" w:hAnsi="Cambria" w:cs="Arial"/>
          <w:b/>
          <w:color w:val="2F5496" w:themeColor="accent5" w:themeShade="BF"/>
          <w:szCs w:val="22"/>
        </w:rPr>
        <w:t>Proportion of pneumococcal conjugate vaccine (PCV) serotypes/</w:t>
      </w:r>
      <w:proofErr w:type="spellStart"/>
      <w:r w:rsidRPr="00D35EB1">
        <w:rPr>
          <w:rFonts w:ascii="Cambria" w:hAnsi="Cambria" w:cs="Arial"/>
          <w:b/>
          <w:color w:val="2F5496" w:themeColor="accent5" w:themeShade="BF"/>
          <w:szCs w:val="22"/>
        </w:rPr>
        <w:t>serogroups</w:t>
      </w:r>
      <w:proofErr w:type="spellEnd"/>
      <w:r w:rsidRPr="00D35EB1">
        <w:rPr>
          <w:rFonts w:ascii="Cambria" w:hAnsi="Cambria" w:cs="Arial"/>
          <w:b/>
          <w:color w:val="2F5496" w:themeColor="accent5" w:themeShade="BF"/>
          <w:szCs w:val="22"/>
        </w:rPr>
        <w:t xml:space="preserve"> among</w:t>
      </w:r>
      <w:r w:rsidRPr="00D35EB1">
        <w:rPr>
          <w:rFonts w:ascii="Cambria" w:hAnsi="Cambria" w:cs="Arial"/>
          <w:b/>
          <w:i/>
          <w:color w:val="2F5496" w:themeColor="accent5" w:themeShade="BF"/>
          <w:szCs w:val="22"/>
        </w:rPr>
        <w:t xml:space="preserve"> </w:t>
      </w:r>
      <w:proofErr w:type="spellStart"/>
      <w:r w:rsidRPr="00D35EB1">
        <w:rPr>
          <w:rFonts w:ascii="Cambria" w:hAnsi="Cambria" w:cs="Arial"/>
          <w:b/>
          <w:i/>
          <w:color w:val="2F5496" w:themeColor="accent5" w:themeShade="BF"/>
          <w:szCs w:val="22"/>
        </w:rPr>
        <w:t>lytA</w:t>
      </w:r>
      <w:proofErr w:type="spellEnd"/>
      <w:r w:rsidRPr="00D35EB1">
        <w:rPr>
          <w:rFonts w:ascii="Cambria" w:hAnsi="Cambria" w:cs="Arial"/>
          <w:b/>
          <w:color w:val="2F5496" w:themeColor="accent5" w:themeShade="BF"/>
          <w:szCs w:val="22"/>
        </w:rPr>
        <w:t>-positive (SARI) and</w:t>
      </w:r>
      <w:r>
        <w:rPr>
          <w:rFonts w:ascii="Cambria" w:hAnsi="Cambria" w:cs="Arial"/>
          <w:b/>
          <w:color w:val="2F5496" w:themeColor="accent5" w:themeShade="BF"/>
          <w:szCs w:val="22"/>
        </w:rPr>
        <w:t xml:space="preserve"> culture-positive (GERMS) cases</w:t>
      </w:r>
    </w:p>
    <w:p w:rsidR="0095488B" w:rsidRDefault="0095488B" w:rsidP="0095488B">
      <w:pPr>
        <w:jc w:val="both"/>
        <w:rPr>
          <w:rFonts w:ascii="Cambria" w:hAnsi="Cambria"/>
        </w:rPr>
      </w:pPr>
    </w:p>
    <w:p w:rsidR="00D35EB1" w:rsidRPr="005953DF" w:rsidRDefault="00D35EB1" w:rsidP="005953DF">
      <w:pPr>
        <w:spacing w:after="240"/>
        <w:jc w:val="both"/>
        <w:rPr>
          <w:rFonts w:ascii="Cambria" w:hAnsi="Cambria"/>
          <w:lang w:val="en-ZA"/>
        </w:rPr>
      </w:pPr>
      <w:r w:rsidRPr="005953DF">
        <w:rPr>
          <w:rFonts w:ascii="Cambria" w:hAnsi="Cambria"/>
          <w:lang w:val="en-ZA"/>
        </w:rPr>
        <w:t xml:space="preserve">Of the 607 </w:t>
      </w:r>
      <w:proofErr w:type="spellStart"/>
      <w:r w:rsidRPr="005953DF">
        <w:rPr>
          <w:rFonts w:ascii="Cambria" w:hAnsi="Cambria"/>
          <w:i/>
          <w:lang w:val="en-ZA"/>
        </w:rPr>
        <w:t>lytA</w:t>
      </w:r>
      <w:proofErr w:type="spellEnd"/>
      <w:r w:rsidRPr="005953DF">
        <w:rPr>
          <w:rFonts w:ascii="Cambria" w:hAnsi="Cambria"/>
          <w:lang w:val="en-ZA"/>
        </w:rPr>
        <w:t>-positive SARI cases that were tested with the serotyping assay, age was known for 603 (99.3%) cases. Of these, 355 (58.9%) were non-vaccine serotypes/</w:t>
      </w:r>
      <w:proofErr w:type="spellStart"/>
      <w:r w:rsidRPr="005953DF">
        <w:rPr>
          <w:rFonts w:ascii="Cambria" w:hAnsi="Cambria"/>
          <w:lang w:val="en-ZA"/>
        </w:rPr>
        <w:t>serogroups</w:t>
      </w:r>
      <w:proofErr w:type="spellEnd"/>
      <w:r w:rsidRPr="005953DF">
        <w:rPr>
          <w:rFonts w:ascii="Cambria" w:hAnsi="Cambria"/>
          <w:lang w:val="en-ZA"/>
        </w:rPr>
        <w:t>; 70.4% (88/125) and 55.9% (267/478) among individuals &lt;2 and ≥2 years of age, respect</w:t>
      </w:r>
      <w:r w:rsidR="00527C51" w:rsidRPr="005953DF">
        <w:rPr>
          <w:rFonts w:ascii="Cambria" w:hAnsi="Cambria"/>
          <w:lang w:val="en-ZA"/>
        </w:rPr>
        <w:t>ively (Table S1</w:t>
      </w:r>
      <w:r w:rsidRPr="005953DF">
        <w:rPr>
          <w:rFonts w:ascii="Cambria" w:hAnsi="Cambria"/>
          <w:lang w:val="en-ZA"/>
        </w:rPr>
        <w:t xml:space="preserve">). Among the 199/603 (33.0%) </w:t>
      </w:r>
      <w:proofErr w:type="spellStart"/>
      <w:r w:rsidRPr="005953DF">
        <w:rPr>
          <w:rFonts w:ascii="Cambria" w:hAnsi="Cambria"/>
          <w:i/>
          <w:lang w:val="en-ZA"/>
        </w:rPr>
        <w:t>lytA</w:t>
      </w:r>
      <w:proofErr w:type="spellEnd"/>
      <w:r w:rsidRPr="005953DF">
        <w:rPr>
          <w:rFonts w:ascii="Cambria" w:hAnsi="Cambria"/>
          <w:lang w:val="en-ZA"/>
        </w:rPr>
        <w:t>-positive cases with Ct-values &lt;35, 31.1% (62) were non-vaccine serotypes/</w:t>
      </w:r>
      <w:proofErr w:type="spellStart"/>
      <w:r w:rsidRPr="005953DF">
        <w:rPr>
          <w:rFonts w:ascii="Cambria" w:hAnsi="Cambria"/>
          <w:lang w:val="en-ZA"/>
        </w:rPr>
        <w:t>serogroups</w:t>
      </w:r>
      <w:proofErr w:type="spellEnd"/>
      <w:r w:rsidRPr="005953DF">
        <w:rPr>
          <w:rFonts w:ascii="Cambria" w:hAnsi="Cambria"/>
          <w:lang w:val="en-ZA"/>
        </w:rPr>
        <w:t>; 41.2% (7/17) and 30.2% (55/182) among individuals &lt;2 and ≥2 years of age, res</w:t>
      </w:r>
      <w:r w:rsidR="00527C51" w:rsidRPr="005953DF">
        <w:rPr>
          <w:rFonts w:ascii="Cambria" w:hAnsi="Cambria"/>
          <w:lang w:val="en-ZA"/>
        </w:rPr>
        <w:t>pectively (Table S1</w:t>
      </w:r>
      <w:r w:rsidRPr="005953DF">
        <w:rPr>
          <w:rFonts w:ascii="Cambria" w:hAnsi="Cambria"/>
          <w:lang w:val="en-ZA"/>
        </w:rPr>
        <w:t xml:space="preserve">). The proportion of samples with </w:t>
      </w:r>
      <w:proofErr w:type="spellStart"/>
      <w:r w:rsidRPr="005953DF">
        <w:rPr>
          <w:rFonts w:ascii="Cambria" w:hAnsi="Cambria"/>
          <w:i/>
          <w:lang w:val="en-ZA"/>
        </w:rPr>
        <w:t>lytA</w:t>
      </w:r>
      <w:proofErr w:type="spellEnd"/>
      <w:r w:rsidRPr="005953DF">
        <w:rPr>
          <w:rFonts w:ascii="Cambria" w:hAnsi="Cambria"/>
          <w:lang w:val="en-ZA"/>
        </w:rPr>
        <w:t xml:space="preserve"> Ct-values &lt;35 was lower among children &lt;2 years of age (13.6%; 17/125) than among individuals aged ≥2 years (38.1%; 182/478) (p&lt;0.001). The HIV prevalence among children &lt;2 years with known HIV status was 11.9% (13/109).</w:t>
      </w:r>
    </w:p>
    <w:p w:rsidR="00D35EB1" w:rsidRPr="005953DF" w:rsidRDefault="00D35EB1" w:rsidP="005953DF">
      <w:pPr>
        <w:spacing w:after="240"/>
        <w:jc w:val="both"/>
        <w:rPr>
          <w:rFonts w:ascii="Cambria" w:hAnsi="Cambria"/>
          <w:lang w:val="en-ZA"/>
        </w:rPr>
      </w:pPr>
      <w:r w:rsidRPr="005953DF">
        <w:rPr>
          <w:rFonts w:ascii="Cambria" w:hAnsi="Cambria"/>
          <w:lang w:val="en-ZA"/>
        </w:rPr>
        <w:t xml:space="preserve">Of the 1,579 culture-positive IPD cases enrolled, 1,076 (68.1%) tested positive from blood, 411 (26.0%) from </w:t>
      </w:r>
      <w:proofErr w:type="spellStart"/>
      <w:r w:rsidRPr="005953DF">
        <w:rPr>
          <w:rFonts w:ascii="Cambria" w:hAnsi="Cambria"/>
          <w:lang w:val="en-ZA"/>
        </w:rPr>
        <w:t>cerebro</w:t>
      </w:r>
      <w:proofErr w:type="spellEnd"/>
      <w:r w:rsidRPr="005953DF">
        <w:rPr>
          <w:rFonts w:ascii="Cambria" w:hAnsi="Cambria"/>
          <w:lang w:val="en-ZA"/>
        </w:rPr>
        <w:t>-spinal fluid (CSF), 62 (3.9%) from pleural fluid and 30 (2.0%) from other specimens. Serotype results were available for 1,197 (75.8%) specimens. Of these 374 (31.2%) were non-vaccine serotypes; 33.7% (62/184) and 30.8% (312/1013) among individuals &lt;2 and ≥2 year</w:t>
      </w:r>
      <w:r w:rsidR="00527C51" w:rsidRPr="005953DF">
        <w:rPr>
          <w:rFonts w:ascii="Cambria" w:hAnsi="Cambria"/>
          <w:lang w:val="en-ZA"/>
        </w:rPr>
        <w:t>s of age, respectively (Table S1</w:t>
      </w:r>
      <w:r w:rsidRPr="005953DF">
        <w:rPr>
          <w:rFonts w:ascii="Cambria" w:hAnsi="Cambria"/>
          <w:lang w:val="en-ZA"/>
        </w:rPr>
        <w:t xml:space="preserve">). The HIV prevalence among children &lt;2 years with known HIV status and available serotype results was 39.5% (62/157). The proportion of non-vaccine serotypes was significantly higher among </w:t>
      </w:r>
      <w:proofErr w:type="spellStart"/>
      <w:r w:rsidRPr="005953DF">
        <w:rPr>
          <w:rFonts w:ascii="Cambria" w:hAnsi="Cambria"/>
          <w:i/>
          <w:lang w:val="en-ZA"/>
        </w:rPr>
        <w:t>lytA</w:t>
      </w:r>
      <w:proofErr w:type="spellEnd"/>
      <w:r w:rsidRPr="005953DF">
        <w:rPr>
          <w:rFonts w:ascii="Cambria" w:hAnsi="Cambria"/>
          <w:lang w:val="en-ZA"/>
        </w:rPr>
        <w:t xml:space="preserve">-positive samples with Ct-values &lt;40 compared to culture-positive samples (58.9%; vs. 31.2%; p&lt;0.001). This was not observed among </w:t>
      </w:r>
      <w:proofErr w:type="spellStart"/>
      <w:r w:rsidRPr="005953DF">
        <w:rPr>
          <w:rFonts w:ascii="Cambria" w:hAnsi="Cambria"/>
          <w:i/>
          <w:lang w:val="en-ZA"/>
        </w:rPr>
        <w:t>lytA</w:t>
      </w:r>
      <w:proofErr w:type="spellEnd"/>
      <w:r w:rsidRPr="005953DF">
        <w:rPr>
          <w:rFonts w:ascii="Cambria" w:hAnsi="Cambria"/>
          <w:lang w:val="en-ZA"/>
        </w:rPr>
        <w:t>-positive samples with Ct-values &lt;35 (31.1% vs. 31.2%; p=0.977). Of the 95 culture-positive HIV-uninfected children &lt;2 years of age with available serotype results, 59 (62.1%) tested positive from blood and 36 (37.9%) from CSF. There was no significant difference in the proportion of non-vaccine serotypes between blood- (20/59; 33.9%) and CSF-positive (13/36; 36.1%) specimens (p=0.975). The time-trends of culture-positive cases by specimen type are provided in Figure S1.</w:t>
      </w:r>
    </w:p>
    <w:p w:rsidR="004A01E4" w:rsidRDefault="004A01E4" w:rsidP="004A01E4">
      <w:pPr>
        <w:jc w:val="both"/>
        <w:rPr>
          <w:rFonts w:ascii="Cambria" w:hAnsi="Cambria"/>
          <w:sz w:val="20"/>
          <w:szCs w:val="20"/>
        </w:rPr>
      </w:pPr>
    </w:p>
    <w:p w:rsidR="00103BF1" w:rsidRDefault="00103BF1">
      <w:pPr>
        <w:spacing w:after="160" w:line="259" w:lineRule="auto"/>
        <w:rPr>
          <w:rFonts w:ascii="Cambria" w:hAnsi="Cambria"/>
          <w:b/>
        </w:rPr>
      </w:pPr>
      <w:r>
        <w:rPr>
          <w:rFonts w:ascii="Cambria" w:hAnsi="Cambria"/>
          <w:b/>
        </w:rPr>
        <w:br w:type="page"/>
      </w:r>
    </w:p>
    <w:p w:rsidR="00BE37CE" w:rsidRDefault="00527C51" w:rsidP="00BE37CE">
      <w:pPr>
        <w:jc w:val="both"/>
        <w:rPr>
          <w:rFonts w:ascii="Cambria" w:hAnsi="Cambria"/>
        </w:rPr>
      </w:pPr>
      <w:r>
        <w:rPr>
          <w:rFonts w:ascii="Cambria" w:hAnsi="Cambria"/>
          <w:b/>
        </w:rPr>
        <w:lastRenderedPageBreak/>
        <w:t>Table S1</w:t>
      </w:r>
      <w:r w:rsidR="00BE37CE" w:rsidRPr="002F36C8">
        <w:rPr>
          <w:rFonts w:ascii="Cambria" w:hAnsi="Cambria"/>
          <w:b/>
        </w:rPr>
        <w:t>:</w:t>
      </w:r>
      <w:r w:rsidR="00BE37CE">
        <w:rPr>
          <w:rFonts w:ascii="Cambria" w:hAnsi="Cambria"/>
        </w:rPr>
        <w:t xml:space="preserve"> Proportion of pneumococcal conjugate vaccine (PCV) serotypes/</w:t>
      </w:r>
      <w:proofErr w:type="spellStart"/>
      <w:r w:rsidR="00BE37CE">
        <w:rPr>
          <w:rFonts w:ascii="Cambria" w:hAnsi="Cambria"/>
        </w:rPr>
        <w:t>serogroups</w:t>
      </w:r>
      <w:proofErr w:type="spellEnd"/>
      <w:r w:rsidR="00BE37CE">
        <w:rPr>
          <w:rFonts w:ascii="Cambria" w:hAnsi="Cambria"/>
        </w:rPr>
        <w:t xml:space="preserve"> among </w:t>
      </w:r>
      <w:proofErr w:type="spellStart"/>
      <w:r w:rsidR="00BE37CE" w:rsidRPr="00270C69">
        <w:rPr>
          <w:rFonts w:ascii="Cambria" w:hAnsi="Cambria"/>
          <w:i/>
        </w:rPr>
        <w:t>lytA</w:t>
      </w:r>
      <w:proofErr w:type="spellEnd"/>
      <w:r w:rsidR="00BE37CE">
        <w:rPr>
          <w:rFonts w:ascii="Cambria" w:hAnsi="Cambria"/>
        </w:rPr>
        <w:t xml:space="preserve">-positive (SARI) and culture-positive (GERMS) cases </w:t>
      </w:r>
      <w:r w:rsidR="00BE37CE" w:rsidRPr="00826CE0">
        <w:rPr>
          <w:rFonts w:ascii="Cambria" w:hAnsi="Cambria"/>
        </w:rPr>
        <w:t xml:space="preserve">hospitalized at Chris Hani </w:t>
      </w:r>
      <w:proofErr w:type="spellStart"/>
      <w:r w:rsidR="00BE37CE" w:rsidRPr="00826CE0">
        <w:rPr>
          <w:rFonts w:ascii="Cambria" w:hAnsi="Cambria"/>
        </w:rPr>
        <w:t>Baragwanath</w:t>
      </w:r>
      <w:proofErr w:type="spellEnd"/>
      <w:r w:rsidR="00BE37CE" w:rsidRPr="00826CE0">
        <w:rPr>
          <w:rFonts w:ascii="Cambria" w:hAnsi="Cambria"/>
        </w:rPr>
        <w:t xml:space="preserve"> Academic Hospital, </w:t>
      </w:r>
      <w:r w:rsidR="00BE37CE">
        <w:rPr>
          <w:rFonts w:ascii="Cambria" w:hAnsi="Cambria"/>
        </w:rPr>
        <w:t xml:space="preserve">Soweto, South Africa, </w:t>
      </w:r>
      <w:r w:rsidR="00BE37CE" w:rsidRPr="00826CE0">
        <w:rPr>
          <w:rFonts w:ascii="Cambria" w:hAnsi="Cambria"/>
        </w:rPr>
        <w:t>2009-2012.</w:t>
      </w:r>
    </w:p>
    <w:p w:rsidR="00BE37CE" w:rsidRDefault="00BE37CE" w:rsidP="00BE37CE">
      <w:pPr>
        <w:jc w:val="both"/>
        <w:rPr>
          <w:rFonts w:ascii="Cambria" w:hAnsi="Cambria"/>
        </w:rPr>
      </w:pPr>
    </w:p>
    <w:tbl>
      <w:tblPr>
        <w:tblW w:w="0" w:type="auto"/>
        <w:tblLook w:val="04A0" w:firstRow="1" w:lastRow="0" w:firstColumn="1" w:lastColumn="0" w:noHBand="0" w:noVBand="1"/>
      </w:tblPr>
      <w:tblGrid>
        <w:gridCol w:w="1551"/>
        <w:gridCol w:w="1406"/>
        <w:gridCol w:w="1406"/>
        <w:gridCol w:w="1406"/>
        <w:gridCol w:w="1406"/>
        <w:gridCol w:w="1465"/>
      </w:tblGrid>
      <w:tr w:rsidR="00BE37CE" w:rsidRPr="003F1249" w:rsidTr="00E35603">
        <w:tc>
          <w:tcPr>
            <w:tcW w:w="2196" w:type="dxa"/>
            <w:vMerge w:val="restart"/>
            <w:tcBorders>
              <w:top w:val="single" w:sz="4" w:space="0" w:color="auto"/>
            </w:tcBorders>
            <w:shd w:val="clear" w:color="auto" w:fill="auto"/>
            <w:vAlign w:val="center"/>
          </w:tcPr>
          <w:p w:rsidR="00BE37CE" w:rsidRPr="003F1249" w:rsidRDefault="00BE37CE" w:rsidP="00E35603">
            <w:pPr>
              <w:jc w:val="center"/>
              <w:rPr>
                <w:rFonts w:ascii="Cambria" w:hAnsi="Cambria"/>
                <w:b/>
                <w:sz w:val="18"/>
                <w:szCs w:val="18"/>
              </w:rPr>
            </w:pPr>
            <w:r>
              <w:rPr>
                <w:rFonts w:ascii="Cambria" w:hAnsi="Cambria"/>
                <w:b/>
                <w:sz w:val="18"/>
                <w:szCs w:val="18"/>
              </w:rPr>
              <w:t>PCV s</w:t>
            </w:r>
            <w:r w:rsidRPr="003F1249">
              <w:rPr>
                <w:rFonts w:ascii="Cambria" w:hAnsi="Cambria"/>
                <w:b/>
                <w:sz w:val="18"/>
                <w:szCs w:val="18"/>
              </w:rPr>
              <w:t>erotypes</w:t>
            </w:r>
          </w:p>
        </w:tc>
        <w:tc>
          <w:tcPr>
            <w:tcW w:w="10980" w:type="dxa"/>
            <w:gridSpan w:val="5"/>
            <w:tcBorders>
              <w:top w:val="single" w:sz="4" w:space="0" w:color="auto"/>
              <w:bottom w:val="single" w:sz="4" w:space="0" w:color="auto"/>
            </w:tcBorders>
            <w:shd w:val="clear" w:color="auto" w:fill="auto"/>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Year</w:t>
            </w:r>
          </w:p>
        </w:tc>
      </w:tr>
      <w:tr w:rsidR="00BE37CE" w:rsidRPr="003F1249" w:rsidTr="00E35603">
        <w:tc>
          <w:tcPr>
            <w:tcW w:w="2196" w:type="dxa"/>
            <w:vMerge/>
            <w:shd w:val="clear" w:color="auto" w:fill="auto"/>
            <w:vAlign w:val="center"/>
          </w:tcPr>
          <w:p w:rsidR="00BE37CE" w:rsidRPr="003F1249" w:rsidRDefault="00BE37CE" w:rsidP="00E35603">
            <w:pPr>
              <w:jc w:val="center"/>
              <w:rPr>
                <w:rFonts w:ascii="Cambria" w:hAnsi="Cambria"/>
                <w:b/>
                <w:sz w:val="18"/>
                <w:szCs w:val="18"/>
              </w:rPr>
            </w:pPr>
          </w:p>
        </w:tc>
        <w:tc>
          <w:tcPr>
            <w:tcW w:w="2196" w:type="dxa"/>
            <w:tcBorders>
              <w:top w:val="single" w:sz="4" w:space="0" w:color="auto"/>
              <w:bottom w:val="single" w:sz="4" w:space="0" w:color="auto"/>
            </w:tcBorders>
            <w:shd w:val="clear" w:color="auto" w:fill="auto"/>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2009</w:t>
            </w:r>
          </w:p>
          <w:p w:rsidR="00BE37CE" w:rsidRPr="003F1249" w:rsidRDefault="00BE37CE" w:rsidP="00E35603">
            <w:pPr>
              <w:jc w:val="center"/>
              <w:rPr>
                <w:rFonts w:ascii="Cambria" w:hAnsi="Cambria"/>
                <w:b/>
                <w:sz w:val="18"/>
                <w:szCs w:val="18"/>
              </w:rPr>
            </w:pPr>
            <w:r w:rsidRPr="003F1249">
              <w:rPr>
                <w:rFonts w:ascii="Cambria" w:hAnsi="Cambria"/>
                <w:b/>
                <w:sz w:val="18"/>
                <w:szCs w:val="18"/>
              </w:rPr>
              <w:t>n (%)</w:t>
            </w:r>
          </w:p>
        </w:tc>
        <w:tc>
          <w:tcPr>
            <w:tcW w:w="2196" w:type="dxa"/>
            <w:tcBorders>
              <w:top w:val="single" w:sz="4" w:space="0" w:color="auto"/>
              <w:bottom w:val="single" w:sz="4" w:space="0" w:color="auto"/>
            </w:tcBorders>
            <w:shd w:val="clear" w:color="auto" w:fill="auto"/>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2010</w:t>
            </w:r>
          </w:p>
          <w:p w:rsidR="00BE37CE" w:rsidRPr="003F1249" w:rsidRDefault="00BE37CE" w:rsidP="00E35603">
            <w:pPr>
              <w:jc w:val="center"/>
              <w:rPr>
                <w:rFonts w:ascii="Cambria" w:hAnsi="Cambria"/>
                <w:b/>
                <w:sz w:val="18"/>
                <w:szCs w:val="18"/>
              </w:rPr>
            </w:pPr>
            <w:r w:rsidRPr="003F1249">
              <w:rPr>
                <w:rFonts w:ascii="Cambria" w:hAnsi="Cambria"/>
                <w:b/>
                <w:sz w:val="18"/>
                <w:szCs w:val="18"/>
              </w:rPr>
              <w:t>n (%)</w:t>
            </w:r>
          </w:p>
        </w:tc>
        <w:tc>
          <w:tcPr>
            <w:tcW w:w="2196" w:type="dxa"/>
            <w:tcBorders>
              <w:top w:val="single" w:sz="4" w:space="0" w:color="auto"/>
              <w:bottom w:val="single" w:sz="4" w:space="0" w:color="auto"/>
            </w:tcBorders>
            <w:shd w:val="clear" w:color="auto" w:fill="auto"/>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2011</w:t>
            </w:r>
          </w:p>
          <w:p w:rsidR="00BE37CE" w:rsidRPr="003F1249" w:rsidRDefault="00BE37CE" w:rsidP="00E35603">
            <w:pPr>
              <w:jc w:val="center"/>
              <w:rPr>
                <w:rFonts w:ascii="Cambria" w:hAnsi="Cambria"/>
                <w:b/>
                <w:sz w:val="18"/>
                <w:szCs w:val="18"/>
              </w:rPr>
            </w:pPr>
            <w:r w:rsidRPr="003F1249">
              <w:rPr>
                <w:rFonts w:ascii="Cambria" w:hAnsi="Cambria"/>
                <w:b/>
                <w:sz w:val="18"/>
                <w:szCs w:val="18"/>
              </w:rPr>
              <w:t>n (%)</w:t>
            </w:r>
          </w:p>
        </w:tc>
        <w:tc>
          <w:tcPr>
            <w:tcW w:w="2196" w:type="dxa"/>
            <w:tcBorders>
              <w:top w:val="single" w:sz="4" w:space="0" w:color="auto"/>
              <w:bottom w:val="single" w:sz="4" w:space="0" w:color="auto"/>
            </w:tcBorders>
            <w:shd w:val="clear" w:color="auto" w:fill="auto"/>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2012</w:t>
            </w:r>
          </w:p>
          <w:p w:rsidR="00BE37CE" w:rsidRPr="003F1249" w:rsidRDefault="00BE37CE" w:rsidP="00E35603">
            <w:pPr>
              <w:jc w:val="center"/>
              <w:rPr>
                <w:rFonts w:ascii="Cambria" w:hAnsi="Cambria"/>
                <w:b/>
                <w:sz w:val="18"/>
                <w:szCs w:val="18"/>
              </w:rPr>
            </w:pPr>
            <w:r w:rsidRPr="003F1249">
              <w:rPr>
                <w:rFonts w:ascii="Cambria" w:hAnsi="Cambria"/>
                <w:b/>
                <w:sz w:val="18"/>
                <w:szCs w:val="18"/>
              </w:rPr>
              <w:t>n (%)</w:t>
            </w:r>
          </w:p>
        </w:tc>
        <w:tc>
          <w:tcPr>
            <w:tcW w:w="2196" w:type="dxa"/>
            <w:tcBorders>
              <w:top w:val="single" w:sz="4" w:space="0" w:color="auto"/>
              <w:bottom w:val="single" w:sz="4" w:space="0" w:color="auto"/>
            </w:tcBorders>
            <w:shd w:val="clear" w:color="auto" w:fill="auto"/>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Total</w:t>
            </w:r>
          </w:p>
          <w:p w:rsidR="00BE37CE" w:rsidRPr="003F1249" w:rsidRDefault="00BE37CE" w:rsidP="00E35603">
            <w:pPr>
              <w:jc w:val="center"/>
              <w:rPr>
                <w:rFonts w:ascii="Cambria" w:hAnsi="Cambria"/>
                <w:b/>
                <w:sz w:val="18"/>
                <w:szCs w:val="18"/>
              </w:rPr>
            </w:pPr>
            <w:r w:rsidRPr="003F1249">
              <w:rPr>
                <w:rFonts w:ascii="Cambria" w:hAnsi="Cambria"/>
                <w:b/>
                <w:sz w:val="18"/>
                <w:szCs w:val="18"/>
              </w:rPr>
              <w:t>n (%)</w:t>
            </w:r>
          </w:p>
        </w:tc>
      </w:tr>
      <w:tr w:rsidR="00BE37CE" w:rsidRPr="003F1249" w:rsidTr="00E35603">
        <w:tc>
          <w:tcPr>
            <w:tcW w:w="13176" w:type="dxa"/>
            <w:gridSpan w:val="6"/>
            <w:tcBorders>
              <w:bottom w:val="single" w:sz="4" w:space="0" w:color="auto"/>
            </w:tcBorders>
            <w:shd w:val="clear" w:color="auto" w:fill="auto"/>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 xml:space="preserve">Any </w:t>
            </w:r>
            <w:proofErr w:type="spellStart"/>
            <w:r w:rsidRPr="003F1249">
              <w:rPr>
                <w:rFonts w:ascii="Cambria" w:hAnsi="Cambria"/>
                <w:b/>
                <w:i/>
                <w:sz w:val="18"/>
                <w:szCs w:val="18"/>
              </w:rPr>
              <w:t>lytA</w:t>
            </w:r>
            <w:proofErr w:type="spellEnd"/>
            <w:r>
              <w:rPr>
                <w:rFonts w:ascii="Cambria" w:hAnsi="Cambria"/>
                <w:b/>
                <w:sz w:val="18"/>
                <w:szCs w:val="18"/>
              </w:rPr>
              <w:t>-positive case (SARI program)</w:t>
            </w:r>
          </w:p>
        </w:tc>
      </w:tr>
      <w:tr w:rsidR="00BE37CE" w:rsidRPr="003F1249" w:rsidTr="00E35603">
        <w:tc>
          <w:tcPr>
            <w:tcW w:w="2196" w:type="dxa"/>
            <w:tcBorders>
              <w:top w:val="single" w:sz="4" w:space="0" w:color="auto"/>
            </w:tcBorders>
            <w:shd w:val="clear" w:color="auto" w:fill="D9D9D9"/>
          </w:tcPr>
          <w:p w:rsidR="00BE37CE" w:rsidRPr="003F1249" w:rsidRDefault="00BE37CE" w:rsidP="00E35603">
            <w:pPr>
              <w:jc w:val="both"/>
              <w:rPr>
                <w:rFonts w:ascii="Cambria" w:hAnsi="Cambria"/>
                <w:b/>
                <w:sz w:val="18"/>
                <w:szCs w:val="18"/>
              </w:rPr>
            </w:pPr>
            <w:r w:rsidRPr="003F1249">
              <w:rPr>
                <w:rFonts w:ascii="Cambria" w:hAnsi="Cambria"/>
                <w:b/>
                <w:sz w:val="18"/>
                <w:szCs w:val="18"/>
              </w:rPr>
              <w:t>&lt;2 year of age</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N=36</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N=21</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N=33</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N=35</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N=125</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12 (33.3)</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4 (19.1)</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4 (12.1)</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4 (11.4)</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24 (19.2)</w:t>
            </w:r>
          </w:p>
        </w:tc>
      </w:tr>
      <w:tr w:rsidR="00BE37CE" w:rsidRPr="003F1249" w:rsidTr="00E35603">
        <w:tc>
          <w:tcPr>
            <w:tcW w:w="2196" w:type="dxa"/>
            <w:shd w:val="clear" w:color="auto" w:fill="D9D9D9"/>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PCV-13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4 (11.1)</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 (9.5)</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4 (12.1)</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 (8.6)</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13 (10.4)</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NVT</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20 (55.6)</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15 (71.4)</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25 (75.8)</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28 (80.0)</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88 (70.4)</w:t>
            </w:r>
          </w:p>
        </w:tc>
      </w:tr>
      <w:tr w:rsidR="00BE37CE" w:rsidRPr="003F1249" w:rsidTr="00E35603">
        <w:tc>
          <w:tcPr>
            <w:tcW w:w="2196" w:type="dxa"/>
            <w:shd w:val="clear" w:color="auto" w:fill="D9D9D9"/>
          </w:tcPr>
          <w:p w:rsidR="00BE37CE" w:rsidRPr="003F1249" w:rsidRDefault="00BE37CE" w:rsidP="00E35603">
            <w:pPr>
              <w:jc w:val="both"/>
              <w:rPr>
                <w:rFonts w:ascii="Cambria" w:hAnsi="Cambria"/>
                <w:b/>
                <w:sz w:val="18"/>
                <w:szCs w:val="18"/>
              </w:rPr>
            </w:pPr>
            <w:r w:rsidRPr="003F1249">
              <w:rPr>
                <w:rFonts w:ascii="Cambria" w:hAnsi="Cambria"/>
                <w:b/>
                <w:sz w:val="18"/>
                <w:szCs w:val="18"/>
              </w:rPr>
              <w:t>≥2 year of age</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N=93</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N=152</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N=115</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N=118</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N=478</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20 (21.5)</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30 (19.7)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21 (18.3)</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15 (12.7)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86 (18.0)</w:t>
            </w:r>
          </w:p>
        </w:tc>
      </w:tr>
      <w:tr w:rsidR="00BE37CE" w:rsidRPr="003F1249" w:rsidTr="00E35603">
        <w:tc>
          <w:tcPr>
            <w:tcW w:w="2196" w:type="dxa"/>
            <w:shd w:val="clear" w:color="auto" w:fill="D9D9D9"/>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PCV-13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19 (20.4)</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54 (34.9)</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32 (27.8)</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21 (17.8)</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125 (26.1)</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NVT</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54 (58.1)</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69 (45.4)</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62 (53.9)</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82 (69.5)</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267 (55.9)</w:t>
            </w:r>
          </w:p>
        </w:tc>
      </w:tr>
      <w:tr w:rsidR="00BE37CE" w:rsidRPr="003F1249" w:rsidTr="00E35603">
        <w:tc>
          <w:tcPr>
            <w:tcW w:w="2196" w:type="dxa"/>
            <w:shd w:val="clear" w:color="auto" w:fill="D9D9D9"/>
          </w:tcPr>
          <w:p w:rsidR="00BE37CE" w:rsidRPr="003F1249" w:rsidRDefault="00BE37CE" w:rsidP="00E35603">
            <w:pPr>
              <w:jc w:val="both"/>
              <w:rPr>
                <w:rFonts w:ascii="Cambria" w:hAnsi="Cambria"/>
                <w:b/>
                <w:sz w:val="18"/>
                <w:szCs w:val="18"/>
              </w:rPr>
            </w:pPr>
            <w:r w:rsidRPr="003F1249">
              <w:rPr>
                <w:rFonts w:ascii="Cambria" w:hAnsi="Cambria"/>
                <w:b/>
                <w:sz w:val="18"/>
                <w:szCs w:val="18"/>
              </w:rPr>
              <w:t>Any age</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N=129</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N=173</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N=148</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N=153</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N=603</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32 (24.8)</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34 (19.6)</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25 (16.9)</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19 (12.4)</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110 (18.2)</w:t>
            </w:r>
          </w:p>
        </w:tc>
      </w:tr>
      <w:tr w:rsidR="00BE37CE" w:rsidRPr="003F1249" w:rsidTr="00E35603">
        <w:tc>
          <w:tcPr>
            <w:tcW w:w="2196" w:type="dxa"/>
            <w:shd w:val="clear" w:color="auto" w:fill="D9D9D9"/>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PCV-13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23 (17.8)</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55 (31.8)</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36 (24.3)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24 (15.7)</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138 (22.9)</w:t>
            </w:r>
          </w:p>
        </w:tc>
      </w:tr>
      <w:tr w:rsidR="00BE37CE" w:rsidRPr="003F1249" w:rsidTr="00E35603">
        <w:tc>
          <w:tcPr>
            <w:tcW w:w="2196" w:type="dxa"/>
            <w:tcBorders>
              <w:bottom w:val="single" w:sz="4" w:space="0" w:color="auto"/>
            </w:tcBorders>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NVT</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74 (57.4)</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84 (48.6)</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87 (58.8)</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110 (71.9)</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355 (58.9)</w:t>
            </w:r>
          </w:p>
        </w:tc>
      </w:tr>
      <w:tr w:rsidR="00BE37CE" w:rsidRPr="003F1249" w:rsidTr="00E35603">
        <w:tc>
          <w:tcPr>
            <w:tcW w:w="13176" w:type="dxa"/>
            <w:gridSpan w:val="6"/>
            <w:tcBorders>
              <w:top w:val="single" w:sz="4" w:space="0" w:color="auto"/>
              <w:bottom w:val="single" w:sz="4" w:space="0" w:color="auto"/>
            </w:tcBorders>
            <w:shd w:val="clear" w:color="auto" w:fill="auto"/>
            <w:vAlign w:val="center"/>
          </w:tcPr>
          <w:p w:rsidR="00BE37CE" w:rsidRPr="003F1249" w:rsidRDefault="00BE37CE" w:rsidP="00E35603">
            <w:pPr>
              <w:jc w:val="center"/>
              <w:rPr>
                <w:rFonts w:ascii="Cambria" w:hAnsi="Cambria"/>
                <w:b/>
                <w:sz w:val="18"/>
                <w:szCs w:val="18"/>
              </w:rPr>
            </w:pPr>
            <w:proofErr w:type="spellStart"/>
            <w:r w:rsidRPr="003F1249">
              <w:rPr>
                <w:rFonts w:ascii="Cambria" w:hAnsi="Cambria"/>
                <w:b/>
                <w:i/>
                <w:sz w:val="18"/>
                <w:szCs w:val="18"/>
              </w:rPr>
              <w:t>lytA</w:t>
            </w:r>
            <w:proofErr w:type="spellEnd"/>
            <w:r w:rsidRPr="003F1249">
              <w:rPr>
                <w:rFonts w:ascii="Cambria" w:hAnsi="Cambria"/>
                <w:b/>
                <w:sz w:val="18"/>
                <w:szCs w:val="18"/>
              </w:rPr>
              <w:t>-positive cases with Ct-values &lt;35</w:t>
            </w:r>
            <w:r>
              <w:rPr>
                <w:rFonts w:ascii="Cambria" w:hAnsi="Cambria"/>
                <w:b/>
                <w:sz w:val="18"/>
                <w:szCs w:val="18"/>
              </w:rPr>
              <w:t xml:space="preserve"> (SARI program)</w:t>
            </w:r>
          </w:p>
        </w:tc>
      </w:tr>
      <w:tr w:rsidR="00BE37CE" w:rsidRPr="003F1249" w:rsidTr="00E35603">
        <w:tc>
          <w:tcPr>
            <w:tcW w:w="2196" w:type="dxa"/>
            <w:tcBorders>
              <w:top w:val="single" w:sz="4" w:space="0" w:color="auto"/>
            </w:tcBorders>
            <w:shd w:val="clear" w:color="auto" w:fill="D9D9D9"/>
          </w:tcPr>
          <w:p w:rsidR="00BE37CE" w:rsidRPr="003F1249" w:rsidRDefault="00BE37CE" w:rsidP="00E35603">
            <w:pPr>
              <w:jc w:val="both"/>
              <w:rPr>
                <w:rFonts w:ascii="Cambria" w:hAnsi="Cambria"/>
                <w:b/>
                <w:sz w:val="18"/>
                <w:szCs w:val="18"/>
              </w:rPr>
            </w:pPr>
            <w:r w:rsidRPr="003F1249">
              <w:rPr>
                <w:rFonts w:ascii="Cambria" w:hAnsi="Cambria"/>
                <w:b/>
                <w:sz w:val="18"/>
                <w:szCs w:val="18"/>
              </w:rPr>
              <w:t>&lt;2 year of age</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N=4</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N=2</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N=5</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N=6</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N=17</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0 (0.0)</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0 (0.0)</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 (40.0)</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 (16.7)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 (17.6)</w:t>
            </w:r>
          </w:p>
        </w:tc>
      </w:tr>
      <w:tr w:rsidR="00BE37CE" w:rsidRPr="003F1249" w:rsidTr="00E35603">
        <w:tc>
          <w:tcPr>
            <w:tcW w:w="2196" w:type="dxa"/>
            <w:shd w:val="clear" w:color="auto" w:fill="D9D9D9"/>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PCV-13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 (50.0)</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 (50.0)</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 (40.0)</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 (33.3)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7 (41.2)</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NVT</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 (50.0)</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 (50.0)</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 (20.0)</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 (50.0)</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7 (41.2)</w:t>
            </w:r>
          </w:p>
        </w:tc>
      </w:tr>
      <w:tr w:rsidR="00BE37CE" w:rsidRPr="003F1249" w:rsidTr="00E35603">
        <w:tc>
          <w:tcPr>
            <w:tcW w:w="2196" w:type="dxa"/>
            <w:shd w:val="clear" w:color="auto" w:fill="D9D9D9"/>
          </w:tcPr>
          <w:p w:rsidR="00BE37CE" w:rsidRPr="003F1249" w:rsidRDefault="00BE37CE" w:rsidP="00E35603">
            <w:pPr>
              <w:jc w:val="both"/>
              <w:rPr>
                <w:rFonts w:ascii="Cambria" w:hAnsi="Cambria"/>
                <w:b/>
                <w:sz w:val="18"/>
                <w:szCs w:val="18"/>
              </w:rPr>
            </w:pPr>
            <w:r w:rsidRPr="003F1249">
              <w:rPr>
                <w:rFonts w:ascii="Cambria" w:hAnsi="Cambria"/>
                <w:b/>
                <w:sz w:val="18"/>
                <w:szCs w:val="18"/>
              </w:rPr>
              <w:t>≥2 year of age</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N=22</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N=78</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N=44</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N=38</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N=182</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5 (22.7)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15 (19.2)</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10 (22.7)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7 (18.4)</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37 (20.3)</w:t>
            </w:r>
          </w:p>
        </w:tc>
      </w:tr>
      <w:tr w:rsidR="00BE37CE" w:rsidRPr="003F1249" w:rsidTr="00E35603">
        <w:tc>
          <w:tcPr>
            <w:tcW w:w="2196" w:type="dxa"/>
            <w:shd w:val="clear" w:color="auto" w:fill="D9D9D9"/>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PCV-13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6 (27.3)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43 (55.1)</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26 (59.1)</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15 (39.5)</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90 (49.5)</w:t>
            </w:r>
          </w:p>
        </w:tc>
      </w:tr>
      <w:tr w:rsidR="00BE37CE" w:rsidRPr="003F1249" w:rsidTr="00E35603">
        <w:tc>
          <w:tcPr>
            <w:tcW w:w="2196" w:type="dxa"/>
            <w:shd w:val="clear" w:color="auto" w:fill="FFFFFF"/>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NVT</w:t>
            </w:r>
          </w:p>
        </w:tc>
        <w:tc>
          <w:tcPr>
            <w:tcW w:w="2196" w:type="dxa"/>
            <w:shd w:val="clear" w:color="auto" w:fill="FFFFFF"/>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11 (50.0)</w:t>
            </w:r>
          </w:p>
        </w:tc>
        <w:tc>
          <w:tcPr>
            <w:tcW w:w="2196" w:type="dxa"/>
            <w:shd w:val="clear" w:color="auto" w:fill="FFFFFF"/>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20 (25.6)</w:t>
            </w:r>
          </w:p>
        </w:tc>
        <w:tc>
          <w:tcPr>
            <w:tcW w:w="2196" w:type="dxa"/>
            <w:shd w:val="clear" w:color="auto" w:fill="FFFFFF"/>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8 (18.2)</w:t>
            </w:r>
          </w:p>
        </w:tc>
        <w:tc>
          <w:tcPr>
            <w:tcW w:w="2196" w:type="dxa"/>
            <w:shd w:val="clear" w:color="auto" w:fill="FFFFFF"/>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16 (42.1)</w:t>
            </w:r>
          </w:p>
        </w:tc>
        <w:tc>
          <w:tcPr>
            <w:tcW w:w="2196" w:type="dxa"/>
            <w:shd w:val="clear" w:color="auto" w:fill="FFFFFF"/>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55 (30.2)</w:t>
            </w:r>
          </w:p>
        </w:tc>
      </w:tr>
      <w:tr w:rsidR="00BE37CE" w:rsidRPr="003F1249" w:rsidTr="00E35603">
        <w:tc>
          <w:tcPr>
            <w:tcW w:w="2196" w:type="dxa"/>
            <w:shd w:val="clear" w:color="auto" w:fill="D9D9D9"/>
          </w:tcPr>
          <w:p w:rsidR="00BE37CE" w:rsidRPr="003F1249" w:rsidRDefault="00BE37CE" w:rsidP="00E35603">
            <w:pPr>
              <w:jc w:val="both"/>
              <w:rPr>
                <w:rFonts w:ascii="Cambria" w:hAnsi="Cambria"/>
                <w:b/>
                <w:sz w:val="18"/>
                <w:szCs w:val="18"/>
              </w:rPr>
            </w:pPr>
            <w:r w:rsidRPr="003F1249">
              <w:rPr>
                <w:rFonts w:ascii="Cambria" w:hAnsi="Cambria"/>
                <w:b/>
                <w:sz w:val="18"/>
                <w:szCs w:val="18"/>
              </w:rPr>
              <w:t>Any age</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N=26</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N=80</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N=49</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N=44</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sidRPr="003F1249">
              <w:rPr>
                <w:rFonts w:ascii="Cambria" w:hAnsi="Cambria"/>
                <w:b/>
                <w:sz w:val="18"/>
                <w:szCs w:val="18"/>
              </w:rPr>
              <w:t>N=199</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5 (19.2)</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15 (18.7)</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12 (24.5)</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8 (18.2)</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40 (20.1)</w:t>
            </w:r>
          </w:p>
        </w:tc>
      </w:tr>
      <w:tr w:rsidR="00BE37CE" w:rsidRPr="003F1249" w:rsidTr="00E35603">
        <w:tc>
          <w:tcPr>
            <w:tcW w:w="2196" w:type="dxa"/>
            <w:shd w:val="clear" w:color="auto" w:fill="D9D9D9"/>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PCV-13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8 (30.8)</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44 (55.0)</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28 (57.1)</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17 (38.6)</w:t>
            </w:r>
          </w:p>
        </w:tc>
        <w:tc>
          <w:tcPr>
            <w:tcW w:w="2196" w:type="dxa"/>
            <w:shd w:val="clear" w:color="auto" w:fill="D9D9D9"/>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97 (48.7)</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NVT</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13 (50.0)</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21 (26.3)</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9 (18.4)</w:t>
            </w:r>
          </w:p>
        </w:tc>
        <w:tc>
          <w:tcPr>
            <w:tcW w:w="2196" w:type="dxa"/>
            <w:shd w:val="clear" w:color="auto" w:fill="auto"/>
            <w:vAlign w:val="center"/>
          </w:tcPr>
          <w:p w:rsidR="00BE37CE" w:rsidRPr="003F1249" w:rsidRDefault="00BE37CE" w:rsidP="00E35603">
            <w:pPr>
              <w:jc w:val="center"/>
              <w:rPr>
                <w:rFonts w:ascii="Cambria" w:hAnsi="Cambria"/>
                <w:sz w:val="18"/>
                <w:szCs w:val="18"/>
              </w:rPr>
            </w:pPr>
            <w:r w:rsidRPr="003F1249">
              <w:rPr>
                <w:rFonts w:ascii="Cambria" w:hAnsi="Cambria"/>
                <w:sz w:val="18"/>
                <w:szCs w:val="18"/>
              </w:rPr>
              <w:t>19 (43.2)</w:t>
            </w:r>
          </w:p>
        </w:tc>
        <w:tc>
          <w:tcPr>
            <w:tcW w:w="2196" w:type="dxa"/>
            <w:shd w:val="clear" w:color="auto" w:fill="auto"/>
            <w:vAlign w:val="center"/>
          </w:tcPr>
          <w:p w:rsidR="00BE37CE" w:rsidRPr="003F1249" w:rsidRDefault="004620B8" w:rsidP="00E35603">
            <w:pPr>
              <w:jc w:val="center"/>
              <w:rPr>
                <w:rFonts w:ascii="Cambria" w:hAnsi="Cambria"/>
                <w:sz w:val="18"/>
                <w:szCs w:val="18"/>
              </w:rPr>
            </w:pPr>
            <w:r>
              <w:rPr>
                <w:rFonts w:ascii="Cambria" w:hAnsi="Cambria"/>
                <w:sz w:val="18"/>
                <w:szCs w:val="18"/>
              </w:rPr>
              <w:t>62 (31.1</w:t>
            </w:r>
            <w:r w:rsidR="00BE37CE" w:rsidRPr="003F1249">
              <w:rPr>
                <w:rFonts w:ascii="Cambria" w:hAnsi="Cambria"/>
                <w:sz w:val="18"/>
                <w:szCs w:val="18"/>
              </w:rPr>
              <w:t>)</w:t>
            </w:r>
          </w:p>
        </w:tc>
      </w:tr>
      <w:tr w:rsidR="00BE37CE" w:rsidRPr="003F1249" w:rsidTr="00E35603">
        <w:tc>
          <w:tcPr>
            <w:tcW w:w="13176" w:type="dxa"/>
            <w:gridSpan w:val="6"/>
            <w:tcBorders>
              <w:top w:val="single" w:sz="4" w:space="0" w:color="auto"/>
              <w:bottom w:val="single" w:sz="4" w:space="0" w:color="auto"/>
            </w:tcBorders>
            <w:shd w:val="clear" w:color="auto" w:fill="auto"/>
            <w:vAlign w:val="center"/>
          </w:tcPr>
          <w:p w:rsidR="00BE37CE" w:rsidRPr="003F1249" w:rsidRDefault="00BE37CE" w:rsidP="00E35603">
            <w:pPr>
              <w:jc w:val="center"/>
              <w:rPr>
                <w:rFonts w:ascii="Cambria" w:hAnsi="Cambria"/>
                <w:b/>
                <w:sz w:val="18"/>
                <w:szCs w:val="18"/>
              </w:rPr>
            </w:pPr>
            <w:r>
              <w:rPr>
                <w:rFonts w:ascii="Cambria" w:hAnsi="Cambria"/>
                <w:b/>
                <w:sz w:val="18"/>
                <w:szCs w:val="18"/>
              </w:rPr>
              <w:t>C</w:t>
            </w:r>
            <w:r w:rsidRPr="003E2667">
              <w:rPr>
                <w:rFonts w:ascii="Cambria" w:hAnsi="Cambria"/>
                <w:b/>
                <w:sz w:val="18"/>
                <w:szCs w:val="18"/>
              </w:rPr>
              <w:t>ulture</w:t>
            </w:r>
            <w:r>
              <w:rPr>
                <w:rFonts w:ascii="Cambria" w:hAnsi="Cambria"/>
                <w:b/>
                <w:i/>
                <w:sz w:val="18"/>
                <w:szCs w:val="18"/>
              </w:rPr>
              <w:t>-</w:t>
            </w:r>
            <w:r w:rsidRPr="003F1249">
              <w:rPr>
                <w:rFonts w:ascii="Cambria" w:hAnsi="Cambria"/>
                <w:b/>
                <w:sz w:val="18"/>
                <w:szCs w:val="18"/>
              </w:rPr>
              <w:t>positive cases</w:t>
            </w:r>
            <w:r>
              <w:rPr>
                <w:rFonts w:ascii="Cambria" w:hAnsi="Cambria"/>
                <w:b/>
                <w:sz w:val="18"/>
                <w:szCs w:val="18"/>
              </w:rPr>
              <w:t xml:space="preserve"> (GERMS program)</w:t>
            </w:r>
          </w:p>
        </w:tc>
      </w:tr>
      <w:tr w:rsidR="00BE37CE" w:rsidRPr="003F1249" w:rsidTr="00E35603">
        <w:tc>
          <w:tcPr>
            <w:tcW w:w="2196" w:type="dxa"/>
            <w:tcBorders>
              <w:top w:val="single" w:sz="4" w:space="0" w:color="auto"/>
            </w:tcBorders>
            <w:shd w:val="clear" w:color="auto" w:fill="D9D9D9"/>
          </w:tcPr>
          <w:p w:rsidR="00BE37CE" w:rsidRPr="003F1249" w:rsidRDefault="00BE37CE" w:rsidP="00E35603">
            <w:pPr>
              <w:jc w:val="both"/>
              <w:rPr>
                <w:rFonts w:ascii="Cambria" w:hAnsi="Cambria"/>
                <w:b/>
                <w:sz w:val="18"/>
                <w:szCs w:val="18"/>
              </w:rPr>
            </w:pPr>
            <w:r w:rsidRPr="003F1249">
              <w:rPr>
                <w:rFonts w:ascii="Cambria" w:hAnsi="Cambria"/>
                <w:b/>
                <w:sz w:val="18"/>
                <w:szCs w:val="18"/>
              </w:rPr>
              <w:t>&lt;2 year of age</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N=84</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N=34</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N=39</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N=27</w:t>
            </w:r>
          </w:p>
        </w:tc>
        <w:tc>
          <w:tcPr>
            <w:tcW w:w="2196" w:type="dxa"/>
            <w:tcBorders>
              <w:top w:val="single" w:sz="4" w:space="0" w:color="auto"/>
            </w:tcBorders>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N=184</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PCV-7</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59 (70.2)</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17 (50.0)</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10 (25.6)</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5 (18.5)</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91 (49.4)</w:t>
            </w:r>
          </w:p>
        </w:tc>
      </w:tr>
      <w:tr w:rsidR="00BE37CE" w:rsidRPr="003F1249" w:rsidTr="00E35603">
        <w:tc>
          <w:tcPr>
            <w:tcW w:w="2196" w:type="dxa"/>
            <w:shd w:val="clear" w:color="auto" w:fill="D9D9D9"/>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PCV-13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11 (13.1)</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7 (20.6)</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9 (23.1)</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4 (14.8)</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31 (16.8)</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NVT</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14 (16.7)</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10 (29.4)</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20 (51.3)</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18 (66.7)</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62 (33.7)</w:t>
            </w:r>
          </w:p>
        </w:tc>
      </w:tr>
      <w:tr w:rsidR="00BE37CE" w:rsidRPr="003F1249" w:rsidTr="00E35603">
        <w:tc>
          <w:tcPr>
            <w:tcW w:w="2196" w:type="dxa"/>
            <w:shd w:val="clear" w:color="auto" w:fill="D9D9D9"/>
          </w:tcPr>
          <w:p w:rsidR="00BE37CE" w:rsidRPr="003F1249" w:rsidRDefault="00BE37CE" w:rsidP="00E35603">
            <w:pPr>
              <w:jc w:val="both"/>
              <w:rPr>
                <w:rFonts w:ascii="Cambria" w:hAnsi="Cambria"/>
                <w:b/>
                <w:sz w:val="18"/>
                <w:szCs w:val="18"/>
              </w:rPr>
            </w:pPr>
            <w:r w:rsidRPr="003F1249">
              <w:rPr>
                <w:rFonts w:ascii="Cambria" w:hAnsi="Cambria"/>
                <w:b/>
                <w:sz w:val="18"/>
                <w:szCs w:val="18"/>
              </w:rPr>
              <w:t>≥2 year of age</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N=279</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N=348</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N=221</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N=165</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N=1013</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PCV-7</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99 (35.5)</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132 (37.9</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47 (21.3)</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29 (17.6)</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307 (30.3)</w:t>
            </w:r>
          </w:p>
        </w:tc>
      </w:tr>
      <w:tr w:rsidR="00BE37CE" w:rsidRPr="003F1249" w:rsidTr="00E35603">
        <w:tc>
          <w:tcPr>
            <w:tcW w:w="2196" w:type="dxa"/>
            <w:shd w:val="clear" w:color="auto" w:fill="D9D9D9"/>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PCV-13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111 (39.8)</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128 (36.8)</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97 (43.9)</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58 (35.1)</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394 (38.9)</w:t>
            </w:r>
          </w:p>
        </w:tc>
      </w:tr>
      <w:tr w:rsidR="00BE37CE" w:rsidRPr="003F1249" w:rsidTr="00E35603">
        <w:tc>
          <w:tcPr>
            <w:tcW w:w="2196" w:type="dxa"/>
            <w:shd w:val="clear" w:color="auto" w:fill="FFFFFF"/>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NVT</w:t>
            </w:r>
          </w:p>
        </w:tc>
        <w:tc>
          <w:tcPr>
            <w:tcW w:w="2196" w:type="dxa"/>
            <w:shd w:val="clear" w:color="auto" w:fill="FFFFFF"/>
            <w:vAlign w:val="center"/>
          </w:tcPr>
          <w:p w:rsidR="00BE37CE" w:rsidRPr="003F1249" w:rsidRDefault="00BE37CE" w:rsidP="00E35603">
            <w:pPr>
              <w:jc w:val="center"/>
              <w:rPr>
                <w:rFonts w:ascii="Cambria" w:hAnsi="Cambria"/>
                <w:sz w:val="18"/>
                <w:szCs w:val="18"/>
              </w:rPr>
            </w:pPr>
            <w:r>
              <w:rPr>
                <w:rFonts w:ascii="Cambria" w:hAnsi="Cambria"/>
                <w:sz w:val="18"/>
                <w:szCs w:val="18"/>
              </w:rPr>
              <w:t>69 (24.7)</w:t>
            </w:r>
          </w:p>
        </w:tc>
        <w:tc>
          <w:tcPr>
            <w:tcW w:w="2196" w:type="dxa"/>
            <w:shd w:val="clear" w:color="auto" w:fill="FFFFFF"/>
            <w:vAlign w:val="center"/>
          </w:tcPr>
          <w:p w:rsidR="00BE37CE" w:rsidRPr="003F1249" w:rsidRDefault="00BE37CE" w:rsidP="00E35603">
            <w:pPr>
              <w:jc w:val="center"/>
              <w:rPr>
                <w:rFonts w:ascii="Cambria" w:hAnsi="Cambria"/>
                <w:sz w:val="18"/>
                <w:szCs w:val="18"/>
              </w:rPr>
            </w:pPr>
            <w:r>
              <w:rPr>
                <w:rFonts w:ascii="Cambria" w:hAnsi="Cambria"/>
                <w:sz w:val="18"/>
                <w:szCs w:val="18"/>
              </w:rPr>
              <w:t>88 (25.3)</w:t>
            </w:r>
          </w:p>
        </w:tc>
        <w:tc>
          <w:tcPr>
            <w:tcW w:w="2196" w:type="dxa"/>
            <w:shd w:val="clear" w:color="auto" w:fill="FFFFFF"/>
            <w:vAlign w:val="center"/>
          </w:tcPr>
          <w:p w:rsidR="00BE37CE" w:rsidRPr="003F1249" w:rsidRDefault="00BE37CE" w:rsidP="00E35603">
            <w:pPr>
              <w:jc w:val="center"/>
              <w:rPr>
                <w:rFonts w:ascii="Cambria" w:hAnsi="Cambria"/>
                <w:sz w:val="18"/>
                <w:szCs w:val="18"/>
              </w:rPr>
            </w:pPr>
            <w:r>
              <w:rPr>
                <w:rFonts w:ascii="Cambria" w:hAnsi="Cambria"/>
                <w:sz w:val="18"/>
                <w:szCs w:val="18"/>
              </w:rPr>
              <w:t>77 (34.8)</w:t>
            </w:r>
          </w:p>
        </w:tc>
        <w:tc>
          <w:tcPr>
            <w:tcW w:w="2196" w:type="dxa"/>
            <w:shd w:val="clear" w:color="auto" w:fill="FFFFFF"/>
            <w:vAlign w:val="center"/>
          </w:tcPr>
          <w:p w:rsidR="00BE37CE" w:rsidRPr="003F1249" w:rsidRDefault="00BE37CE" w:rsidP="00E35603">
            <w:pPr>
              <w:jc w:val="center"/>
              <w:rPr>
                <w:rFonts w:ascii="Cambria" w:hAnsi="Cambria"/>
                <w:sz w:val="18"/>
                <w:szCs w:val="18"/>
              </w:rPr>
            </w:pPr>
            <w:r>
              <w:rPr>
                <w:rFonts w:ascii="Cambria" w:hAnsi="Cambria"/>
                <w:sz w:val="18"/>
                <w:szCs w:val="18"/>
              </w:rPr>
              <w:t>78 (47.3)</w:t>
            </w:r>
          </w:p>
        </w:tc>
        <w:tc>
          <w:tcPr>
            <w:tcW w:w="2196" w:type="dxa"/>
            <w:shd w:val="clear" w:color="auto" w:fill="FFFFFF"/>
            <w:vAlign w:val="center"/>
          </w:tcPr>
          <w:p w:rsidR="00BE37CE" w:rsidRPr="003F1249" w:rsidRDefault="00BE37CE" w:rsidP="00E35603">
            <w:pPr>
              <w:jc w:val="center"/>
              <w:rPr>
                <w:rFonts w:ascii="Cambria" w:hAnsi="Cambria"/>
                <w:sz w:val="18"/>
                <w:szCs w:val="18"/>
              </w:rPr>
            </w:pPr>
            <w:r>
              <w:rPr>
                <w:rFonts w:ascii="Cambria" w:hAnsi="Cambria"/>
                <w:sz w:val="18"/>
                <w:szCs w:val="18"/>
              </w:rPr>
              <w:t>312 (30.8)</w:t>
            </w:r>
          </w:p>
        </w:tc>
      </w:tr>
      <w:tr w:rsidR="00BE37CE" w:rsidRPr="003F1249" w:rsidTr="00E35603">
        <w:tc>
          <w:tcPr>
            <w:tcW w:w="2196" w:type="dxa"/>
            <w:shd w:val="clear" w:color="auto" w:fill="D9D9D9"/>
          </w:tcPr>
          <w:p w:rsidR="00BE37CE" w:rsidRPr="003F1249" w:rsidRDefault="00BE37CE" w:rsidP="00E35603">
            <w:pPr>
              <w:jc w:val="both"/>
              <w:rPr>
                <w:rFonts w:ascii="Cambria" w:hAnsi="Cambria"/>
                <w:b/>
                <w:sz w:val="18"/>
                <w:szCs w:val="18"/>
              </w:rPr>
            </w:pPr>
            <w:r w:rsidRPr="003F1249">
              <w:rPr>
                <w:rFonts w:ascii="Cambria" w:hAnsi="Cambria"/>
                <w:b/>
                <w:sz w:val="18"/>
                <w:szCs w:val="18"/>
              </w:rPr>
              <w:t>Any age</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N=363</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N=382</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N=260</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N=192</w:t>
            </w:r>
          </w:p>
        </w:tc>
        <w:tc>
          <w:tcPr>
            <w:tcW w:w="2196" w:type="dxa"/>
            <w:shd w:val="clear" w:color="auto" w:fill="D9D9D9"/>
            <w:vAlign w:val="center"/>
          </w:tcPr>
          <w:p w:rsidR="00BE37CE" w:rsidRPr="003F1249" w:rsidRDefault="00BE37CE" w:rsidP="00E35603">
            <w:pPr>
              <w:jc w:val="center"/>
              <w:rPr>
                <w:rFonts w:ascii="Cambria" w:hAnsi="Cambria"/>
                <w:b/>
                <w:sz w:val="18"/>
                <w:szCs w:val="18"/>
              </w:rPr>
            </w:pPr>
            <w:r>
              <w:rPr>
                <w:rFonts w:ascii="Cambria" w:hAnsi="Cambria"/>
                <w:b/>
                <w:sz w:val="18"/>
                <w:szCs w:val="18"/>
              </w:rPr>
              <w:t>N=1197</w:t>
            </w:r>
          </w:p>
        </w:tc>
      </w:tr>
      <w:tr w:rsidR="00BE37CE" w:rsidRPr="003F1249" w:rsidTr="00E35603">
        <w:tc>
          <w:tcPr>
            <w:tcW w:w="2196" w:type="dxa"/>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PCV-7</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158 (43.5)</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149 (39.0)</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57 (21.9)</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34 (17.7)</w:t>
            </w:r>
          </w:p>
        </w:tc>
        <w:tc>
          <w:tcPr>
            <w:tcW w:w="2196" w:type="dxa"/>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398 (33.2)</w:t>
            </w:r>
          </w:p>
        </w:tc>
      </w:tr>
      <w:tr w:rsidR="00BE37CE" w:rsidRPr="003F1249" w:rsidTr="00E35603">
        <w:tc>
          <w:tcPr>
            <w:tcW w:w="2196" w:type="dxa"/>
            <w:shd w:val="clear" w:color="auto" w:fill="D9D9D9"/>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PCV-13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122 (33.6)</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135 (35.3)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106 (40.8)</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62 (32.3)</w:t>
            </w:r>
          </w:p>
        </w:tc>
        <w:tc>
          <w:tcPr>
            <w:tcW w:w="2196" w:type="dxa"/>
            <w:shd w:val="clear" w:color="auto" w:fill="D9D9D9"/>
            <w:vAlign w:val="center"/>
          </w:tcPr>
          <w:p w:rsidR="00BE37CE" w:rsidRPr="003F1249" w:rsidRDefault="00BE37CE" w:rsidP="00E35603">
            <w:pPr>
              <w:jc w:val="center"/>
              <w:rPr>
                <w:rFonts w:ascii="Cambria" w:hAnsi="Cambria"/>
                <w:sz w:val="18"/>
                <w:szCs w:val="18"/>
              </w:rPr>
            </w:pPr>
            <w:r>
              <w:rPr>
                <w:rFonts w:ascii="Cambria" w:hAnsi="Cambria"/>
                <w:sz w:val="18"/>
                <w:szCs w:val="18"/>
              </w:rPr>
              <w:t>425 (35.5)</w:t>
            </w:r>
          </w:p>
        </w:tc>
      </w:tr>
      <w:tr w:rsidR="00BE37CE" w:rsidRPr="003F1249" w:rsidTr="00E35603">
        <w:tc>
          <w:tcPr>
            <w:tcW w:w="2196" w:type="dxa"/>
            <w:tcBorders>
              <w:bottom w:val="single" w:sz="4" w:space="0" w:color="auto"/>
            </w:tcBorders>
            <w:shd w:val="clear" w:color="auto" w:fill="auto"/>
          </w:tcPr>
          <w:p w:rsidR="00BE37CE" w:rsidRPr="003F1249" w:rsidRDefault="00BE37CE" w:rsidP="00E35603">
            <w:pPr>
              <w:jc w:val="both"/>
              <w:rPr>
                <w:rFonts w:ascii="Cambria" w:hAnsi="Cambria"/>
                <w:sz w:val="18"/>
                <w:szCs w:val="18"/>
              </w:rPr>
            </w:pPr>
            <w:r w:rsidRPr="003F1249">
              <w:rPr>
                <w:rFonts w:ascii="Cambria" w:hAnsi="Cambria"/>
                <w:sz w:val="18"/>
                <w:szCs w:val="18"/>
              </w:rPr>
              <w:t xml:space="preserve">    NVT</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83 (22.9)</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98 (25.6)</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97 (37.3)</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96 (50.0)</w:t>
            </w:r>
          </w:p>
        </w:tc>
        <w:tc>
          <w:tcPr>
            <w:tcW w:w="2196" w:type="dxa"/>
            <w:tcBorders>
              <w:bottom w:val="single" w:sz="4" w:space="0" w:color="auto"/>
            </w:tcBorders>
            <w:shd w:val="clear" w:color="auto" w:fill="auto"/>
            <w:vAlign w:val="center"/>
          </w:tcPr>
          <w:p w:rsidR="00BE37CE" w:rsidRPr="003F1249" w:rsidRDefault="00BE37CE" w:rsidP="00E35603">
            <w:pPr>
              <w:jc w:val="center"/>
              <w:rPr>
                <w:rFonts w:ascii="Cambria" w:hAnsi="Cambria"/>
                <w:sz w:val="18"/>
                <w:szCs w:val="18"/>
              </w:rPr>
            </w:pPr>
            <w:r>
              <w:rPr>
                <w:rFonts w:ascii="Cambria" w:hAnsi="Cambria"/>
                <w:sz w:val="18"/>
                <w:szCs w:val="18"/>
              </w:rPr>
              <w:t>374 (31.2)</w:t>
            </w:r>
          </w:p>
        </w:tc>
      </w:tr>
    </w:tbl>
    <w:p w:rsidR="00612033" w:rsidRDefault="00BE37CE" w:rsidP="00103BF1">
      <w:pPr>
        <w:jc w:val="both"/>
        <w:rPr>
          <w:rFonts w:ascii="Cambria" w:hAnsi="Cambria"/>
          <w:sz w:val="20"/>
          <w:szCs w:val="20"/>
        </w:rPr>
      </w:pPr>
      <w:r w:rsidRPr="00E351F7">
        <w:rPr>
          <w:rFonts w:ascii="Cambria" w:hAnsi="Cambria"/>
          <w:sz w:val="20"/>
          <w:szCs w:val="20"/>
        </w:rPr>
        <w:t>Abbreviations: PCV-7: 7-valent pneumococcal conjugate vaccine serotypes (included serotypes/</w:t>
      </w:r>
      <w:proofErr w:type="spellStart"/>
      <w:r w:rsidRPr="00E351F7">
        <w:rPr>
          <w:rFonts w:ascii="Cambria" w:hAnsi="Cambria"/>
          <w:sz w:val="20"/>
          <w:szCs w:val="20"/>
        </w:rPr>
        <w:t>serogroups</w:t>
      </w:r>
      <w:proofErr w:type="spellEnd"/>
      <w:r w:rsidRPr="00E351F7">
        <w:rPr>
          <w:rFonts w:ascii="Cambria" w:hAnsi="Cambria"/>
          <w:sz w:val="20"/>
          <w:szCs w:val="20"/>
        </w:rPr>
        <w:t xml:space="preserve"> 4, 6A/B, 9A/V/L/N, 14, 18A/B/C, 19B/F, 23F for </w:t>
      </w:r>
      <w:proofErr w:type="spellStart"/>
      <w:r w:rsidRPr="00E351F7">
        <w:rPr>
          <w:rFonts w:ascii="Cambria" w:hAnsi="Cambria"/>
          <w:i/>
          <w:sz w:val="20"/>
          <w:szCs w:val="20"/>
        </w:rPr>
        <w:t>lyA</w:t>
      </w:r>
      <w:proofErr w:type="spellEnd"/>
      <w:r w:rsidRPr="00E351F7">
        <w:rPr>
          <w:rFonts w:ascii="Cambria" w:hAnsi="Cambria"/>
          <w:sz w:val="20"/>
          <w:szCs w:val="20"/>
        </w:rPr>
        <w:t>-positive samples and 4,</w:t>
      </w:r>
      <w:r w:rsidR="00103BF1">
        <w:rPr>
          <w:rFonts w:ascii="Cambria" w:hAnsi="Cambria"/>
          <w:sz w:val="20"/>
          <w:szCs w:val="20"/>
        </w:rPr>
        <w:t xml:space="preserve"> 6A/B, 9V</w:t>
      </w:r>
      <w:r w:rsidRPr="00E351F7">
        <w:rPr>
          <w:rFonts w:ascii="Cambria" w:hAnsi="Cambria"/>
          <w:sz w:val="20"/>
          <w:szCs w:val="20"/>
        </w:rPr>
        <w:t>, 14, 18C, 19F, 23F</w:t>
      </w:r>
      <w:r>
        <w:rPr>
          <w:rFonts w:ascii="Cambria" w:hAnsi="Cambria"/>
          <w:sz w:val="20"/>
          <w:szCs w:val="20"/>
        </w:rPr>
        <w:t xml:space="preserve"> for culture-</w:t>
      </w:r>
      <w:r w:rsidRPr="00E351F7">
        <w:rPr>
          <w:rFonts w:ascii="Cambria" w:hAnsi="Cambria"/>
          <w:sz w:val="20"/>
          <w:szCs w:val="20"/>
        </w:rPr>
        <w:t>positive samples); PCV-13: additional 13-valent pneumococcal conjugate vaccine serotypes (included serotypes/</w:t>
      </w:r>
      <w:proofErr w:type="spellStart"/>
      <w:r w:rsidRPr="00E351F7">
        <w:rPr>
          <w:rFonts w:ascii="Cambria" w:hAnsi="Cambria"/>
          <w:sz w:val="20"/>
          <w:szCs w:val="20"/>
        </w:rPr>
        <w:t>serogroups</w:t>
      </w:r>
      <w:proofErr w:type="spellEnd"/>
      <w:r w:rsidRPr="00E351F7">
        <w:rPr>
          <w:rFonts w:ascii="Cambria" w:hAnsi="Cambria"/>
          <w:sz w:val="20"/>
          <w:szCs w:val="20"/>
        </w:rPr>
        <w:t xml:space="preserve"> 1, 3, 5, 7A/F, 19A for </w:t>
      </w:r>
      <w:proofErr w:type="spellStart"/>
      <w:r w:rsidRPr="00E351F7">
        <w:rPr>
          <w:rFonts w:ascii="Cambria" w:hAnsi="Cambria"/>
          <w:i/>
          <w:sz w:val="20"/>
          <w:szCs w:val="20"/>
        </w:rPr>
        <w:t>lyA</w:t>
      </w:r>
      <w:proofErr w:type="spellEnd"/>
      <w:r w:rsidRPr="00E351F7">
        <w:rPr>
          <w:rFonts w:ascii="Cambria" w:hAnsi="Cambria"/>
          <w:sz w:val="20"/>
          <w:szCs w:val="20"/>
        </w:rPr>
        <w:t xml:space="preserve">-positive samples and 1, 3, 5, 7F, 19A </w:t>
      </w:r>
      <w:r>
        <w:rPr>
          <w:rFonts w:ascii="Cambria" w:hAnsi="Cambria"/>
          <w:sz w:val="20"/>
          <w:szCs w:val="20"/>
        </w:rPr>
        <w:t>for culture-</w:t>
      </w:r>
      <w:r w:rsidRPr="00E351F7">
        <w:rPr>
          <w:rFonts w:ascii="Cambria" w:hAnsi="Cambria"/>
          <w:sz w:val="20"/>
          <w:szCs w:val="20"/>
        </w:rPr>
        <w:t xml:space="preserve">positive samples); </w:t>
      </w:r>
      <w:r w:rsidR="00103BF1" w:rsidRPr="00E351F7">
        <w:rPr>
          <w:rFonts w:ascii="Cambria" w:hAnsi="Cambria"/>
          <w:sz w:val="20"/>
          <w:szCs w:val="20"/>
        </w:rPr>
        <w:t>NVT: serotypes/</w:t>
      </w:r>
      <w:proofErr w:type="spellStart"/>
      <w:r w:rsidR="00103BF1" w:rsidRPr="00E351F7">
        <w:rPr>
          <w:rFonts w:ascii="Cambria" w:hAnsi="Cambria"/>
          <w:sz w:val="20"/>
          <w:szCs w:val="20"/>
        </w:rPr>
        <w:t>sero</w:t>
      </w:r>
      <w:r w:rsidR="00103BF1">
        <w:rPr>
          <w:rFonts w:ascii="Cambria" w:hAnsi="Cambria"/>
          <w:sz w:val="20"/>
          <w:szCs w:val="20"/>
        </w:rPr>
        <w:t>groups</w:t>
      </w:r>
      <w:proofErr w:type="spellEnd"/>
      <w:r w:rsidR="00103BF1">
        <w:rPr>
          <w:rFonts w:ascii="Cambria" w:hAnsi="Cambria"/>
          <w:sz w:val="20"/>
          <w:szCs w:val="20"/>
        </w:rPr>
        <w:t xml:space="preserve"> not included in PCV-7 or</w:t>
      </w:r>
      <w:r w:rsidR="00103BF1" w:rsidRPr="00E351F7">
        <w:rPr>
          <w:rFonts w:ascii="Cambria" w:hAnsi="Cambria"/>
          <w:sz w:val="20"/>
          <w:szCs w:val="20"/>
        </w:rPr>
        <w:t xml:space="preserve"> PCV-13</w:t>
      </w:r>
      <w:r w:rsidR="00103BF1">
        <w:rPr>
          <w:rFonts w:ascii="Cambria" w:hAnsi="Cambria"/>
          <w:sz w:val="20"/>
          <w:szCs w:val="20"/>
        </w:rPr>
        <w:t xml:space="preserve">, including samples that tested </w:t>
      </w:r>
      <w:r w:rsidR="00103BF1" w:rsidRPr="002B5D09">
        <w:rPr>
          <w:rFonts w:ascii="Cambria" w:hAnsi="Cambria"/>
          <w:sz w:val="20"/>
          <w:szCs w:val="20"/>
        </w:rPr>
        <w:t>negative for the 42 serotypes detected by the serotyping assay</w:t>
      </w:r>
      <w:r w:rsidR="00103BF1">
        <w:rPr>
          <w:rFonts w:ascii="Cambria" w:hAnsi="Cambria"/>
          <w:sz w:val="20"/>
          <w:szCs w:val="20"/>
        </w:rPr>
        <w:t xml:space="preserve"> for the </w:t>
      </w:r>
      <w:proofErr w:type="spellStart"/>
      <w:r w:rsidR="00103BF1" w:rsidRPr="00103BF1">
        <w:rPr>
          <w:rFonts w:ascii="Cambria" w:hAnsi="Cambria"/>
          <w:i/>
          <w:sz w:val="20"/>
          <w:szCs w:val="20"/>
        </w:rPr>
        <w:t>lytA</w:t>
      </w:r>
      <w:proofErr w:type="spellEnd"/>
      <w:r w:rsidR="00103BF1">
        <w:rPr>
          <w:rFonts w:ascii="Cambria" w:hAnsi="Cambria"/>
          <w:sz w:val="20"/>
          <w:szCs w:val="20"/>
        </w:rPr>
        <w:t>-positive cases</w:t>
      </w:r>
      <w:r w:rsidR="001669FE">
        <w:rPr>
          <w:rFonts w:ascii="Cambria" w:hAnsi="Cambria"/>
          <w:sz w:val="20"/>
          <w:szCs w:val="20"/>
        </w:rPr>
        <w:t>; Ct-value: cycle threshold value.</w:t>
      </w:r>
    </w:p>
    <w:p w:rsidR="00612033" w:rsidRDefault="00612033">
      <w:pPr>
        <w:spacing w:after="160" w:line="259" w:lineRule="auto"/>
        <w:rPr>
          <w:rFonts w:ascii="Cambria" w:hAnsi="Cambria"/>
          <w:sz w:val="20"/>
          <w:szCs w:val="20"/>
        </w:rPr>
      </w:pPr>
      <w:r>
        <w:rPr>
          <w:rFonts w:ascii="Cambria" w:hAnsi="Cambria"/>
          <w:sz w:val="20"/>
          <w:szCs w:val="20"/>
        </w:rPr>
        <w:br w:type="page"/>
      </w:r>
    </w:p>
    <w:p w:rsidR="00103BF1" w:rsidRDefault="00612033" w:rsidP="00103BF1">
      <w:pPr>
        <w:jc w:val="both"/>
        <w:rPr>
          <w:rFonts w:ascii="Cambria" w:hAnsi="Cambria"/>
          <w:sz w:val="20"/>
          <w:szCs w:val="20"/>
        </w:rPr>
      </w:pPr>
      <w:r w:rsidRPr="00612033">
        <w:rPr>
          <w:noProof/>
        </w:rPr>
        <w:lastRenderedPageBreak/>
        <w:drawing>
          <wp:inline distT="0" distB="0" distL="0" distR="0">
            <wp:extent cx="4489566" cy="66954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2461" cy="6699806"/>
                    </a:xfrm>
                    <a:prstGeom prst="rect">
                      <a:avLst/>
                    </a:prstGeom>
                    <a:noFill/>
                    <a:ln>
                      <a:noFill/>
                    </a:ln>
                  </pic:spPr>
                </pic:pic>
              </a:graphicData>
            </a:graphic>
          </wp:inline>
        </w:drawing>
      </w:r>
    </w:p>
    <w:p w:rsidR="00612033" w:rsidRPr="00826CE0" w:rsidRDefault="008C0052" w:rsidP="00612033">
      <w:pPr>
        <w:jc w:val="both"/>
        <w:rPr>
          <w:rFonts w:ascii="Cambria" w:hAnsi="Cambria"/>
        </w:rPr>
      </w:pPr>
      <w:r>
        <w:rPr>
          <w:rFonts w:ascii="Cambria" w:hAnsi="Cambria"/>
          <w:b/>
        </w:rPr>
        <w:t>Figure S1</w:t>
      </w:r>
      <w:r w:rsidR="00612033" w:rsidRPr="003B5E9B">
        <w:rPr>
          <w:rFonts w:ascii="Cambria" w:hAnsi="Cambria"/>
          <w:b/>
        </w:rPr>
        <w:t>:</w:t>
      </w:r>
      <w:r w:rsidR="00612033" w:rsidRPr="00A240BE">
        <w:rPr>
          <w:rFonts w:ascii="Cambria" w:hAnsi="Cambria"/>
        </w:rPr>
        <w:t xml:space="preserve"> Rates of </w:t>
      </w:r>
      <w:r w:rsidR="00612033">
        <w:rPr>
          <w:rFonts w:ascii="Cambria" w:hAnsi="Cambria"/>
        </w:rPr>
        <w:t xml:space="preserve">culture-positive invasive pneumococcal disease </w:t>
      </w:r>
      <w:r w:rsidR="00612033" w:rsidRPr="00A240BE">
        <w:rPr>
          <w:rFonts w:ascii="Cambria" w:hAnsi="Cambria"/>
        </w:rPr>
        <w:t xml:space="preserve">among HIV-uninfected children &lt;2 years of age at Chris Hani </w:t>
      </w:r>
      <w:proofErr w:type="spellStart"/>
      <w:r w:rsidR="00612033" w:rsidRPr="00A240BE">
        <w:rPr>
          <w:rFonts w:ascii="Cambria" w:hAnsi="Cambria"/>
        </w:rPr>
        <w:t>Baragwanath</w:t>
      </w:r>
      <w:proofErr w:type="spellEnd"/>
      <w:r w:rsidR="00612033" w:rsidRPr="00A240BE">
        <w:rPr>
          <w:rFonts w:ascii="Cambria" w:hAnsi="Cambria"/>
        </w:rPr>
        <w:t xml:space="preserve"> Academic Hospital, Soweto, South Africa, 2009-2012. </w:t>
      </w:r>
      <w:r w:rsidR="00612033" w:rsidRPr="00A240BE">
        <w:rPr>
          <w:rFonts w:ascii="Cambria" w:hAnsi="Cambria"/>
          <w:b/>
        </w:rPr>
        <w:t>A</w:t>
      </w:r>
      <w:r w:rsidR="00612033" w:rsidRPr="00A240BE">
        <w:rPr>
          <w:rFonts w:ascii="Cambria" w:hAnsi="Cambria"/>
        </w:rPr>
        <w:t xml:space="preserve">: </w:t>
      </w:r>
      <w:r w:rsidR="00771A86">
        <w:rPr>
          <w:rFonts w:ascii="Cambria" w:hAnsi="Cambria"/>
        </w:rPr>
        <w:t>P</w:t>
      </w:r>
      <w:r w:rsidR="00612033">
        <w:rPr>
          <w:rFonts w:ascii="Cambria" w:hAnsi="Cambria"/>
        </w:rPr>
        <w:t>ositive from blood</w:t>
      </w:r>
      <w:r w:rsidR="00612033" w:rsidRPr="00A240BE">
        <w:rPr>
          <w:rFonts w:ascii="Cambria" w:hAnsi="Cambria"/>
        </w:rPr>
        <w:t xml:space="preserve">. </w:t>
      </w:r>
      <w:r w:rsidR="00612033" w:rsidRPr="00A240BE">
        <w:rPr>
          <w:rFonts w:ascii="Cambria" w:hAnsi="Cambria"/>
          <w:b/>
        </w:rPr>
        <w:t>B</w:t>
      </w:r>
      <w:r w:rsidR="00612033" w:rsidRPr="00A240BE">
        <w:rPr>
          <w:rFonts w:ascii="Cambria" w:hAnsi="Cambria"/>
        </w:rPr>
        <w:t xml:space="preserve">: </w:t>
      </w:r>
      <w:r w:rsidR="00771A86">
        <w:rPr>
          <w:rFonts w:ascii="Cambria" w:hAnsi="Cambria"/>
        </w:rPr>
        <w:t>P</w:t>
      </w:r>
      <w:r w:rsidR="00612033">
        <w:rPr>
          <w:rFonts w:ascii="Cambria" w:hAnsi="Cambria"/>
        </w:rPr>
        <w:t xml:space="preserve">ositive from </w:t>
      </w:r>
      <w:proofErr w:type="spellStart"/>
      <w:r w:rsidR="00612033">
        <w:rPr>
          <w:rFonts w:ascii="Cambria" w:hAnsi="Cambria"/>
        </w:rPr>
        <w:t>cerebro</w:t>
      </w:r>
      <w:proofErr w:type="spellEnd"/>
      <w:r w:rsidR="00612033">
        <w:rPr>
          <w:rFonts w:ascii="Cambria" w:hAnsi="Cambria"/>
        </w:rPr>
        <w:t>-spinal fluid. Seven</w:t>
      </w:r>
      <w:r w:rsidR="00612033" w:rsidRPr="00A240BE">
        <w:rPr>
          <w:rFonts w:ascii="Cambria" w:hAnsi="Cambria"/>
        </w:rPr>
        <w:t>-</w:t>
      </w:r>
      <w:proofErr w:type="spellStart"/>
      <w:r w:rsidR="00612033" w:rsidRPr="00A240BE">
        <w:rPr>
          <w:rFonts w:ascii="Cambria" w:hAnsi="Cambria"/>
        </w:rPr>
        <w:t>valent</w:t>
      </w:r>
      <w:proofErr w:type="spellEnd"/>
      <w:r w:rsidR="00612033" w:rsidRPr="00A240BE">
        <w:rPr>
          <w:rFonts w:ascii="Cambria" w:hAnsi="Cambria"/>
        </w:rPr>
        <w:t xml:space="preserve"> pneumococcal conjugate vaccine (PCV-7)</w:t>
      </w:r>
      <w:r w:rsidR="00612033">
        <w:rPr>
          <w:rFonts w:ascii="Cambria" w:hAnsi="Cambria"/>
        </w:rPr>
        <w:t xml:space="preserve"> serotypes included: 4, 6A/B, 9V</w:t>
      </w:r>
      <w:r w:rsidR="00612033" w:rsidRPr="00A240BE">
        <w:rPr>
          <w:rFonts w:ascii="Cambria" w:hAnsi="Cambria"/>
        </w:rPr>
        <w:t>, 14, 18C, 19F, 23F; additional 13-valent pneumococcal conjugate vaccine (PCV-13) serotypes included: 1, 3, 5, 7F, 19A).</w:t>
      </w:r>
      <w:r w:rsidR="00612033" w:rsidRPr="00CA117A">
        <w:rPr>
          <w:rFonts w:ascii="Cambria" w:hAnsi="Cambria"/>
        </w:rPr>
        <w:t xml:space="preserve"> Non-vaccine serotyp</w:t>
      </w:r>
      <w:r w:rsidR="00612033">
        <w:rPr>
          <w:rFonts w:ascii="Cambria" w:hAnsi="Cambria"/>
        </w:rPr>
        <w:t>es included serotypes</w:t>
      </w:r>
      <w:r w:rsidR="00612033" w:rsidRPr="00CA117A">
        <w:rPr>
          <w:rFonts w:ascii="Cambria" w:hAnsi="Cambria"/>
        </w:rPr>
        <w:t xml:space="preserve"> not included in PCV-7 or PCV-13</w:t>
      </w:r>
      <w:r w:rsidR="00612033">
        <w:rPr>
          <w:rFonts w:ascii="Cambria" w:hAnsi="Cambria"/>
        </w:rPr>
        <w:t>.</w:t>
      </w:r>
    </w:p>
    <w:p w:rsidR="00FE521F" w:rsidRPr="00FE521F" w:rsidRDefault="00A46FBA" w:rsidP="00103BF1">
      <w:pPr>
        <w:jc w:val="both"/>
        <w:rPr>
          <w:rFonts w:ascii="Cambria" w:hAnsi="Cambria"/>
          <w:sz w:val="20"/>
          <w:szCs w:val="20"/>
        </w:rPr>
      </w:pPr>
      <w:r w:rsidRPr="00826CE0">
        <w:rPr>
          <w:rFonts w:ascii="Cambria" w:hAnsi="Cambria"/>
          <w:b/>
        </w:rPr>
        <w:br w:type="page"/>
      </w:r>
    </w:p>
    <w:p w:rsidR="00A46FBA" w:rsidRPr="00826CE0" w:rsidRDefault="00A46FBA" w:rsidP="00A46FBA">
      <w:pPr>
        <w:jc w:val="both"/>
        <w:rPr>
          <w:rFonts w:ascii="Cambria" w:hAnsi="Cambria"/>
          <w:b/>
        </w:rPr>
        <w:sectPr w:rsidR="00A46FBA" w:rsidRPr="00826CE0" w:rsidSect="00A46FBA">
          <w:endnotePr>
            <w:numFmt w:val="decimal"/>
          </w:endnotePr>
          <w:pgSz w:w="12240" w:h="15840"/>
          <w:pgMar w:top="1440" w:right="1800" w:bottom="1440" w:left="1800" w:header="720" w:footer="720" w:gutter="0"/>
          <w:cols w:space="720"/>
          <w:docGrid w:linePitch="360"/>
        </w:sectPr>
      </w:pPr>
      <w:r>
        <w:rPr>
          <w:rFonts w:ascii="Cambria" w:hAnsi="Cambria"/>
          <w:b/>
        </w:rPr>
        <w:lastRenderedPageBreak/>
        <w:t>REFERENCES</w:t>
      </w:r>
    </w:p>
    <w:p w:rsidR="00BE37CE" w:rsidRPr="00BE37CE" w:rsidRDefault="00BE37CE" w:rsidP="00A46FBA">
      <w:pPr>
        <w:jc w:val="both"/>
        <w:rPr>
          <w:rFonts w:ascii="Cambria" w:hAnsi="Cambria" w:cs="Arial"/>
          <w:szCs w:val="22"/>
        </w:rPr>
      </w:pPr>
    </w:p>
    <w:sectPr w:rsidR="00BE37CE" w:rsidRPr="00BE3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BC3" w:rsidRDefault="006C7BC3" w:rsidP="00A46FBA">
      <w:r>
        <w:separator/>
      </w:r>
    </w:p>
  </w:endnote>
  <w:endnote w:type="continuationSeparator" w:id="0">
    <w:p w:rsidR="006C7BC3" w:rsidRDefault="006C7BC3" w:rsidP="00A46FBA">
      <w:r>
        <w:continuationSeparator/>
      </w:r>
    </w:p>
  </w:endnote>
  <w:endnote w:id="1">
    <w:p w:rsidR="00B328B5" w:rsidRDefault="00B328B5" w:rsidP="00247D6F">
      <w:pPr>
        <w:pStyle w:val="EndnoteText"/>
        <w:spacing w:after="120"/>
        <w:ind w:left="720" w:hanging="720"/>
        <w:jc w:val="both"/>
      </w:pPr>
      <w:r w:rsidRPr="00247D6F">
        <w:rPr>
          <w:rFonts w:ascii="Cambria" w:hAnsi="Cambria"/>
        </w:rPr>
        <w:endnoteRef/>
      </w:r>
      <w:r w:rsidRPr="00247D6F">
        <w:rPr>
          <w:rFonts w:ascii="Cambria" w:hAnsi="Cambria"/>
        </w:rPr>
        <w:t xml:space="preserve"> </w:t>
      </w:r>
      <w:r>
        <w:rPr>
          <w:rFonts w:ascii="Cambria" w:hAnsi="Cambria"/>
        </w:rPr>
        <w:tab/>
      </w:r>
      <w:proofErr w:type="spellStart"/>
      <w:r>
        <w:rPr>
          <w:rFonts w:ascii="Cambria" w:hAnsi="Cambria"/>
        </w:rPr>
        <w:t>Carvalho</w:t>
      </w:r>
      <w:proofErr w:type="spellEnd"/>
      <w:r>
        <w:rPr>
          <w:rFonts w:ascii="Cambria" w:hAnsi="Cambria"/>
        </w:rPr>
        <w:t xml:space="preserve"> M, </w:t>
      </w:r>
      <w:proofErr w:type="spellStart"/>
      <w:r>
        <w:rPr>
          <w:rFonts w:ascii="Cambria" w:hAnsi="Cambria"/>
        </w:rPr>
        <w:t>Tondella</w:t>
      </w:r>
      <w:proofErr w:type="spellEnd"/>
      <w:r>
        <w:rPr>
          <w:rFonts w:ascii="Cambria" w:hAnsi="Cambria"/>
        </w:rPr>
        <w:t xml:space="preserve"> ML, </w:t>
      </w:r>
      <w:proofErr w:type="spellStart"/>
      <w:r>
        <w:rPr>
          <w:rFonts w:ascii="Cambria" w:hAnsi="Cambria"/>
        </w:rPr>
        <w:t>McCaustland</w:t>
      </w:r>
      <w:proofErr w:type="spellEnd"/>
      <w:r>
        <w:rPr>
          <w:rFonts w:ascii="Cambria" w:hAnsi="Cambria"/>
        </w:rPr>
        <w:t xml:space="preserve"> K, et al. Evaluation of improvement of real-time PCR assays targeting </w:t>
      </w:r>
      <w:proofErr w:type="spellStart"/>
      <w:r w:rsidRPr="00247D6F">
        <w:rPr>
          <w:rFonts w:ascii="Cambria" w:hAnsi="Cambria"/>
          <w:i/>
        </w:rPr>
        <w:t>lytA</w:t>
      </w:r>
      <w:proofErr w:type="spellEnd"/>
      <w:r>
        <w:rPr>
          <w:rFonts w:ascii="Cambria" w:hAnsi="Cambria"/>
        </w:rPr>
        <w:t xml:space="preserve">, </w:t>
      </w:r>
      <w:r w:rsidRPr="00247D6F">
        <w:rPr>
          <w:rFonts w:ascii="Cambria" w:hAnsi="Cambria"/>
          <w:i/>
        </w:rPr>
        <w:t>ply</w:t>
      </w:r>
      <w:r>
        <w:rPr>
          <w:rFonts w:ascii="Cambria" w:hAnsi="Cambria"/>
        </w:rPr>
        <w:t xml:space="preserve">, and </w:t>
      </w:r>
      <w:proofErr w:type="spellStart"/>
      <w:r w:rsidRPr="00247D6F">
        <w:rPr>
          <w:rFonts w:ascii="Cambria" w:hAnsi="Cambria"/>
          <w:i/>
        </w:rPr>
        <w:t>psaA</w:t>
      </w:r>
      <w:proofErr w:type="spellEnd"/>
      <w:r>
        <w:rPr>
          <w:rFonts w:ascii="Cambria" w:hAnsi="Cambria"/>
        </w:rPr>
        <w:t xml:space="preserve"> genes for detection of pneumococcal DNA. J </w:t>
      </w:r>
      <w:proofErr w:type="spellStart"/>
      <w:r>
        <w:rPr>
          <w:rFonts w:ascii="Cambria" w:hAnsi="Cambria"/>
        </w:rPr>
        <w:t>Clin</w:t>
      </w:r>
      <w:proofErr w:type="spellEnd"/>
      <w:r>
        <w:rPr>
          <w:rFonts w:ascii="Cambria" w:hAnsi="Cambria"/>
        </w:rPr>
        <w:t xml:space="preserve"> </w:t>
      </w:r>
      <w:proofErr w:type="spellStart"/>
      <w:r>
        <w:rPr>
          <w:rFonts w:ascii="Cambria" w:hAnsi="Cambria"/>
        </w:rPr>
        <w:t>Microbiol</w:t>
      </w:r>
      <w:proofErr w:type="spellEnd"/>
      <w:r>
        <w:rPr>
          <w:rFonts w:ascii="Cambria" w:hAnsi="Cambria"/>
        </w:rPr>
        <w:t xml:space="preserve"> </w:t>
      </w:r>
      <w:r w:rsidRPr="00247D6F">
        <w:rPr>
          <w:rFonts w:ascii="Cambria" w:hAnsi="Cambria"/>
          <w:b/>
        </w:rPr>
        <w:t>2007</w:t>
      </w:r>
      <w:r>
        <w:rPr>
          <w:rFonts w:ascii="Cambria" w:hAnsi="Cambria"/>
        </w:rPr>
        <w:t>; 45(8):2460-66.</w:t>
      </w:r>
    </w:p>
  </w:endnote>
  <w:endnote w:id="2">
    <w:p w:rsidR="00B328B5" w:rsidRDefault="00B328B5" w:rsidP="00247D6F">
      <w:pPr>
        <w:pStyle w:val="EndnoteText"/>
        <w:spacing w:after="120"/>
        <w:ind w:left="720" w:hanging="720"/>
        <w:jc w:val="both"/>
        <w:rPr>
          <w:rFonts w:ascii="Cambria" w:hAnsi="Cambria"/>
        </w:rPr>
      </w:pPr>
      <w:r>
        <w:rPr>
          <w:rFonts w:ascii="Cambria" w:hAnsi="Cambria"/>
        </w:rPr>
        <w:endnoteRef/>
      </w:r>
      <w:r>
        <w:rPr>
          <w:rFonts w:ascii="Cambria" w:hAnsi="Cambria"/>
        </w:rPr>
        <w:t xml:space="preserve"> </w:t>
      </w:r>
      <w:r>
        <w:rPr>
          <w:rFonts w:ascii="Cambria" w:hAnsi="Cambria"/>
        </w:rPr>
        <w:tab/>
      </w:r>
      <w:proofErr w:type="spellStart"/>
      <w:r>
        <w:rPr>
          <w:rFonts w:ascii="Cambria" w:hAnsi="Cambria"/>
        </w:rPr>
        <w:t>Azzari</w:t>
      </w:r>
      <w:proofErr w:type="spellEnd"/>
      <w:r>
        <w:rPr>
          <w:rFonts w:ascii="Cambria" w:hAnsi="Cambria"/>
        </w:rPr>
        <w:t xml:space="preserve"> C, </w:t>
      </w:r>
      <w:proofErr w:type="spellStart"/>
      <w:r>
        <w:rPr>
          <w:rFonts w:ascii="Cambria" w:hAnsi="Cambria"/>
        </w:rPr>
        <w:t>Moriondo</w:t>
      </w:r>
      <w:proofErr w:type="spellEnd"/>
      <w:r>
        <w:rPr>
          <w:rFonts w:ascii="Cambria" w:hAnsi="Cambria"/>
        </w:rPr>
        <w:t xml:space="preserve"> M, </w:t>
      </w:r>
      <w:proofErr w:type="spellStart"/>
      <w:r>
        <w:rPr>
          <w:rFonts w:ascii="Cambria" w:hAnsi="Cambria"/>
        </w:rPr>
        <w:t>Indolfi</w:t>
      </w:r>
      <w:proofErr w:type="spellEnd"/>
      <w:r>
        <w:rPr>
          <w:rFonts w:ascii="Cambria" w:hAnsi="Cambria"/>
        </w:rPr>
        <w:t xml:space="preserve"> G, et al. Real-time PCR is more sensitive than multiplex PCR for diagnosis and serotyping in children with culture negative pneumococcal invasive disease. </w:t>
      </w:r>
      <w:proofErr w:type="spellStart"/>
      <w:r>
        <w:rPr>
          <w:rFonts w:ascii="Cambria" w:hAnsi="Cambria"/>
        </w:rPr>
        <w:t>PLoS</w:t>
      </w:r>
      <w:proofErr w:type="spellEnd"/>
      <w:r>
        <w:rPr>
          <w:rFonts w:ascii="Cambria" w:hAnsi="Cambria"/>
        </w:rPr>
        <w:t xml:space="preserve"> One </w:t>
      </w:r>
      <w:r>
        <w:rPr>
          <w:rFonts w:ascii="Cambria" w:hAnsi="Cambria"/>
          <w:b/>
        </w:rPr>
        <w:t>2010</w:t>
      </w:r>
      <w:r>
        <w:rPr>
          <w:rFonts w:ascii="Cambria" w:hAnsi="Cambria"/>
        </w:rPr>
        <w:t>; 5(2): e9282.</w:t>
      </w:r>
    </w:p>
  </w:endnote>
  <w:endnote w:id="3">
    <w:p w:rsidR="00B328B5" w:rsidRDefault="00B328B5" w:rsidP="004E042C">
      <w:pPr>
        <w:pStyle w:val="EndnoteText"/>
        <w:spacing w:after="120"/>
        <w:ind w:left="720" w:hanging="720"/>
        <w:jc w:val="both"/>
      </w:pPr>
      <w:r>
        <w:rPr>
          <w:rFonts w:ascii="Cambria" w:hAnsi="Cambria"/>
        </w:rPr>
        <w:endnoteRef/>
      </w:r>
      <w:r>
        <w:rPr>
          <w:rFonts w:ascii="Cambria" w:hAnsi="Cambria"/>
        </w:rPr>
        <w:t xml:space="preserve"> </w:t>
      </w:r>
      <w:r>
        <w:rPr>
          <w:rFonts w:ascii="Cambria" w:hAnsi="Cambria"/>
        </w:rPr>
        <w:tab/>
      </w:r>
      <w:proofErr w:type="spellStart"/>
      <w:r>
        <w:rPr>
          <w:rFonts w:ascii="Cambria" w:hAnsi="Cambria"/>
        </w:rPr>
        <w:t>Mavroidi</w:t>
      </w:r>
      <w:proofErr w:type="spellEnd"/>
      <w:r>
        <w:rPr>
          <w:rFonts w:ascii="Cambria" w:hAnsi="Cambria"/>
        </w:rPr>
        <w:t xml:space="preserve"> A, </w:t>
      </w:r>
      <w:proofErr w:type="spellStart"/>
      <w:r>
        <w:rPr>
          <w:rFonts w:ascii="Cambria" w:hAnsi="Cambria"/>
        </w:rPr>
        <w:t>Aanensen</w:t>
      </w:r>
      <w:proofErr w:type="spellEnd"/>
      <w:r>
        <w:rPr>
          <w:rFonts w:ascii="Cambria" w:hAnsi="Cambria"/>
        </w:rPr>
        <w:t xml:space="preserve"> DM, Godoy D, et al. Genetic relatedness of the Streptococcus </w:t>
      </w:r>
      <w:proofErr w:type="spellStart"/>
      <w:r>
        <w:rPr>
          <w:rFonts w:ascii="Cambria" w:hAnsi="Cambria"/>
        </w:rPr>
        <w:t>pneumoniae</w:t>
      </w:r>
      <w:proofErr w:type="spellEnd"/>
      <w:r>
        <w:rPr>
          <w:rFonts w:ascii="Cambria" w:hAnsi="Cambria"/>
        </w:rPr>
        <w:t xml:space="preserve"> capsular biosynthetic loci. J </w:t>
      </w:r>
      <w:proofErr w:type="spellStart"/>
      <w:r>
        <w:rPr>
          <w:rFonts w:ascii="Cambria" w:hAnsi="Cambria"/>
        </w:rPr>
        <w:t>Becteriol</w:t>
      </w:r>
      <w:proofErr w:type="spellEnd"/>
      <w:r>
        <w:rPr>
          <w:rFonts w:ascii="Cambria" w:hAnsi="Cambria"/>
        </w:rPr>
        <w:t xml:space="preserve"> </w:t>
      </w:r>
      <w:r>
        <w:rPr>
          <w:rFonts w:ascii="Cambria" w:hAnsi="Cambria"/>
          <w:b/>
        </w:rPr>
        <w:t>2007</w:t>
      </w:r>
      <w:r>
        <w:rPr>
          <w:rFonts w:ascii="Cambria" w:hAnsi="Cambria"/>
        </w:rPr>
        <w:t>; 189(21):7841-55.</w:t>
      </w:r>
    </w:p>
  </w:endnote>
  <w:endnote w:id="4">
    <w:p w:rsidR="00B328B5" w:rsidRDefault="00B328B5" w:rsidP="00247D6F">
      <w:pPr>
        <w:pStyle w:val="EndnoteText"/>
        <w:spacing w:after="120"/>
        <w:ind w:left="720" w:hanging="720"/>
        <w:jc w:val="both"/>
        <w:rPr>
          <w:rFonts w:ascii="Cambria" w:hAnsi="Cambria"/>
        </w:rPr>
      </w:pPr>
      <w:r>
        <w:rPr>
          <w:rFonts w:ascii="Cambria" w:hAnsi="Cambria"/>
        </w:rPr>
        <w:endnoteRef/>
      </w:r>
      <w:r>
        <w:rPr>
          <w:rFonts w:ascii="Cambria" w:hAnsi="Cambria"/>
        </w:rPr>
        <w:t xml:space="preserve"> </w:t>
      </w:r>
      <w:r>
        <w:rPr>
          <w:rFonts w:ascii="Cambria" w:hAnsi="Cambria"/>
        </w:rPr>
        <w:tab/>
        <w:t xml:space="preserve">Winn WC, Allen SD, </w:t>
      </w:r>
      <w:proofErr w:type="spellStart"/>
      <w:r>
        <w:rPr>
          <w:rFonts w:ascii="Cambria" w:hAnsi="Cambria"/>
        </w:rPr>
        <w:t>Janda</w:t>
      </w:r>
      <w:proofErr w:type="spellEnd"/>
      <w:r>
        <w:rPr>
          <w:rFonts w:ascii="Cambria" w:hAnsi="Cambria"/>
        </w:rPr>
        <w:t xml:space="preserve"> WM, et al. Gram-positive </w:t>
      </w:r>
      <w:proofErr w:type="spellStart"/>
      <w:r>
        <w:rPr>
          <w:rFonts w:ascii="Cambria" w:hAnsi="Cambria"/>
        </w:rPr>
        <w:t>cocci</w:t>
      </w:r>
      <w:proofErr w:type="spellEnd"/>
      <w:r>
        <w:rPr>
          <w:rFonts w:ascii="Cambria" w:hAnsi="Cambria"/>
        </w:rPr>
        <w:t xml:space="preserve">. Part II: streptococci, enterococci, and the “streptococcus-like” bacteria, p 672-764. In </w:t>
      </w:r>
      <w:proofErr w:type="spellStart"/>
      <w:r>
        <w:rPr>
          <w:rFonts w:ascii="Cambria" w:hAnsi="Cambria"/>
        </w:rPr>
        <w:t>Konemans’s</w:t>
      </w:r>
      <w:proofErr w:type="spellEnd"/>
      <w:r>
        <w:rPr>
          <w:rFonts w:ascii="Cambria" w:hAnsi="Cambria"/>
        </w:rPr>
        <w:t xml:space="preserve"> color atlas and textbook of diagnostic microbiology, 6th ed. </w:t>
      </w:r>
      <w:r>
        <w:rPr>
          <w:rFonts w:ascii="Cambria" w:hAnsi="Cambria"/>
          <w:b/>
        </w:rPr>
        <w:t>2006</w:t>
      </w:r>
      <w:r>
        <w:rPr>
          <w:rFonts w:ascii="Cambria" w:hAnsi="Cambria"/>
        </w:rPr>
        <w:t>; Lippincott Williams &amp; Wilkins, Baltimore.</w:t>
      </w:r>
    </w:p>
  </w:endnote>
  <w:endnote w:id="5">
    <w:p w:rsidR="00B328B5" w:rsidRDefault="00B328B5" w:rsidP="00D129B4">
      <w:pPr>
        <w:pStyle w:val="EndnoteText"/>
        <w:spacing w:after="120"/>
        <w:ind w:left="720" w:hanging="720"/>
        <w:jc w:val="both"/>
      </w:pPr>
      <w:r w:rsidRPr="00D129B4">
        <w:rPr>
          <w:rFonts w:ascii="Cambria" w:hAnsi="Cambria"/>
        </w:rPr>
        <w:endnoteRef/>
      </w:r>
      <w:r w:rsidRPr="00D129B4">
        <w:rPr>
          <w:rFonts w:ascii="Cambria" w:hAnsi="Cambria"/>
        </w:rPr>
        <w:t xml:space="preserve"> </w:t>
      </w:r>
      <w:r>
        <w:rPr>
          <w:rFonts w:ascii="Cambria" w:hAnsi="Cambria"/>
        </w:rPr>
        <w:tab/>
        <w:t xml:space="preserve">Austrian R. The </w:t>
      </w:r>
      <w:proofErr w:type="spellStart"/>
      <w:r>
        <w:rPr>
          <w:rFonts w:ascii="Cambria" w:hAnsi="Cambria"/>
        </w:rPr>
        <w:t>Quellung</w:t>
      </w:r>
      <w:proofErr w:type="spellEnd"/>
      <w:r>
        <w:rPr>
          <w:rFonts w:ascii="Cambria" w:hAnsi="Cambria"/>
        </w:rPr>
        <w:t xml:space="preserve"> reaction, a neglected microbiologic technique. Mt Sinai J Med </w:t>
      </w:r>
      <w:r w:rsidRPr="00D129B4">
        <w:rPr>
          <w:rFonts w:ascii="Cambria" w:hAnsi="Cambria"/>
          <w:b/>
        </w:rPr>
        <w:t>1976</w:t>
      </w:r>
      <w:r>
        <w:rPr>
          <w:rFonts w:ascii="Cambria" w:hAnsi="Cambria"/>
        </w:rPr>
        <w:t>; 43(6):699-709.</w:t>
      </w:r>
    </w:p>
  </w:endnote>
  <w:endnote w:id="6">
    <w:p w:rsidR="00B328B5" w:rsidRDefault="00B328B5" w:rsidP="00A46FBA">
      <w:pPr>
        <w:pStyle w:val="EndnoteText"/>
        <w:spacing w:after="120"/>
        <w:ind w:left="720" w:hanging="720"/>
        <w:jc w:val="both"/>
      </w:pPr>
      <w:r w:rsidRPr="00A46FBA">
        <w:rPr>
          <w:rFonts w:ascii="Cambria" w:hAnsi="Cambria"/>
        </w:rPr>
        <w:endnoteRef/>
      </w:r>
      <w:r w:rsidRPr="00A46FBA">
        <w:rPr>
          <w:rFonts w:ascii="Cambria" w:hAnsi="Cambria"/>
        </w:rPr>
        <w:t xml:space="preserve"> </w:t>
      </w:r>
      <w:r>
        <w:rPr>
          <w:rFonts w:ascii="Cambria" w:hAnsi="Cambria"/>
        </w:rPr>
        <w:tab/>
      </w:r>
      <w:r w:rsidRPr="00A46FBA">
        <w:rPr>
          <w:rFonts w:ascii="Cambria" w:hAnsi="Cambria"/>
        </w:rPr>
        <w:t xml:space="preserve">Whitney CG, Farley MM, </w:t>
      </w:r>
      <w:proofErr w:type="spellStart"/>
      <w:r w:rsidRPr="00A46FBA">
        <w:rPr>
          <w:rFonts w:ascii="Cambria" w:hAnsi="Cambria"/>
        </w:rPr>
        <w:t>Hadler</w:t>
      </w:r>
      <w:proofErr w:type="spellEnd"/>
      <w:r w:rsidRPr="00A46FBA">
        <w:rPr>
          <w:rFonts w:ascii="Cambria" w:hAnsi="Cambria"/>
        </w:rPr>
        <w:t xml:space="preserve"> J, et al. Effectiveness of seven-</w:t>
      </w:r>
      <w:proofErr w:type="spellStart"/>
      <w:r w:rsidRPr="00A46FBA">
        <w:rPr>
          <w:rFonts w:ascii="Cambria" w:hAnsi="Cambria"/>
        </w:rPr>
        <w:t>valent</w:t>
      </w:r>
      <w:proofErr w:type="spellEnd"/>
      <w:r w:rsidRPr="00A46FBA">
        <w:rPr>
          <w:rFonts w:ascii="Cambria" w:hAnsi="Cambria"/>
        </w:rPr>
        <w:t xml:space="preserve"> pneumococcal conjugate vaccine against invasive pneumococcal disease: a matched case-control study. Lancet </w:t>
      </w:r>
      <w:r w:rsidRPr="00A46FBA">
        <w:rPr>
          <w:rFonts w:ascii="Cambria" w:hAnsi="Cambria"/>
          <w:b/>
        </w:rPr>
        <w:t>2006</w:t>
      </w:r>
      <w:r w:rsidRPr="00A46FBA">
        <w:rPr>
          <w:rFonts w:ascii="Cambria" w:hAnsi="Cambria"/>
        </w:rPr>
        <w:t>; 368(9546):1495-502.</w:t>
      </w:r>
    </w:p>
  </w:endnote>
  <w:endnote w:id="7">
    <w:p w:rsidR="00B328B5" w:rsidRPr="00777C73" w:rsidRDefault="00B328B5" w:rsidP="00777C73">
      <w:pPr>
        <w:pStyle w:val="EndnoteText"/>
        <w:spacing w:after="120"/>
        <w:ind w:left="720" w:hanging="720"/>
        <w:jc w:val="both"/>
        <w:rPr>
          <w:rFonts w:ascii="Cambria" w:hAnsi="Cambria"/>
        </w:rPr>
      </w:pPr>
      <w:r w:rsidRPr="00777C73">
        <w:rPr>
          <w:rFonts w:ascii="Cambria" w:hAnsi="Cambria"/>
        </w:rPr>
        <w:endnoteRef/>
      </w:r>
      <w:r w:rsidRPr="00777C73">
        <w:rPr>
          <w:rFonts w:ascii="Cambria" w:hAnsi="Cambria"/>
        </w:rPr>
        <w:t xml:space="preserve"> </w:t>
      </w:r>
      <w:r>
        <w:rPr>
          <w:rFonts w:ascii="Cambria" w:hAnsi="Cambria"/>
        </w:rPr>
        <w:tab/>
        <w:t xml:space="preserve">Cohen C, </w:t>
      </w:r>
      <w:proofErr w:type="spellStart"/>
      <w:r>
        <w:rPr>
          <w:rFonts w:ascii="Cambria" w:hAnsi="Cambria"/>
        </w:rPr>
        <w:t>Moyes</w:t>
      </w:r>
      <w:proofErr w:type="spellEnd"/>
      <w:r>
        <w:rPr>
          <w:rFonts w:ascii="Cambria" w:hAnsi="Cambria"/>
        </w:rPr>
        <w:t xml:space="preserve"> J, Tempia S, et al. Severe influenza-associated lower respiratory tract infection in a high HIV-Prevalence setting – South Africa, 2009-2011. </w:t>
      </w:r>
      <w:proofErr w:type="spellStart"/>
      <w:r>
        <w:rPr>
          <w:rFonts w:ascii="Cambria" w:hAnsi="Cambria"/>
        </w:rPr>
        <w:t>Emerg</w:t>
      </w:r>
      <w:proofErr w:type="spellEnd"/>
      <w:r>
        <w:rPr>
          <w:rFonts w:ascii="Cambria" w:hAnsi="Cambria"/>
        </w:rPr>
        <w:t xml:space="preserve"> </w:t>
      </w:r>
      <w:proofErr w:type="spellStart"/>
      <w:r>
        <w:rPr>
          <w:rFonts w:ascii="Cambria" w:hAnsi="Cambria"/>
        </w:rPr>
        <w:t>Infec</w:t>
      </w:r>
      <w:proofErr w:type="spellEnd"/>
      <w:r>
        <w:rPr>
          <w:rFonts w:ascii="Cambria" w:hAnsi="Cambria"/>
        </w:rPr>
        <w:t xml:space="preserve"> Dis </w:t>
      </w:r>
      <w:r w:rsidRPr="00777C73">
        <w:rPr>
          <w:rFonts w:ascii="Cambria" w:hAnsi="Cambria"/>
          <w:b/>
        </w:rPr>
        <w:t>2013</w:t>
      </w:r>
      <w:r>
        <w:rPr>
          <w:rFonts w:ascii="Cambria" w:hAnsi="Cambria"/>
        </w:rPr>
        <w:t>; 19(11):1766-74.</w:t>
      </w:r>
    </w:p>
  </w:endnote>
  <w:endnote w:id="8">
    <w:p w:rsidR="00B328B5" w:rsidRDefault="00B328B5" w:rsidP="00777C73">
      <w:pPr>
        <w:pStyle w:val="EndnoteText"/>
        <w:spacing w:after="120"/>
        <w:ind w:left="720" w:hanging="720"/>
        <w:jc w:val="both"/>
      </w:pPr>
      <w:r w:rsidRPr="00777C73">
        <w:rPr>
          <w:rFonts w:ascii="Cambria" w:hAnsi="Cambria"/>
        </w:rPr>
        <w:endnoteRef/>
      </w:r>
      <w:r w:rsidRPr="00777C73">
        <w:rPr>
          <w:rFonts w:ascii="Cambria" w:hAnsi="Cambria"/>
        </w:rPr>
        <w:t xml:space="preserve"> </w:t>
      </w:r>
      <w:r>
        <w:rPr>
          <w:rFonts w:ascii="Cambria" w:hAnsi="Cambria"/>
        </w:rPr>
        <w:tab/>
      </w:r>
      <w:proofErr w:type="spellStart"/>
      <w:r>
        <w:rPr>
          <w:rFonts w:ascii="Cambria" w:hAnsi="Cambria"/>
        </w:rPr>
        <w:t>Moyes</w:t>
      </w:r>
      <w:proofErr w:type="spellEnd"/>
      <w:r>
        <w:rPr>
          <w:rFonts w:ascii="Cambria" w:hAnsi="Cambria"/>
        </w:rPr>
        <w:t xml:space="preserve"> J, Cohen C, Pretorius M, et al. Epidemiology of respiratory syncytial virus-associated acute lower respiratory tract infection hospitalizations among HIV-infected and HIV-uninfected South African children, 2010-2011. J Infect Dis </w:t>
      </w:r>
      <w:r w:rsidRPr="00777C73">
        <w:rPr>
          <w:rFonts w:ascii="Cambria" w:hAnsi="Cambria"/>
          <w:b/>
        </w:rPr>
        <w:t>2013</w:t>
      </w:r>
      <w:r>
        <w:rPr>
          <w:rFonts w:ascii="Cambria" w:hAnsi="Cambria"/>
        </w:rPr>
        <w:t>; 208(S3):S217-26.</w:t>
      </w:r>
    </w:p>
  </w:endnote>
  <w:endnote w:id="9">
    <w:p w:rsidR="00B328B5" w:rsidRPr="00983210" w:rsidRDefault="00B328B5" w:rsidP="00983210">
      <w:pPr>
        <w:pStyle w:val="EndnoteText"/>
        <w:spacing w:after="120"/>
        <w:ind w:left="720" w:hanging="720"/>
        <w:rPr>
          <w:rFonts w:ascii="Cambria" w:hAnsi="Cambria"/>
        </w:rPr>
      </w:pPr>
      <w:r w:rsidRPr="00983210">
        <w:rPr>
          <w:rFonts w:ascii="Cambria" w:hAnsi="Cambria"/>
        </w:rPr>
        <w:endnoteRef/>
      </w:r>
      <w:r w:rsidRPr="00983210">
        <w:rPr>
          <w:rFonts w:ascii="Cambria" w:hAnsi="Cambria"/>
        </w:rPr>
        <w:t xml:space="preserve"> </w:t>
      </w:r>
      <w:r>
        <w:rPr>
          <w:rFonts w:ascii="Cambria" w:hAnsi="Cambria"/>
        </w:rPr>
        <w:tab/>
      </w:r>
      <w:r w:rsidRPr="0074057E">
        <w:rPr>
          <w:rFonts w:ascii="Cambria" w:hAnsi="Cambria"/>
        </w:rPr>
        <w:t xml:space="preserve">Statistics South Africa. Population statistics. </w:t>
      </w:r>
      <w:hyperlink r:id="rId1" w:history="1">
        <w:r w:rsidRPr="003B30C1">
          <w:rPr>
            <w:rStyle w:val="Hyperlink"/>
            <w:rFonts w:ascii="Cambria" w:hAnsi="Cambria"/>
          </w:rPr>
          <w:t>http://www.statssa.gov.za/publications/populationstats.asp</w:t>
        </w:r>
      </w:hyperlink>
      <w:r w:rsidRPr="0074057E">
        <w:rPr>
          <w:rFonts w:ascii="Cambria" w:hAnsi="Cambria"/>
        </w:rPr>
        <w:t xml:space="preserve">. Accessed </w:t>
      </w:r>
      <w:r>
        <w:rPr>
          <w:rFonts w:ascii="Cambria" w:hAnsi="Cambria"/>
        </w:rPr>
        <w:t>15 January 2015</w:t>
      </w:r>
      <w:r w:rsidRPr="0074057E">
        <w:rPr>
          <w:rFonts w:ascii="Cambria" w:hAnsi="Cambria"/>
        </w:rPr>
        <w:t>.</w:t>
      </w:r>
    </w:p>
  </w:endnote>
  <w:endnote w:id="10">
    <w:p w:rsidR="00B328B5" w:rsidRDefault="00B328B5" w:rsidP="00983210">
      <w:pPr>
        <w:pStyle w:val="EndnoteText"/>
        <w:spacing w:after="120"/>
        <w:ind w:left="720" w:hanging="720"/>
      </w:pPr>
      <w:r w:rsidRPr="00983210">
        <w:rPr>
          <w:rFonts w:ascii="Cambria" w:hAnsi="Cambria"/>
        </w:rPr>
        <w:endnoteRef/>
      </w:r>
      <w:r w:rsidRPr="00983210">
        <w:rPr>
          <w:rFonts w:ascii="Cambria" w:hAnsi="Cambria"/>
        </w:rPr>
        <w:t xml:space="preserve"> </w:t>
      </w:r>
      <w:r>
        <w:rPr>
          <w:rFonts w:ascii="Cambria" w:hAnsi="Cambria"/>
        </w:rPr>
        <w:tab/>
      </w:r>
      <w:r w:rsidRPr="0074057E">
        <w:rPr>
          <w:rFonts w:ascii="Cambria" w:hAnsi="Cambria"/>
        </w:rPr>
        <w:t xml:space="preserve">Actuarial Society of South Africa (ASSA). AIDS and Demographic model. </w:t>
      </w:r>
      <w:hyperlink r:id="rId2" w:history="1">
        <w:r w:rsidRPr="003B30C1">
          <w:rPr>
            <w:rStyle w:val="Hyperlink"/>
          </w:rPr>
          <w:t>http://aids.actuarialsociety.org.za/ASSA2008-Model-3480.htm</w:t>
        </w:r>
      </w:hyperlink>
      <w:r w:rsidRPr="0074057E">
        <w:rPr>
          <w:rFonts w:ascii="Cambria" w:hAnsi="Cambria"/>
        </w:rPr>
        <w:t xml:space="preserve">. Accessed </w:t>
      </w:r>
      <w:r>
        <w:rPr>
          <w:rFonts w:ascii="Cambria" w:hAnsi="Cambria"/>
        </w:rPr>
        <w:t>15 January 2015</w:t>
      </w:r>
      <w:r w:rsidRPr="0074057E">
        <w:rPr>
          <w:rFonts w:ascii="Cambria" w:hAnsi="Cambr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BC3" w:rsidRDefault="006C7BC3" w:rsidP="00A46FBA">
      <w:r>
        <w:separator/>
      </w:r>
    </w:p>
  </w:footnote>
  <w:footnote w:type="continuationSeparator" w:id="0">
    <w:p w:rsidR="006C7BC3" w:rsidRDefault="006C7BC3" w:rsidP="00A46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C0"/>
    <w:rsid w:val="00001323"/>
    <w:rsid w:val="00003F67"/>
    <w:rsid w:val="0000548F"/>
    <w:rsid w:val="0000664B"/>
    <w:rsid w:val="00010278"/>
    <w:rsid w:val="00010DCC"/>
    <w:rsid w:val="000113E4"/>
    <w:rsid w:val="00012D02"/>
    <w:rsid w:val="000130CF"/>
    <w:rsid w:val="000135BB"/>
    <w:rsid w:val="00014558"/>
    <w:rsid w:val="000165F7"/>
    <w:rsid w:val="00017F61"/>
    <w:rsid w:val="00021202"/>
    <w:rsid w:val="000229AF"/>
    <w:rsid w:val="00022DF7"/>
    <w:rsid w:val="00022F3C"/>
    <w:rsid w:val="0002326A"/>
    <w:rsid w:val="0002352A"/>
    <w:rsid w:val="00023CF0"/>
    <w:rsid w:val="00024384"/>
    <w:rsid w:val="00024845"/>
    <w:rsid w:val="000248CD"/>
    <w:rsid w:val="000255E3"/>
    <w:rsid w:val="00026684"/>
    <w:rsid w:val="000269CA"/>
    <w:rsid w:val="00027732"/>
    <w:rsid w:val="000278E2"/>
    <w:rsid w:val="00030004"/>
    <w:rsid w:val="000302C5"/>
    <w:rsid w:val="000304E7"/>
    <w:rsid w:val="0003064B"/>
    <w:rsid w:val="00030A21"/>
    <w:rsid w:val="000317E6"/>
    <w:rsid w:val="00031A9C"/>
    <w:rsid w:val="00031BB3"/>
    <w:rsid w:val="0003240F"/>
    <w:rsid w:val="00032FE2"/>
    <w:rsid w:val="00033103"/>
    <w:rsid w:val="0003328B"/>
    <w:rsid w:val="0003423A"/>
    <w:rsid w:val="000348B4"/>
    <w:rsid w:val="000356AB"/>
    <w:rsid w:val="00035EE3"/>
    <w:rsid w:val="00036F40"/>
    <w:rsid w:val="00037982"/>
    <w:rsid w:val="00040BB5"/>
    <w:rsid w:val="00041904"/>
    <w:rsid w:val="000445B1"/>
    <w:rsid w:val="0004589C"/>
    <w:rsid w:val="00045C96"/>
    <w:rsid w:val="00045FF0"/>
    <w:rsid w:val="0004659B"/>
    <w:rsid w:val="00046D70"/>
    <w:rsid w:val="00047931"/>
    <w:rsid w:val="00047B35"/>
    <w:rsid w:val="00047E0E"/>
    <w:rsid w:val="00047ECC"/>
    <w:rsid w:val="00050940"/>
    <w:rsid w:val="00050F1E"/>
    <w:rsid w:val="0005146A"/>
    <w:rsid w:val="00054418"/>
    <w:rsid w:val="00055021"/>
    <w:rsid w:val="00055229"/>
    <w:rsid w:val="00055560"/>
    <w:rsid w:val="00057733"/>
    <w:rsid w:val="00057766"/>
    <w:rsid w:val="000578FA"/>
    <w:rsid w:val="00057D16"/>
    <w:rsid w:val="00060EA7"/>
    <w:rsid w:val="00060F6D"/>
    <w:rsid w:val="000615A9"/>
    <w:rsid w:val="00061BB6"/>
    <w:rsid w:val="000623D9"/>
    <w:rsid w:val="00063919"/>
    <w:rsid w:val="000649C6"/>
    <w:rsid w:val="0006578C"/>
    <w:rsid w:val="000661AB"/>
    <w:rsid w:val="00066461"/>
    <w:rsid w:val="00067D03"/>
    <w:rsid w:val="0007044B"/>
    <w:rsid w:val="00070979"/>
    <w:rsid w:val="00072724"/>
    <w:rsid w:val="000732EE"/>
    <w:rsid w:val="00073A74"/>
    <w:rsid w:val="00073CBC"/>
    <w:rsid w:val="00073D4C"/>
    <w:rsid w:val="0007445F"/>
    <w:rsid w:val="000774D9"/>
    <w:rsid w:val="00080C99"/>
    <w:rsid w:val="00082420"/>
    <w:rsid w:val="00082AE0"/>
    <w:rsid w:val="00082CEE"/>
    <w:rsid w:val="00084B62"/>
    <w:rsid w:val="00087D4F"/>
    <w:rsid w:val="00087EAF"/>
    <w:rsid w:val="00092870"/>
    <w:rsid w:val="00093955"/>
    <w:rsid w:val="000945B1"/>
    <w:rsid w:val="000959D1"/>
    <w:rsid w:val="00095AAD"/>
    <w:rsid w:val="000962D8"/>
    <w:rsid w:val="000968B3"/>
    <w:rsid w:val="00096F85"/>
    <w:rsid w:val="00097666"/>
    <w:rsid w:val="000977F7"/>
    <w:rsid w:val="00097A68"/>
    <w:rsid w:val="000A14D2"/>
    <w:rsid w:val="000A1587"/>
    <w:rsid w:val="000A1C9E"/>
    <w:rsid w:val="000A1DB9"/>
    <w:rsid w:val="000A223A"/>
    <w:rsid w:val="000A4789"/>
    <w:rsid w:val="000A5C21"/>
    <w:rsid w:val="000A6FE7"/>
    <w:rsid w:val="000A7034"/>
    <w:rsid w:val="000A7653"/>
    <w:rsid w:val="000B011B"/>
    <w:rsid w:val="000B0397"/>
    <w:rsid w:val="000B03CB"/>
    <w:rsid w:val="000B1698"/>
    <w:rsid w:val="000B1991"/>
    <w:rsid w:val="000B2457"/>
    <w:rsid w:val="000B24C9"/>
    <w:rsid w:val="000B34C9"/>
    <w:rsid w:val="000B4302"/>
    <w:rsid w:val="000B44D4"/>
    <w:rsid w:val="000B483A"/>
    <w:rsid w:val="000B4F21"/>
    <w:rsid w:val="000B6166"/>
    <w:rsid w:val="000B6B85"/>
    <w:rsid w:val="000B72C4"/>
    <w:rsid w:val="000B7355"/>
    <w:rsid w:val="000B7D70"/>
    <w:rsid w:val="000C0C31"/>
    <w:rsid w:val="000C12C4"/>
    <w:rsid w:val="000C2291"/>
    <w:rsid w:val="000C2BC0"/>
    <w:rsid w:val="000C306A"/>
    <w:rsid w:val="000C30A0"/>
    <w:rsid w:val="000C3951"/>
    <w:rsid w:val="000C3B0D"/>
    <w:rsid w:val="000C3CAC"/>
    <w:rsid w:val="000C40E3"/>
    <w:rsid w:val="000C4871"/>
    <w:rsid w:val="000C4AEE"/>
    <w:rsid w:val="000C5595"/>
    <w:rsid w:val="000C62D8"/>
    <w:rsid w:val="000C68DA"/>
    <w:rsid w:val="000D03BE"/>
    <w:rsid w:val="000D0ABA"/>
    <w:rsid w:val="000D1406"/>
    <w:rsid w:val="000D2343"/>
    <w:rsid w:val="000D3366"/>
    <w:rsid w:val="000D3594"/>
    <w:rsid w:val="000D3C41"/>
    <w:rsid w:val="000D3EF0"/>
    <w:rsid w:val="000D6633"/>
    <w:rsid w:val="000D7871"/>
    <w:rsid w:val="000E0014"/>
    <w:rsid w:val="000E0D39"/>
    <w:rsid w:val="000E193F"/>
    <w:rsid w:val="000E29A4"/>
    <w:rsid w:val="000E2DB8"/>
    <w:rsid w:val="000E3A57"/>
    <w:rsid w:val="000E4384"/>
    <w:rsid w:val="000E4812"/>
    <w:rsid w:val="000E4A5D"/>
    <w:rsid w:val="000E5DE4"/>
    <w:rsid w:val="000E68B4"/>
    <w:rsid w:val="000E6A38"/>
    <w:rsid w:val="000E7507"/>
    <w:rsid w:val="000F0F74"/>
    <w:rsid w:val="000F1001"/>
    <w:rsid w:val="000F286B"/>
    <w:rsid w:val="000F2FA9"/>
    <w:rsid w:val="000F3FC1"/>
    <w:rsid w:val="000F45C1"/>
    <w:rsid w:val="000F5B1B"/>
    <w:rsid w:val="000F5F60"/>
    <w:rsid w:val="000F6433"/>
    <w:rsid w:val="000F678A"/>
    <w:rsid w:val="000F7011"/>
    <w:rsid w:val="000F794F"/>
    <w:rsid w:val="000F7A7D"/>
    <w:rsid w:val="00100C5E"/>
    <w:rsid w:val="001016A6"/>
    <w:rsid w:val="00101E05"/>
    <w:rsid w:val="00102B8B"/>
    <w:rsid w:val="00103BF1"/>
    <w:rsid w:val="00106426"/>
    <w:rsid w:val="00106C4C"/>
    <w:rsid w:val="00106CB2"/>
    <w:rsid w:val="001075EF"/>
    <w:rsid w:val="00112C63"/>
    <w:rsid w:val="001132BE"/>
    <w:rsid w:val="0011555F"/>
    <w:rsid w:val="00115679"/>
    <w:rsid w:val="00115930"/>
    <w:rsid w:val="00115AA6"/>
    <w:rsid w:val="00115E33"/>
    <w:rsid w:val="00116EFE"/>
    <w:rsid w:val="00120B60"/>
    <w:rsid w:val="00120BB4"/>
    <w:rsid w:val="00121E00"/>
    <w:rsid w:val="001227F4"/>
    <w:rsid w:val="00122AA9"/>
    <w:rsid w:val="00122AD4"/>
    <w:rsid w:val="00122E16"/>
    <w:rsid w:val="001234F0"/>
    <w:rsid w:val="00123913"/>
    <w:rsid w:val="00123C72"/>
    <w:rsid w:val="00125C89"/>
    <w:rsid w:val="00126105"/>
    <w:rsid w:val="00126D8F"/>
    <w:rsid w:val="001300C1"/>
    <w:rsid w:val="00130EA1"/>
    <w:rsid w:val="00132258"/>
    <w:rsid w:val="00133B80"/>
    <w:rsid w:val="00134DCD"/>
    <w:rsid w:val="00135A13"/>
    <w:rsid w:val="00135E65"/>
    <w:rsid w:val="001361CC"/>
    <w:rsid w:val="00137234"/>
    <w:rsid w:val="00137C41"/>
    <w:rsid w:val="00137DA6"/>
    <w:rsid w:val="0014030A"/>
    <w:rsid w:val="001410A6"/>
    <w:rsid w:val="00141FB8"/>
    <w:rsid w:val="001420C9"/>
    <w:rsid w:val="00143821"/>
    <w:rsid w:val="00143C2B"/>
    <w:rsid w:val="00143D43"/>
    <w:rsid w:val="0014452B"/>
    <w:rsid w:val="0014472C"/>
    <w:rsid w:val="00144A5E"/>
    <w:rsid w:val="00146F1F"/>
    <w:rsid w:val="00147F9F"/>
    <w:rsid w:val="001510C3"/>
    <w:rsid w:val="00154160"/>
    <w:rsid w:val="001544E1"/>
    <w:rsid w:val="0015468A"/>
    <w:rsid w:val="00154D7C"/>
    <w:rsid w:val="00155402"/>
    <w:rsid w:val="00160C43"/>
    <w:rsid w:val="00160F70"/>
    <w:rsid w:val="0016130A"/>
    <w:rsid w:val="00161B7C"/>
    <w:rsid w:val="0016339E"/>
    <w:rsid w:val="0016486E"/>
    <w:rsid w:val="00165074"/>
    <w:rsid w:val="00165A51"/>
    <w:rsid w:val="001669FE"/>
    <w:rsid w:val="00166D45"/>
    <w:rsid w:val="00166F1B"/>
    <w:rsid w:val="0017153A"/>
    <w:rsid w:val="001716E9"/>
    <w:rsid w:val="001730B0"/>
    <w:rsid w:val="00173DF8"/>
    <w:rsid w:val="00174B46"/>
    <w:rsid w:val="00174CD1"/>
    <w:rsid w:val="001769C7"/>
    <w:rsid w:val="001774A9"/>
    <w:rsid w:val="00180ADA"/>
    <w:rsid w:val="001817D2"/>
    <w:rsid w:val="0018217A"/>
    <w:rsid w:val="001824D3"/>
    <w:rsid w:val="00182644"/>
    <w:rsid w:val="001826AD"/>
    <w:rsid w:val="0018296D"/>
    <w:rsid w:val="00183001"/>
    <w:rsid w:val="00183602"/>
    <w:rsid w:val="00184CF9"/>
    <w:rsid w:val="00184D36"/>
    <w:rsid w:val="0018537D"/>
    <w:rsid w:val="001855A5"/>
    <w:rsid w:val="00185EC9"/>
    <w:rsid w:val="00186137"/>
    <w:rsid w:val="00186888"/>
    <w:rsid w:val="00186AA0"/>
    <w:rsid w:val="001875AC"/>
    <w:rsid w:val="0019021F"/>
    <w:rsid w:val="00190B68"/>
    <w:rsid w:val="0019179E"/>
    <w:rsid w:val="00191A7B"/>
    <w:rsid w:val="00192A58"/>
    <w:rsid w:val="00193241"/>
    <w:rsid w:val="00193CBF"/>
    <w:rsid w:val="00195213"/>
    <w:rsid w:val="0019634F"/>
    <w:rsid w:val="00197401"/>
    <w:rsid w:val="00197668"/>
    <w:rsid w:val="00197BB8"/>
    <w:rsid w:val="001A0995"/>
    <w:rsid w:val="001A116A"/>
    <w:rsid w:val="001A14CB"/>
    <w:rsid w:val="001A25EB"/>
    <w:rsid w:val="001A2B68"/>
    <w:rsid w:val="001A351B"/>
    <w:rsid w:val="001A547C"/>
    <w:rsid w:val="001A590A"/>
    <w:rsid w:val="001A72C5"/>
    <w:rsid w:val="001A7780"/>
    <w:rsid w:val="001B055B"/>
    <w:rsid w:val="001B05D6"/>
    <w:rsid w:val="001B157F"/>
    <w:rsid w:val="001B2D0C"/>
    <w:rsid w:val="001B4977"/>
    <w:rsid w:val="001B5000"/>
    <w:rsid w:val="001B52D1"/>
    <w:rsid w:val="001B53CA"/>
    <w:rsid w:val="001B6BED"/>
    <w:rsid w:val="001B6D2D"/>
    <w:rsid w:val="001B70C6"/>
    <w:rsid w:val="001B7D21"/>
    <w:rsid w:val="001C0AA8"/>
    <w:rsid w:val="001C20B6"/>
    <w:rsid w:val="001C52E9"/>
    <w:rsid w:val="001C5B57"/>
    <w:rsid w:val="001C64DB"/>
    <w:rsid w:val="001C6916"/>
    <w:rsid w:val="001C699D"/>
    <w:rsid w:val="001C754E"/>
    <w:rsid w:val="001D0815"/>
    <w:rsid w:val="001D1D3B"/>
    <w:rsid w:val="001D3188"/>
    <w:rsid w:val="001D32E1"/>
    <w:rsid w:val="001D3871"/>
    <w:rsid w:val="001D3E95"/>
    <w:rsid w:val="001D40E1"/>
    <w:rsid w:val="001D4868"/>
    <w:rsid w:val="001D486A"/>
    <w:rsid w:val="001D546F"/>
    <w:rsid w:val="001D5A6C"/>
    <w:rsid w:val="001D6B77"/>
    <w:rsid w:val="001D7D71"/>
    <w:rsid w:val="001E0216"/>
    <w:rsid w:val="001E131C"/>
    <w:rsid w:val="001E1EB8"/>
    <w:rsid w:val="001E28BE"/>
    <w:rsid w:val="001E2D60"/>
    <w:rsid w:val="001E37B0"/>
    <w:rsid w:val="001E38C0"/>
    <w:rsid w:val="001E3B16"/>
    <w:rsid w:val="001E523C"/>
    <w:rsid w:val="001E5C12"/>
    <w:rsid w:val="001E647C"/>
    <w:rsid w:val="001E6D73"/>
    <w:rsid w:val="001E7803"/>
    <w:rsid w:val="001E7F57"/>
    <w:rsid w:val="001F0B18"/>
    <w:rsid w:val="001F0C86"/>
    <w:rsid w:val="001F14FD"/>
    <w:rsid w:val="001F30F5"/>
    <w:rsid w:val="001F346C"/>
    <w:rsid w:val="001F3982"/>
    <w:rsid w:val="001F3C78"/>
    <w:rsid w:val="001F4C35"/>
    <w:rsid w:val="001F5916"/>
    <w:rsid w:val="001F5980"/>
    <w:rsid w:val="001F6295"/>
    <w:rsid w:val="001F6326"/>
    <w:rsid w:val="001F66B4"/>
    <w:rsid w:val="001F6806"/>
    <w:rsid w:val="001F6A87"/>
    <w:rsid w:val="001F72C2"/>
    <w:rsid w:val="001F72DB"/>
    <w:rsid w:val="0020000F"/>
    <w:rsid w:val="00200A33"/>
    <w:rsid w:val="00200F80"/>
    <w:rsid w:val="002020DC"/>
    <w:rsid w:val="00202360"/>
    <w:rsid w:val="00203A1D"/>
    <w:rsid w:val="00204095"/>
    <w:rsid w:val="002044A3"/>
    <w:rsid w:val="00205BB6"/>
    <w:rsid w:val="00205D2E"/>
    <w:rsid w:val="00206115"/>
    <w:rsid w:val="00211FF2"/>
    <w:rsid w:val="00213DAD"/>
    <w:rsid w:val="0021445A"/>
    <w:rsid w:val="0021497C"/>
    <w:rsid w:val="00214D74"/>
    <w:rsid w:val="00215ECF"/>
    <w:rsid w:val="00216394"/>
    <w:rsid w:val="002163FB"/>
    <w:rsid w:val="002164C4"/>
    <w:rsid w:val="00216B41"/>
    <w:rsid w:val="00216C11"/>
    <w:rsid w:val="00217B70"/>
    <w:rsid w:val="00220530"/>
    <w:rsid w:val="00222C99"/>
    <w:rsid w:val="0022333B"/>
    <w:rsid w:val="00225234"/>
    <w:rsid w:val="00225495"/>
    <w:rsid w:val="0022580D"/>
    <w:rsid w:val="00226166"/>
    <w:rsid w:val="00226ABF"/>
    <w:rsid w:val="002306E0"/>
    <w:rsid w:val="0023071F"/>
    <w:rsid w:val="00231499"/>
    <w:rsid w:val="00231F2F"/>
    <w:rsid w:val="002324C9"/>
    <w:rsid w:val="00232E34"/>
    <w:rsid w:val="00233368"/>
    <w:rsid w:val="00233AB9"/>
    <w:rsid w:val="00235023"/>
    <w:rsid w:val="00235138"/>
    <w:rsid w:val="0023514B"/>
    <w:rsid w:val="00235394"/>
    <w:rsid w:val="00236C46"/>
    <w:rsid w:val="00236FDF"/>
    <w:rsid w:val="00237BA4"/>
    <w:rsid w:val="00237C0B"/>
    <w:rsid w:val="00240E91"/>
    <w:rsid w:val="00241B6B"/>
    <w:rsid w:val="00242610"/>
    <w:rsid w:val="00243837"/>
    <w:rsid w:val="00243DD4"/>
    <w:rsid w:val="00244631"/>
    <w:rsid w:val="002447FC"/>
    <w:rsid w:val="00244F6C"/>
    <w:rsid w:val="00244FD3"/>
    <w:rsid w:val="002468AE"/>
    <w:rsid w:val="00247387"/>
    <w:rsid w:val="002478A7"/>
    <w:rsid w:val="002478E9"/>
    <w:rsid w:val="00247D6F"/>
    <w:rsid w:val="0025014C"/>
    <w:rsid w:val="00250630"/>
    <w:rsid w:val="00251211"/>
    <w:rsid w:val="0025156F"/>
    <w:rsid w:val="0025271B"/>
    <w:rsid w:val="00255A7A"/>
    <w:rsid w:val="002561B7"/>
    <w:rsid w:val="002564C3"/>
    <w:rsid w:val="0025713C"/>
    <w:rsid w:val="002579D1"/>
    <w:rsid w:val="00257D82"/>
    <w:rsid w:val="00261EAF"/>
    <w:rsid w:val="00262130"/>
    <w:rsid w:val="0026363E"/>
    <w:rsid w:val="00263C3F"/>
    <w:rsid w:val="0026416A"/>
    <w:rsid w:val="00264890"/>
    <w:rsid w:val="0026501F"/>
    <w:rsid w:val="00265D1E"/>
    <w:rsid w:val="00266FAA"/>
    <w:rsid w:val="002672C5"/>
    <w:rsid w:val="00267AA1"/>
    <w:rsid w:val="002716B5"/>
    <w:rsid w:val="00274679"/>
    <w:rsid w:val="00275811"/>
    <w:rsid w:val="002766D1"/>
    <w:rsid w:val="00276C21"/>
    <w:rsid w:val="00276D21"/>
    <w:rsid w:val="00280F69"/>
    <w:rsid w:val="0028223C"/>
    <w:rsid w:val="00283653"/>
    <w:rsid w:val="00283E04"/>
    <w:rsid w:val="002842F8"/>
    <w:rsid w:val="0028438B"/>
    <w:rsid w:val="00284C61"/>
    <w:rsid w:val="0028601F"/>
    <w:rsid w:val="00287DE2"/>
    <w:rsid w:val="00291806"/>
    <w:rsid w:val="00291D93"/>
    <w:rsid w:val="00292717"/>
    <w:rsid w:val="002929E1"/>
    <w:rsid w:val="00293A5C"/>
    <w:rsid w:val="00294C52"/>
    <w:rsid w:val="0029603D"/>
    <w:rsid w:val="0029628B"/>
    <w:rsid w:val="002962EA"/>
    <w:rsid w:val="00297A8D"/>
    <w:rsid w:val="00297D01"/>
    <w:rsid w:val="002A0125"/>
    <w:rsid w:val="002A033E"/>
    <w:rsid w:val="002A0D85"/>
    <w:rsid w:val="002A0E53"/>
    <w:rsid w:val="002A22E5"/>
    <w:rsid w:val="002A2510"/>
    <w:rsid w:val="002A49F2"/>
    <w:rsid w:val="002A566C"/>
    <w:rsid w:val="002A646D"/>
    <w:rsid w:val="002A6B2D"/>
    <w:rsid w:val="002A754C"/>
    <w:rsid w:val="002A7FDA"/>
    <w:rsid w:val="002B070C"/>
    <w:rsid w:val="002B1E3A"/>
    <w:rsid w:val="002B3776"/>
    <w:rsid w:val="002B460C"/>
    <w:rsid w:val="002B5BDB"/>
    <w:rsid w:val="002B5FE7"/>
    <w:rsid w:val="002C05B9"/>
    <w:rsid w:val="002C139E"/>
    <w:rsid w:val="002C1893"/>
    <w:rsid w:val="002C4768"/>
    <w:rsid w:val="002C5057"/>
    <w:rsid w:val="002C678C"/>
    <w:rsid w:val="002C739C"/>
    <w:rsid w:val="002D1C84"/>
    <w:rsid w:val="002D28FA"/>
    <w:rsid w:val="002D2F35"/>
    <w:rsid w:val="002D31F8"/>
    <w:rsid w:val="002D3802"/>
    <w:rsid w:val="002D4B66"/>
    <w:rsid w:val="002D4F37"/>
    <w:rsid w:val="002D5529"/>
    <w:rsid w:val="002D5D51"/>
    <w:rsid w:val="002D5FA6"/>
    <w:rsid w:val="002D65D8"/>
    <w:rsid w:val="002D6FEA"/>
    <w:rsid w:val="002D7F24"/>
    <w:rsid w:val="002D7F78"/>
    <w:rsid w:val="002E03B3"/>
    <w:rsid w:val="002E0759"/>
    <w:rsid w:val="002E29B4"/>
    <w:rsid w:val="002E2FBD"/>
    <w:rsid w:val="002E4172"/>
    <w:rsid w:val="002E450D"/>
    <w:rsid w:val="002E4A4F"/>
    <w:rsid w:val="002E5152"/>
    <w:rsid w:val="002E52A6"/>
    <w:rsid w:val="002E6FA1"/>
    <w:rsid w:val="002E76F6"/>
    <w:rsid w:val="002E791A"/>
    <w:rsid w:val="002F093D"/>
    <w:rsid w:val="002F1032"/>
    <w:rsid w:val="002F1A38"/>
    <w:rsid w:val="002F1EFE"/>
    <w:rsid w:val="002F26C1"/>
    <w:rsid w:val="002F294D"/>
    <w:rsid w:val="002F2E67"/>
    <w:rsid w:val="002F30A9"/>
    <w:rsid w:val="002F4032"/>
    <w:rsid w:val="002F47D3"/>
    <w:rsid w:val="002F6726"/>
    <w:rsid w:val="00300766"/>
    <w:rsid w:val="0030271E"/>
    <w:rsid w:val="003036C3"/>
    <w:rsid w:val="0030390D"/>
    <w:rsid w:val="00303DC8"/>
    <w:rsid w:val="003051D8"/>
    <w:rsid w:val="00306195"/>
    <w:rsid w:val="0030741E"/>
    <w:rsid w:val="003078A6"/>
    <w:rsid w:val="00307F7F"/>
    <w:rsid w:val="00310BDD"/>
    <w:rsid w:val="00312C2D"/>
    <w:rsid w:val="00312CB6"/>
    <w:rsid w:val="0031316B"/>
    <w:rsid w:val="003140BD"/>
    <w:rsid w:val="0031450F"/>
    <w:rsid w:val="00314A2F"/>
    <w:rsid w:val="00314B28"/>
    <w:rsid w:val="00314C0F"/>
    <w:rsid w:val="003150FD"/>
    <w:rsid w:val="003151D1"/>
    <w:rsid w:val="003172BC"/>
    <w:rsid w:val="00317BAA"/>
    <w:rsid w:val="003209B7"/>
    <w:rsid w:val="00320B34"/>
    <w:rsid w:val="00322570"/>
    <w:rsid w:val="00322B4A"/>
    <w:rsid w:val="003234B5"/>
    <w:rsid w:val="0032365B"/>
    <w:rsid w:val="00323BA2"/>
    <w:rsid w:val="00324A67"/>
    <w:rsid w:val="00325D8A"/>
    <w:rsid w:val="00325FE5"/>
    <w:rsid w:val="0032757B"/>
    <w:rsid w:val="0032799B"/>
    <w:rsid w:val="00330821"/>
    <w:rsid w:val="003321DC"/>
    <w:rsid w:val="00332CB3"/>
    <w:rsid w:val="00334002"/>
    <w:rsid w:val="0033411A"/>
    <w:rsid w:val="00334FE7"/>
    <w:rsid w:val="003363D5"/>
    <w:rsid w:val="003363FA"/>
    <w:rsid w:val="00340845"/>
    <w:rsid w:val="00341630"/>
    <w:rsid w:val="003429E6"/>
    <w:rsid w:val="00342DDC"/>
    <w:rsid w:val="003437BD"/>
    <w:rsid w:val="00343820"/>
    <w:rsid w:val="0034451E"/>
    <w:rsid w:val="00344809"/>
    <w:rsid w:val="00345295"/>
    <w:rsid w:val="003459C1"/>
    <w:rsid w:val="0034645D"/>
    <w:rsid w:val="0034694A"/>
    <w:rsid w:val="00346C34"/>
    <w:rsid w:val="0035117C"/>
    <w:rsid w:val="0035254A"/>
    <w:rsid w:val="00353537"/>
    <w:rsid w:val="003538F1"/>
    <w:rsid w:val="00353B22"/>
    <w:rsid w:val="003546AB"/>
    <w:rsid w:val="00354E9E"/>
    <w:rsid w:val="003557B8"/>
    <w:rsid w:val="00355F6F"/>
    <w:rsid w:val="00357D57"/>
    <w:rsid w:val="003611E7"/>
    <w:rsid w:val="0036183B"/>
    <w:rsid w:val="00361F87"/>
    <w:rsid w:val="0036322C"/>
    <w:rsid w:val="00364463"/>
    <w:rsid w:val="00365470"/>
    <w:rsid w:val="00365845"/>
    <w:rsid w:val="00365ADB"/>
    <w:rsid w:val="00365C9B"/>
    <w:rsid w:val="00365E18"/>
    <w:rsid w:val="00367977"/>
    <w:rsid w:val="00367D92"/>
    <w:rsid w:val="00371193"/>
    <w:rsid w:val="00373C98"/>
    <w:rsid w:val="00375701"/>
    <w:rsid w:val="003762B0"/>
    <w:rsid w:val="00376529"/>
    <w:rsid w:val="003766CA"/>
    <w:rsid w:val="00376D1D"/>
    <w:rsid w:val="00376D9C"/>
    <w:rsid w:val="00376FBB"/>
    <w:rsid w:val="003776AA"/>
    <w:rsid w:val="003803D9"/>
    <w:rsid w:val="00380C61"/>
    <w:rsid w:val="00381D6D"/>
    <w:rsid w:val="00383544"/>
    <w:rsid w:val="00383866"/>
    <w:rsid w:val="00383D1B"/>
    <w:rsid w:val="003841B3"/>
    <w:rsid w:val="00384448"/>
    <w:rsid w:val="003848B2"/>
    <w:rsid w:val="0038734C"/>
    <w:rsid w:val="00387918"/>
    <w:rsid w:val="00387AD8"/>
    <w:rsid w:val="00390CFF"/>
    <w:rsid w:val="00390E47"/>
    <w:rsid w:val="00392ECA"/>
    <w:rsid w:val="003933F6"/>
    <w:rsid w:val="00393458"/>
    <w:rsid w:val="00393C6F"/>
    <w:rsid w:val="0039426A"/>
    <w:rsid w:val="0039445A"/>
    <w:rsid w:val="00394656"/>
    <w:rsid w:val="00395D62"/>
    <w:rsid w:val="003967FD"/>
    <w:rsid w:val="00396872"/>
    <w:rsid w:val="003976E1"/>
    <w:rsid w:val="00397DD3"/>
    <w:rsid w:val="003A0163"/>
    <w:rsid w:val="003A051F"/>
    <w:rsid w:val="003A3BD3"/>
    <w:rsid w:val="003A4166"/>
    <w:rsid w:val="003A4481"/>
    <w:rsid w:val="003A4C5F"/>
    <w:rsid w:val="003A52ED"/>
    <w:rsid w:val="003A5EEE"/>
    <w:rsid w:val="003A66C3"/>
    <w:rsid w:val="003A670E"/>
    <w:rsid w:val="003A697E"/>
    <w:rsid w:val="003A7633"/>
    <w:rsid w:val="003A7B1C"/>
    <w:rsid w:val="003A7F54"/>
    <w:rsid w:val="003A7F6E"/>
    <w:rsid w:val="003B1276"/>
    <w:rsid w:val="003B1523"/>
    <w:rsid w:val="003B33FC"/>
    <w:rsid w:val="003B34DC"/>
    <w:rsid w:val="003B5B25"/>
    <w:rsid w:val="003B7A2F"/>
    <w:rsid w:val="003C04C1"/>
    <w:rsid w:val="003C0936"/>
    <w:rsid w:val="003C0D10"/>
    <w:rsid w:val="003C26C7"/>
    <w:rsid w:val="003C351B"/>
    <w:rsid w:val="003C3DC4"/>
    <w:rsid w:val="003C5288"/>
    <w:rsid w:val="003C545B"/>
    <w:rsid w:val="003C56C6"/>
    <w:rsid w:val="003C69F8"/>
    <w:rsid w:val="003C74FD"/>
    <w:rsid w:val="003C765A"/>
    <w:rsid w:val="003D0301"/>
    <w:rsid w:val="003D071D"/>
    <w:rsid w:val="003D15FC"/>
    <w:rsid w:val="003D1662"/>
    <w:rsid w:val="003D181F"/>
    <w:rsid w:val="003D2D38"/>
    <w:rsid w:val="003D2F76"/>
    <w:rsid w:val="003D317E"/>
    <w:rsid w:val="003D3EF7"/>
    <w:rsid w:val="003D529E"/>
    <w:rsid w:val="003D52CB"/>
    <w:rsid w:val="003D596F"/>
    <w:rsid w:val="003D5D5D"/>
    <w:rsid w:val="003D6E37"/>
    <w:rsid w:val="003D6E9F"/>
    <w:rsid w:val="003D7063"/>
    <w:rsid w:val="003D74C7"/>
    <w:rsid w:val="003D7BA3"/>
    <w:rsid w:val="003D7ED7"/>
    <w:rsid w:val="003E1570"/>
    <w:rsid w:val="003E1AEA"/>
    <w:rsid w:val="003E2194"/>
    <w:rsid w:val="003E343E"/>
    <w:rsid w:val="003E35C4"/>
    <w:rsid w:val="003E4AE9"/>
    <w:rsid w:val="003E5500"/>
    <w:rsid w:val="003E588D"/>
    <w:rsid w:val="003E5BB2"/>
    <w:rsid w:val="003E637C"/>
    <w:rsid w:val="003E707E"/>
    <w:rsid w:val="003E730C"/>
    <w:rsid w:val="003E7698"/>
    <w:rsid w:val="003F0F4F"/>
    <w:rsid w:val="003F23B8"/>
    <w:rsid w:val="003F29E4"/>
    <w:rsid w:val="003F2EB9"/>
    <w:rsid w:val="003F36CD"/>
    <w:rsid w:val="003F51F1"/>
    <w:rsid w:val="003F54F4"/>
    <w:rsid w:val="003F57A7"/>
    <w:rsid w:val="003F6BD9"/>
    <w:rsid w:val="003F724B"/>
    <w:rsid w:val="00400BC4"/>
    <w:rsid w:val="00400F2C"/>
    <w:rsid w:val="00401977"/>
    <w:rsid w:val="00403118"/>
    <w:rsid w:val="00407772"/>
    <w:rsid w:val="00411A15"/>
    <w:rsid w:val="00411EF1"/>
    <w:rsid w:val="00412370"/>
    <w:rsid w:val="0041242B"/>
    <w:rsid w:val="00412E6C"/>
    <w:rsid w:val="004133E2"/>
    <w:rsid w:val="00414A21"/>
    <w:rsid w:val="00417535"/>
    <w:rsid w:val="00420FF9"/>
    <w:rsid w:val="00421855"/>
    <w:rsid w:val="004218ED"/>
    <w:rsid w:val="004219AE"/>
    <w:rsid w:val="00421B06"/>
    <w:rsid w:val="00422622"/>
    <w:rsid w:val="004253A6"/>
    <w:rsid w:val="0042795E"/>
    <w:rsid w:val="00427BAA"/>
    <w:rsid w:val="00430176"/>
    <w:rsid w:val="00430DC7"/>
    <w:rsid w:val="00431387"/>
    <w:rsid w:val="004316AF"/>
    <w:rsid w:val="00431B63"/>
    <w:rsid w:val="00431D12"/>
    <w:rsid w:val="00433952"/>
    <w:rsid w:val="004346DA"/>
    <w:rsid w:val="00434BEE"/>
    <w:rsid w:val="0043554B"/>
    <w:rsid w:val="00436DEA"/>
    <w:rsid w:val="004376D3"/>
    <w:rsid w:val="00437736"/>
    <w:rsid w:val="00437854"/>
    <w:rsid w:val="0044059F"/>
    <w:rsid w:val="00440C27"/>
    <w:rsid w:val="00441702"/>
    <w:rsid w:val="00441721"/>
    <w:rsid w:val="004423C8"/>
    <w:rsid w:val="0044424D"/>
    <w:rsid w:val="00444827"/>
    <w:rsid w:val="00445902"/>
    <w:rsid w:val="00445D3C"/>
    <w:rsid w:val="00445F93"/>
    <w:rsid w:val="0044666B"/>
    <w:rsid w:val="00446CB9"/>
    <w:rsid w:val="00447B23"/>
    <w:rsid w:val="00450C04"/>
    <w:rsid w:val="00451B66"/>
    <w:rsid w:val="004528B6"/>
    <w:rsid w:val="00452A5C"/>
    <w:rsid w:val="00452D53"/>
    <w:rsid w:val="00452FFE"/>
    <w:rsid w:val="00453021"/>
    <w:rsid w:val="00456FE5"/>
    <w:rsid w:val="0046009E"/>
    <w:rsid w:val="004606FB"/>
    <w:rsid w:val="004611FE"/>
    <w:rsid w:val="00461B1B"/>
    <w:rsid w:val="00461FE2"/>
    <w:rsid w:val="00462060"/>
    <w:rsid w:val="004620B8"/>
    <w:rsid w:val="004623FF"/>
    <w:rsid w:val="00462999"/>
    <w:rsid w:val="00462D74"/>
    <w:rsid w:val="004653F8"/>
    <w:rsid w:val="00466C6F"/>
    <w:rsid w:val="004705B1"/>
    <w:rsid w:val="00471F7F"/>
    <w:rsid w:val="0047387A"/>
    <w:rsid w:val="00473CA8"/>
    <w:rsid w:val="00474220"/>
    <w:rsid w:val="004742C1"/>
    <w:rsid w:val="00474CD0"/>
    <w:rsid w:val="00475147"/>
    <w:rsid w:val="0047517B"/>
    <w:rsid w:val="00475A66"/>
    <w:rsid w:val="00475D23"/>
    <w:rsid w:val="004765D5"/>
    <w:rsid w:val="004766A9"/>
    <w:rsid w:val="004810CB"/>
    <w:rsid w:val="0048276C"/>
    <w:rsid w:val="00482CA4"/>
    <w:rsid w:val="00482F93"/>
    <w:rsid w:val="0048394E"/>
    <w:rsid w:val="00483C72"/>
    <w:rsid w:val="004840F0"/>
    <w:rsid w:val="00484293"/>
    <w:rsid w:val="004843B4"/>
    <w:rsid w:val="00484994"/>
    <w:rsid w:val="00485EAB"/>
    <w:rsid w:val="00485EB4"/>
    <w:rsid w:val="00486180"/>
    <w:rsid w:val="004865D6"/>
    <w:rsid w:val="00486AF2"/>
    <w:rsid w:val="00486E39"/>
    <w:rsid w:val="00486F43"/>
    <w:rsid w:val="00487406"/>
    <w:rsid w:val="00491D32"/>
    <w:rsid w:val="00492067"/>
    <w:rsid w:val="004929FE"/>
    <w:rsid w:val="00492C98"/>
    <w:rsid w:val="00492CB8"/>
    <w:rsid w:val="00493085"/>
    <w:rsid w:val="00493590"/>
    <w:rsid w:val="00493DF8"/>
    <w:rsid w:val="00494A8E"/>
    <w:rsid w:val="00494C86"/>
    <w:rsid w:val="0049635B"/>
    <w:rsid w:val="0049681C"/>
    <w:rsid w:val="00496E98"/>
    <w:rsid w:val="00496FFA"/>
    <w:rsid w:val="004A01E4"/>
    <w:rsid w:val="004A056D"/>
    <w:rsid w:val="004A0701"/>
    <w:rsid w:val="004A14CF"/>
    <w:rsid w:val="004A1B0B"/>
    <w:rsid w:val="004A2772"/>
    <w:rsid w:val="004A31AC"/>
    <w:rsid w:val="004A40EA"/>
    <w:rsid w:val="004A4377"/>
    <w:rsid w:val="004A6A17"/>
    <w:rsid w:val="004A6ECC"/>
    <w:rsid w:val="004A7E2B"/>
    <w:rsid w:val="004B056B"/>
    <w:rsid w:val="004B06B6"/>
    <w:rsid w:val="004B0F74"/>
    <w:rsid w:val="004B1EEE"/>
    <w:rsid w:val="004B2E6A"/>
    <w:rsid w:val="004B499E"/>
    <w:rsid w:val="004B56ED"/>
    <w:rsid w:val="004B588C"/>
    <w:rsid w:val="004B5F64"/>
    <w:rsid w:val="004B5FEA"/>
    <w:rsid w:val="004B6160"/>
    <w:rsid w:val="004B6F65"/>
    <w:rsid w:val="004C20CB"/>
    <w:rsid w:val="004C27E1"/>
    <w:rsid w:val="004C2BBC"/>
    <w:rsid w:val="004C3539"/>
    <w:rsid w:val="004C4343"/>
    <w:rsid w:val="004C4FD5"/>
    <w:rsid w:val="004C503E"/>
    <w:rsid w:val="004C68CC"/>
    <w:rsid w:val="004C6BCE"/>
    <w:rsid w:val="004D0F8D"/>
    <w:rsid w:val="004D110E"/>
    <w:rsid w:val="004D16E0"/>
    <w:rsid w:val="004D2E86"/>
    <w:rsid w:val="004D3019"/>
    <w:rsid w:val="004D3502"/>
    <w:rsid w:val="004D455B"/>
    <w:rsid w:val="004D4A1C"/>
    <w:rsid w:val="004D52AE"/>
    <w:rsid w:val="004D602E"/>
    <w:rsid w:val="004D6E31"/>
    <w:rsid w:val="004D7586"/>
    <w:rsid w:val="004D7684"/>
    <w:rsid w:val="004D7E21"/>
    <w:rsid w:val="004E025D"/>
    <w:rsid w:val="004E042C"/>
    <w:rsid w:val="004E0820"/>
    <w:rsid w:val="004E12E1"/>
    <w:rsid w:val="004E3591"/>
    <w:rsid w:val="004E3956"/>
    <w:rsid w:val="004E3C53"/>
    <w:rsid w:val="004E4878"/>
    <w:rsid w:val="004E4B94"/>
    <w:rsid w:val="004E64F6"/>
    <w:rsid w:val="004E6C4E"/>
    <w:rsid w:val="004E7D6A"/>
    <w:rsid w:val="004F116B"/>
    <w:rsid w:val="004F2050"/>
    <w:rsid w:val="004F2D36"/>
    <w:rsid w:val="004F3149"/>
    <w:rsid w:val="004F3260"/>
    <w:rsid w:val="004F396D"/>
    <w:rsid w:val="004F41EF"/>
    <w:rsid w:val="004F43B0"/>
    <w:rsid w:val="004F4F32"/>
    <w:rsid w:val="004F5177"/>
    <w:rsid w:val="004F5994"/>
    <w:rsid w:val="004F5FBF"/>
    <w:rsid w:val="004F75A0"/>
    <w:rsid w:val="004F7B34"/>
    <w:rsid w:val="00500DC4"/>
    <w:rsid w:val="00501097"/>
    <w:rsid w:val="00501EE1"/>
    <w:rsid w:val="00502AE4"/>
    <w:rsid w:val="005038A1"/>
    <w:rsid w:val="00504379"/>
    <w:rsid w:val="0050643B"/>
    <w:rsid w:val="00506E8F"/>
    <w:rsid w:val="005078F8"/>
    <w:rsid w:val="005079D7"/>
    <w:rsid w:val="00510147"/>
    <w:rsid w:val="00510224"/>
    <w:rsid w:val="005107BB"/>
    <w:rsid w:val="005109E8"/>
    <w:rsid w:val="00511D54"/>
    <w:rsid w:val="00511E1B"/>
    <w:rsid w:val="005120A0"/>
    <w:rsid w:val="005126DB"/>
    <w:rsid w:val="00513517"/>
    <w:rsid w:val="00514CCF"/>
    <w:rsid w:val="00516A59"/>
    <w:rsid w:val="00520767"/>
    <w:rsid w:val="00520E3D"/>
    <w:rsid w:val="005229CF"/>
    <w:rsid w:val="005233A5"/>
    <w:rsid w:val="00523EE3"/>
    <w:rsid w:val="005270F1"/>
    <w:rsid w:val="0052746F"/>
    <w:rsid w:val="005275F2"/>
    <w:rsid w:val="00527BF1"/>
    <w:rsid w:val="00527C51"/>
    <w:rsid w:val="00527F41"/>
    <w:rsid w:val="00531C88"/>
    <w:rsid w:val="00531C91"/>
    <w:rsid w:val="00532198"/>
    <w:rsid w:val="0053473D"/>
    <w:rsid w:val="00534B90"/>
    <w:rsid w:val="00535DEF"/>
    <w:rsid w:val="00536C89"/>
    <w:rsid w:val="005402B4"/>
    <w:rsid w:val="00540309"/>
    <w:rsid w:val="005404C2"/>
    <w:rsid w:val="00540B88"/>
    <w:rsid w:val="00540E07"/>
    <w:rsid w:val="00542E32"/>
    <w:rsid w:val="00542FC8"/>
    <w:rsid w:val="00543DDA"/>
    <w:rsid w:val="00544D49"/>
    <w:rsid w:val="005452B2"/>
    <w:rsid w:val="00545CFE"/>
    <w:rsid w:val="00545DE6"/>
    <w:rsid w:val="005473FF"/>
    <w:rsid w:val="0054748E"/>
    <w:rsid w:val="00547588"/>
    <w:rsid w:val="005479F5"/>
    <w:rsid w:val="00547C4A"/>
    <w:rsid w:val="00550292"/>
    <w:rsid w:val="00550520"/>
    <w:rsid w:val="0055122D"/>
    <w:rsid w:val="00552302"/>
    <w:rsid w:val="0055391E"/>
    <w:rsid w:val="00553B33"/>
    <w:rsid w:val="00553DCC"/>
    <w:rsid w:val="00555177"/>
    <w:rsid w:val="00555956"/>
    <w:rsid w:val="005559D9"/>
    <w:rsid w:val="00556CE0"/>
    <w:rsid w:val="00557396"/>
    <w:rsid w:val="005600DE"/>
    <w:rsid w:val="00562D4B"/>
    <w:rsid w:val="005634F0"/>
    <w:rsid w:val="00563574"/>
    <w:rsid w:val="00563ED6"/>
    <w:rsid w:val="00563F08"/>
    <w:rsid w:val="00564638"/>
    <w:rsid w:val="00564739"/>
    <w:rsid w:val="0056668B"/>
    <w:rsid w:val="005671A6"/>
    <w:rsid w:val="00567A37"/>
    <w:rsid w:val="00567D5C"/>
    <w:rsid w:val="00570ED8"/>
    <w:rsid w:val="0057112A"/>
    <w:rsid w:val="005711F3"/>
    <w:rsid w:val="00571AD3"/>
    <w:rsid w:val="00571D8B"/>
    <w:rsid w:val="0057214F"/>
    <w:rsid w:val="00572FA4"/>
    <w:rsid w:val="005732A0"/>
    <w:rsid w:val="005732E8"/>
    <w:rsid w:val="0057343E"/>
    <w:rsid w:val="00574A97"/>
    <w:rsid w:val="00576D78"/>
    <w:rsid w:val="00577C26"/>
    <w:rsid w:val="00577CF4"/>
    <w:rsid w:val="00580AB3"/>
    <w:rsid w:val="0058141B"/>
    <w:rsid w:val="0058171F"/>
    <w:rsid w:val="005825BC"/>
    <w:rsid w:val="00582E7D"/>
    <w:rsid w:val="00584379"/>
    <w:rsid w:val="00584974"/>
    <w:rsid w:val="00584C1A"/>
    <w:rsid w:val="0058571A"/>
    <w:rsid w:val="00587620"/>
    <w:rsid w:val="005877AF"/>
    <w:rsid w:val="005913BD"/>
    <w:rsid w:val="00592503"/>
    <w:rsid w:val="00592936"/>
    <w:rsid w:val="00592EA6"/>
    <w:rsid w:val="005935A5"/>
    <w:rsid w:val="005953DF"/>
    <w:rsid w:val="0059541F"/>
    <w:rsid w:val="00595B22"/>
    <w:rsid w:val="0059602A"/>
    <w:rsid w:val="0059629F"/>
    <w:rsid w:val="00596490"/>
    <w:rsid w:val="00596730"/>
    <w:rsid w:val="00596CA5"/>
    <w:rsid w:val="00597781"/>
    <w:rsid w:val="005A040E"/>
    <w:rsid w:val="005A06D0"/>
    <w:rsid w:val="005A260B"/>
    <w:rsid w:val="005A266C"/>
    <w:rsid w:val="005A27A6"/>
    <w:rsid w:val="005A29FD"/>
    <w:rsid w:val="005A42C2"/>
    <w:rsid w:val="005A4480"/>
    <w:rsid w:val="005A480E"/>
    <w:rsid w:val="005A49BF"/>
    <w:rsid w:val="005A57D2"/>
    <w:rsid w:val="005A5B6D"/>
    <w:rsid w:val="005A5B87"/>
    <w:rsid w:val="005A62CB"/>
    <w:rsid w:val="005A7362"/>
    <w:rsid w:val="005A77D9"/>
    <w:rsid w:val="005B0CCA"/>
    <w:rsid w:val="005B10A8"/>
    <w:rsid w:val="005B10BA"/>
    <w:rsid w:val="005B2657"/>
    <w:rsid w:val="005B2AD2"/>
    <w:rsid w:val="005B3B9D"/>
    <w:rsid w:val="005B3D0D"/>
    <w:rsid w:val="005B415E"/>
    <w:rsid w:val="005B5117"/>
    <w:rsid w:val="005B5B15"/>
    <w:rsid w:val="005B5C2E"/>
    <w:rsid w:val="005B5EFA"/>
    <w:rsid w:val="005B6283"/>
    <w:rsid w:val="005B670A"/>
    <w:rsid w:val="005B745D"/>
    <w:rsid w:val="005B7B5E"/>
    <w:rsid w:val="005B7B6C"/>
    <w:rsid w:val="005C037F"/>
    <w:rsid w:val="005C1E29"/>
    <w:rsid w:val="005C2064"/>
    <w:rsid w:val="005C2CD4"/>
    <w:rsid w:val="005C3713"/>
    <w:rsid w:val="005C4491"/>
    <w:rsid w:val="005C46E2"/>
    <w:rsid w:val="005C4C99"/>
    <w:rsid w:val="005C5B74"/>
    <w:rsid w:val="005C6A79"/>
    <w:rsid w:val="005D00FF"/>
    <w:rsid w:val="005D1DB3"/>
    <w:rsid w:val="005D2248"/>
    <w:rsid w:val="005D43CA"/>
    <w:rsid w:val="005D47C9"/>
    <w:rsid w:val="005D52F6"/>
    <w:rsid w:val="005D6E12"/>
    <w:rsid w:val="005D709E"/>
    <w:rsid w:val="005E09E2"/>
    <w:rsid w:val="005E1199"/>
    <w:rsid w:val="005E1945"/>
    <w:rsid w:val="005E4192"/>
    <w:rsid w:val="005E4A42"/>
    <w:rsid w:val="005E5C88"/>
    <w:rsid w:val="005E7A1F"/>
    <w:rsid w:val="005F03C6"/>
    <w:rsid w:val="005F0D5C"/>
    <w:rsid w:val="005F19EC"/>
    <w:rsid w:val="005F1E84"/>
    <w:rsid w:val="005F2231"/>
    <w:rsid w:val="005F2535"/>
    <w:rsid w:val="005F2928"/>
    <w:rsid w:val="005F2E5D"/>
    <w:rsid w:val="005F2F6E"/>
    <w:rsid w:val="005F47AA"/>
    <w:rsid w:val="005F4C8A"/>
    <w:rsid w:val="005F4D3A"/>
    <w:rsid w:val="005F4D40"/>
    <w:rsid w:val="005F50B6"/>
    <w:rsid w:val="005F5454"/>
    <w:rsid w:val="005F6B86"/>
    <w:rsid w:val="00600014"/>
    <w:rsid w:val="006032D8"/>
    <w:rsid w:val="00604046"/>
    <w:rsid w:val="00604A5F"/>
    <w:rsid w:val="006056F9"/>
    <w:rsid w:val="00605EE1"/>
    <w:rsid w:val="006060D2"/>
    <w:rsid w:val="00606428"/>
    <w:rsid w:val="0060646C"/>
    <w:rsid w:val="0061093F"/>
    <w:rsid w:val="006109F1"/>
    <w:rsid w:val="0061101A"/>
    <w:rsid w:val="00611094"/>
    <w:rsid w:val="00611128"/>
    <w:rsid w:val="0061149B"/>
    <w:rsid w:val="00612033"/>
    <w:rsid w:val="0061214A"/>
    <w:rsid w:val="00612208"/>
    <w:rsid w:val="006125EF"/>
    <w:rsid w:val="006128F9"/>
    <w:rsid w:val="006131FF"/>
    <w:rsid w:val="006136AF"/>
    <w:rsid w:val="00613BCB"/>
    <w:rsid w:val="00614A43"/>
    <w:rsid w:val="00614D3A"/>
    <w:rsid w:val="00615C44"/>
    <w:rsid w:val="006179C6"/>
    <w:rsid w:val="006200E5"/>
    <w:rsid w:val="00620411"/>
    <w:rsid w:val="00620EEC"/>
    <w:rsid w:val="0062182F"/>
    <w:rsid w:val="00621F6B"/>
    <w:rsid w:val="006225C3"/>
    <w:rsid w:val="00623337"/>
    <w:rsid w:val="006233E1"/>
    <w:rsid w:val="00623B25"/>
    <w:rsid w:val="00624E1C"/>
    <w:rsid w:val="00624E8B"/>
    <w:rsid w:val="00625AFF"/>
    <w:rsid w:val="00625C3D"/>
    <w:rsid w:val="00625DA4"/>
    <w:rsid w:val="00626FD0"/>
    <w:rsid w:val="00627B91"/>
    <w:rsid w:val="0063194B"/>
    <w:rsid w:val="006343F2"/>
    <w:rsid w:val="00635378"/>
    <w:rsid w:val="00635E87"/>
    <w:rsid w:val="006365B1"/>
    <w:rsid w:val="00637285"/>
    <w:rsid w:val="006373B3"/>
    <w:rsid w:val="0064020F"/>
    <w:rsid w:val="00640FFF"/>
    <w:rsid w:val="006438BE"/>
    <w:rsid w:val="00643B52"/>
    <w:rsid w:val="0064404A"/>
    <w:rsid w:val="00644284"/>
    <w:rsid w:val="00644349"/>
    <w:rsid w:val="00644588"/>
    <w:rsid w:val="00645632"/>
    <w:rsid w:val="00647ED9"/>
    <w:rsid w:val="006523A2"/>
    <w:rsid w:val="006535A3"/>
    <w:rsid w:val="00653E44"/>
    <w:rsid w:val="00653FE3"/>
    <w:rsid w:val="006541CE"/>
    <w:rsid w:val="0065633F"/>
    <w:rsid w:val="0065658C"/>
    <w:rsid w:val="00656D48"/>
    <w:rsid w:val="006600FC"/>
    <w:rsid w:val="00660B8E"/>
    <w:rsid w:val="00661DDA"/>
    <w:rsid w:val="00661E8B"/>
    <w:rsid w:val="00662B04"/>
    <w:rsid w:val="00662CBE"/>
    <w:rsid w:val="00663F60"/>
    <w:rsid w:val="006640BD"/>
    <w:rsid w:val="00664483"/>
    <w:rsid w:val="00665034"/>
    <w:rsid w:val="0066557E"/>
    <w:rsid w:val="00665CD5"/>
    <w:rsid w:val="00666980"/>
    <w:rsid w:val="00667A63"/>
    <w:rsid w:val="00667FB0"/>
    <w:rsid w:val="00670929"/>
    <w:rsid w:val="00670B5E"/>
    <w:rsid w:val="006713A9"/>
    <w:rsid w:val="00671F96"/>
    <w:rsid w:val="0067422A"/>
    <w:rsid w:val="00674799"/>
    <w:rsid w:val="00674B2B"/>
    <w:rsid w:val="00680150"/>
    <w:rsid w:val="006801B7"/>
    <w:rsid w:val="00680216"/>
    <w:rsid w:val="00681F9C"/>
    <w:rsid w:val="00682250"/>
    <w:rsid w:val="00682E1C"/>
    <w:rsid w:val="0068352B"/>
    <w:rsid w:val="00684A3A"/>
    <w:rsid w:val="00684A50"/>
    <w:rsid w:val="00684C82"/>
    <w:rsid w:val="006851D1"/>
    <w:rsid w:val="00685429"/>
    <w:rsid w:val="006857A2"/>
    <w:rsid w:val="00685D19"/>
    <w:rsid w:val="006861AB"/>
    <w:rsid w:val="006872AA"/>
    <w:rsid w:val="0069053C"/>
    <w:rsid w:val="00690975"/>
    <w:rsid w:val="00691861"/>
    <w:rsid w:val="00692FC1"/>
    <w:rsid w:val="006939F1"/>
    <w:rsid w:val="00693A44"/>
    <w:rsid w:val="0069541B"/>
    <w:rsid w:val="006967DC"/>
    <w:rsid w:val="0069685C"/>
    <w:rsid w:val="00697C1D"/>
    <w:rsid w:val="006A0A32"/>
    <w:rsid w:val="006A0E6B"/>
    <w:rsid w:val="006A17FE"/>
    <w:rsid w:val="006A1D43"/>
    <w:rsid w:val="006A3BAF"/>
    <w:rsid w:val="006A4E1C"/>
    <w:rsid w:val="006A52EB"/>
    <w:rsid w:val="006A5DF9"/>
    <w:rsid w:val="006A6E41"/>
    <w:rsid w:val="006A7339"/>
    <w:rsid w:val="006B0F22"/>
    <w:rsid w:val="006B2B28"/>
    <w:rsid w:val="006B3B03"/>
    <w:rsid w:val="006B4DB7"/>
    <w:rsid w:val="006B51F6"/>
    <w:rsid w:val="006B5462"/>
    <w:rsid w:val="006B5D81"/>
    <w:rsid w:val="006B60A9"/>
    <w:rsid w:val="006B6838"/>
    <w:rsid w:val="006B69A7"/>
    <w:rsid w:val="006B6D91"/>
    <w:rsid w:val="006B73D5"/>
    <w:rsid w:val="006B7762"/>
    <w:rsid w:val="006B7B1F"/>
    <w:rsid w:val="006C046F"/>
    <w:rsid w:val="006C0D79"/>
    <w:rsid w:val="006C0EBF"/>
    <w:rsid w:val="006C21A8"/>
    <w:rsid w:val="006C3547"/>
    <w:rsid w:val="006C39DB"/>
    <w:rsid w:val="006C3D06"/>
    <w:rsid w:val="006C41BA"/>
    <w:rsid w:val="006C60B0"/>
    <w:rsid w:val="006C773B"/>
    <w:rsid w:val="006C7BC3"/>
    <w:rsid w:val="006C7DE0"/>
    <w:rsid w:val="006D07AB"/>
    <w:rsid w:val="006D2A6A"/>
    <w:rsid w:val="006D2B6A"/>
    <w:rsid w:val="006D2D8C"/>
    <w:rsid w:val="006D38D8"/>
    <w:rsid w:val="006D4787"/>
    <w:rsid w:val="006D4B4C"/>
    <w:rsid w:val="006D5AC8"/>
    <w:rsid w:val="006D6432"/>
    <w:rsid w:val="006D6718"/>
    <w:rsid w:val="006D6E46"/>
    <w:rsid w:val="006D781C"/>
    <w:rsid w:val="006E0D4F"/>
    <w:rsid w:val="006E1072"/>
    <w:rsid w:val="006E11EA"/>
    <w:rsid w:val="006E1C17"/>
    <w:rsid w:val="006E1CB1"/>
    <w:rsid w:val="006E2B02"/>
    <w:rsid w:val="006E2E10"/>
    <w:rsid w:val="006E46AC"/>
    <w:rsid w:val="006E4CE9"/>
    <w:rsid w:val="006E6898"/>
    <w:rsid w:val="006E7975"/>
    <w:rsid w:val="006F0B27"/>
    <w:rsid w:val="006F152F"/>
    <w:rsid w:val="006F202A"/>
    <w:rsid w:val="006F2F38"/>
    <w:rsid w:val="006F3327"/>
    <w:rsid w:val="006F5DC9"/>
    <w:rsid w:val="006F5F5D"/>
    <w:rsid w:val="006F7410"/>
    <w:rsid w:val="00701A06"/>
    <w:rsid w:val="00701B1B"/>
    <w:rsid w:val="00702CC5"/>
    <w:rsid w:val="00703B44"/>
    <w:rsid w:val="00704644"/>
    <w:rsid w:val="00706B79"/>
    <w:rsid w:val="00706B92"/>
    <w:rsid w:val="00707B25"/>
    <w:rsid w:val="00710598"/>
    <w:rsid w:val="00710922"/>
    <w:rsid w:val="007116DC"/>
    <w:rsid w:val="00713327"/>
    <w:rsid w:val="00713B5B"/>
    <w:rsid w:val="00714C6C"/>
    <w:rsid w:val="0071535D"/>
    <w:rsid w:val="007153CC"/>
    <w:rsid w:val="00715669"/>
    <w:rsid w:val="00715CCE"/>
    <w:rsid w:val="007161C8"/>
    <w:rsid w:val="0071665A"/>
    <w:rsid w:val="007171C7"/>
    <w:rsid w:val="00717778"/>
    <w:rsid w:val="00720335"/>
    <w:rsid w:val="00720C0C"/>
    <w:rsid w:val="007214E1"/>
    <w:rsid w:val="00721C3F"/>
    <w:rsid w:val="00722FB6"/>
    <w:rsid w:val="0072485E"/>
    <w:rsid w:val="00724CCA"/>
    <w:rsid w:val="007269CB"/>
    <w:rsid w:val="00726A3B"/>
    <w:rsid w:val="00726B07"/>
    <w:rsid w:val="00726D83"/>
    <w:rsid w:val="00727293"/>
    <w:rsid w:val="0072753C"/>
    <w:rsid w:val="00727A96"/>
    <w:rsid w:val="0073034B"/>
    <w:rsid w:val="0073282A"/>
    <w:rsid w:val="00732E21"/>
    <w:rsid w:val="0073395B"/>
    <w:rsid w:val="00734EE2"/>
    <w:rsid w:val="00735D87"/>
    <w:rsid w:val="00735DC2"/>
    <w:rsid w:val="00736076"/>
    <w:rsid w:val="00736216"/>
    <w:rsid w:val="00736A79"/>
    <w:rsid w:val="00736EA6"/>
    <w:rsid w:val="007372CC"/>
    <w:rsid w:val="00737674"/>
    <w:rsid w:val="00737EC9"/>
    <w:rsid w:val="00740401"/>
    <w:rsid w:val="007408A1"/>
    <w:rsid w:val="00740CE0"/>
    <w:rsid w:val="00740DBA"/>
    <w:rsid w:val="00741017"/>
    <w:rsid w:val="00743C0B"/>
    <w:rsid w:val="00743F88"/>
    <w:rsid w:val="00743FE9"/>
    <w:rsid w:val="007445F6"/>
    <w:rsid w:val="0074468D"/>
    <w:rsid w:val="00744815"/>
    <w:rsid w:val="00744CAF"/>
    <w:rsid w:val="00745765"/>
    <w:rsid w:val="0074633E"/>
    <w:rsid w:val="0074755F"/>
    <w:rsid w:val="00747867"/>
    <w:rsid w:val="0075471F"/>
    <w:rsid w:val="00754993"/>
    <w:rsid w:val="00754B89"/>
    <w:rsid w:val="00756940"/>
    <w:rsid w:val="00757D49"/>
    <w:rsid w:val="00757F10"/>
    <w:rsid w:val="00763476"/>
    <w:rsid w:val="0076354A"/>
    <w:rsid w:val="007640ED"/>
    <w:rsid w:val="00764F6E"/>
    <w:rsid w:val="00765414"/>
    <w:rsid w:val="0076740F"/>
    <w:rsid w:val="00767C52"/>
    <w:rsid w:val="007705A3"/>
    <w:rsid w:val="00770DDB"/>
    <w:rsid w:val="00771345"/>
    <w:rsid w:val="00771A86"/>
    <w:rsid w:val="007721D8"/>
    <w:rsid w:val="007727B0"/>
    <w:rsid w:val="00773EFC"/>
    <w:rsid w:val="0077426A"/>
    <w:rsid w:val="00776B3D"/>
    <w:rsid w:val="007779A2"/>
    <w:rsid w:val="00777C73"/>
    <w:rsid w:val="00780EC2"/>
    <w:rsid w:val="007812AA"/>
    <w:rsid w:val="00781E7F"/>
    <w:rsid w:val="007820C8"/>
    <w:rsid w:val="00782C9B"/>
    <w:rsid w:val="00783349"/>
    <w:rsid w:val="0078448A"/>
    <w:rsid w:val="00784936"/>
    <w:rsid w:val="00785DEF"/>
    <w:rsid w:val="00786B16"/>
    <w:rsid w:val="00786C8A"/>
    <w:rsid w:val="00786CF9"/>
    <w:rsid w:val="0078730E"/>
    <w:rsid w:val="007873F7"/>
    <w:rsid w:val="00790240"/>
    <w:rsid w:val="00792731"/>
    <w:rsid w:val="00792868"/>
    <w:rsid w:val="00792A2C"/>
    <w:rsid w:val="007930DB"/>
    <w:rsid w:val="00793805"/>
    <w:rsid w:val="00794E6E"/>
    <w:rsid w:val="007963EC"/>
    <w:rsid w:val="00796E49"/>
    <w:rsid w:val="00797C77"/>
    <w:rsid w:val="007A0411"/>
    <w:rsid w:val="007A0907"/>
    <w:rsid w:val="007A1586"/>
    <w:rsid w:val="007A19E3"/>
    <w:rsid w:val="007A1B9B"/>
    <w:rsid w:val="007A3100"/>
    <w:rsid w:val="007A3556"/>
    <w:rsid w:val="007A4E93"/>
    <w:rsid w:val="007A5284"/>
    <w:rsid w:val="007A5896"/>
    <w:rsid w:val="007A5FA0"/>
    <w:rsid w:val="007A671A"/>
    <w:rsid w:val="007A693D"/>
    <w:rsid w:val="007A78E4"/>
    <w:rsid w:val="007A7A88"/>
    <w:rsid w:val="007B017D"/>
    <w:rsid w:val="007B13D9"/>
    <w:rsid w:val="007B1932"/>
    <w:rsid w:val="007B24AF"/>
    <w:rsid w:val="007B259D"/>
    <w:rsid w:val="007B2C63"/>
    <w:rsid w:val="007B30B3"/>
    <w:rsid w:val="007B4B23"/>
    <w:rsid w:val="007B4C74"/>
    <w:rsid w:val="007B6092"/>
    <w:rsid w:val="007B6D2D"/>
    <w:rsid w:val="007B779D"/>
    <w:rsid w:val="007C02EE"/>
    <w:rsid w:val="007C05CF"/>
    <w:rsid w:val="007C23E5"/>
    <w:rsid w:val="007C25B1"/>
    <w:rsid w:val="007C2A4A"/>
    <w:rsid w:val="007C332B"/>
    <w:rsid w:val="007C340E"/>
    <w:rsid w:val="007C3AEF"/>
    <w:rsid w:val="007C3DCA"/>
    <w:rsid w:val="007C5A68"/>
    <w:rsid w:val="007C6C97"/>
    <w:rsid w:val="007C743E"/>
    <w:rsid w:val="007C7932"/>
    <w:rsid w:val="007D23D9"/>
    <w:rsid w:val="007D3714"/>
    <w:rsid w:val="007D4F1D"/>
    <w:rsid w:val="007D5167"/>
    <w:rsid w:val="007D54A7"/>
    <w:rsid w:val="007D56E5"/>
    <w:rsid w:val="007D6495"/>
    <w:rsid w:val="007D64F1"/>
    <w:rsid w:val="007D7117"/>
    <w:rsid w:val="007D7302"/>
    <w:rsid w:val="007E0C68"/>
    <w:rsid w:val="007E1B88"/>
    <w:rsid w:val="007E2613"/>
    <w:rsid w:val="007E3A85"/>
    <w:rsid w:val="007E3E48"/>
    <w:rsid w:val="007E4D1C"/>
    <w:rsid w:val="007E6921"/>
    <w:rsid w:val="007E6B3E"/>
    <w:rsid w:val="007E71E5"/>
    <w:rsid w:val="007E77F8"/>
    <w:rsid w:val="007E7DC9"/>
    <w:rsid w:val="007E7EF2"/>
    <w:rsid w:val="007E7F71"/>
    <w:rsid w:val="007F02EC"/>
    <w:rsid w:val="007F13F7"/>
    <w:rsid w:val="007F1ABE"/>
    <w:rsid w:val="007F21E2"/>
    <w:rsid w:val="007F26E6"/>
    <w:rsid w:val="007F2C92"/>
    <w:rsid w:val="007F3CF6"/>
    <w:rsid w:val="007F4145"/>
    <w:rsid w:val="007F447F"/>
    <w:rsid w:val="007F46F2"/>
    <w:rsid w:val="007F5991"/>
    <w:rsid w:val="007F62FE"/>
    <w:rsid w:val="007F6F42"/>
    <w:rsid w:val="00800B27"/>
    <w:rsid w:val="00801A13"/>
    <w:rsid w:val="00801BF7"/>
    <w:rsid w:val="00801E97"/>
    <w:rsid w:val="00802D48"/>
    <w:rsid w:val="0080315A"/>
    <w:rsid w:val="00803285"/>
    <w:rsid w:val="0080364C"/>
    <w:rsid w:val="0080402F"/>
    <w:rsid w:val="00805AE6"/>
    <w:rsid w:val="0080675A"/>
    <w:rsid w:val="00807B79"/>
    <w:rsid w:val="008103D7"/>
    <w:rsid w:val="00810692"/>
    <w:rsid w:val="00810FFD"/>
    <w:rsid w:val="00811411"/>
    <w:rsid w:val="00811D1B"/>
    <w:rsid w:val="008121BE"/>
    <w:rsid w:val="0081454F"/>
    <w:rsid w:val="008146D9"/>
    <w:rsid w:val="00814C47"/>
    <w:rsid w:val="00815477"/>
    <w:rsid w:val="008160F9"/>
    <w:rsid w:val="00816102"/>
    <w:rsid w:val="008164DA"/>
    <w:rsid w:val="00816BFE"/>
    <w:rsid w:val="008178D6"/>
    <w:rsid w:val="008179A8"/>
    <w:rsid w:val="00817BAA"/>
    <w:rsid w:val="00820209"/>
    <w:rsid w:val="00820692"/>
    <w:rsid w:val="00821788"/>
    <w:rsid w:val="008218F5"/>
    <w:rsid w:val="00821E62"/>
    <w:rsid w:val="00822F26"/>
    <w:rsid w:val="0082340B"/>
    <w:rsid w:val="00823B34"/>
    <w:rsid w:val="008250C1"/>
    <w:rsid w:val="008254A3"/>
    <w:rsid w:val="008254CC"/>
    <w:rsid w:val="00825733"/>
    <w:rsid w:val="00827413"/>
    <w:rsid w:val="008311C4"/>
    <w:rsid w:val="00831297"/>
    <w:rsid w:val="0083270E"/>
    <w:rsid w:val="00832D76"/>
    <w:rsid w:val="00832DF4"/>
    <w:rsid w:val="00833703"/>
    <w:rsid w:val="0083579A"/>
    <w:rsid w:val="00835F28"/>
    <w:rsid w:val="008366B6"/>
    <w:rsid w:val="008369D1"/>
    <w:rsid w:val="00836E08"/>
    <w:rsid w:val="00837398"/>
    <w:rsid w:val="00840585"/>
    <w:rsid w:val="00840683"/>
    <w:rsid w:val="00840A86"/>
    <w:rsid w:val="0084104B"/>
    <w:rsid w:val="0084176F"/>
    <w:rsid w:val="0084242E"/>
    <w:rsid w:val="00843AB2"/>
    <w:rsid w:val="00843DAC"/>
    <w:rsid w:val="00844A7F"/>
    <w:rsid w:val="00844C93"/>
    <w:rsid w:val="008452AA"/>
    <w:rsid w:val="00845C51"/>
    <w:rsid w:val="00846772"/>
    <w:rsid w:val="00846B28"/>
    <w:rsid w:val="00846F6E"/>
    <w:rsid w:val="00850FC4"/>
    <w:rsid w:val="00851CCF"/>
    <w:rsid w:val="00851F00"/>
    <w:rsid w:val="008523B0"/>
    <w:rsid w:val="00852F7F"/>
    <w:rsid w:val="0085449D"/>
    <w:rsid w:val="008549EB"/>
    <w:rsid w:val="008550B7"/>
    <w:rsid w:val="00855881"/>
    <w:rsid w:val="00855C7D"/>
    <w:rsid w:val="008564DD"/>
    <w:rsid w:val="008569FD"/>
    <w:rsid w:val="008576AF"/>
    <w:rsid w:val="008577F7"/>
    <w:rsid w:val="00860EE9"/>
    <w:rsid w:val="008614C0"/>
    <w:rsid w:val="00861DB5"/>
    <w:rsid w:val="00862344"/>
    <w:rsid w:val="0086343C"/>
    <w:rsid w:val="00864085"/>
    <w:rsid w:val="00864242"/>
    <w:rsid w:val="00864570"/>
    <w:rsid w:val="00864AB1"/>
    <w:rsid w:val="00864EFF"/>
    <w:rsid w:val="00865F70"/>
    <w:rsid w:val="00866B74"/>
    <w:rsid w:val="00867CF6"/>
    <w:rsid w:val="00870259"/>
    <w:rsid w:val="00870672"/>
    <w:rsid w:val="00870973"/>
    <w:rsid w:val="00870A83"/>
    <w:rsid w:val="00871183"/>
    <w:rsid w:val="00871899"/>
    <w:rsid w:val="00872754"/>
    <w:rsid w:val="00873E56"/>
    <w:rsid w:val="00874DF4"/>
    <w:rsid w:val="008769BE"/>
    <w:rsid w:val="00876C8F"/>
    <w:rsid w:val="00877DA0"/>
    <w:rsid w:val="008805D7"/>
    <w:rsid w:val="0088077F"/>
    <w:rsid w:val="00880F9B"/>
    <w:rsid w:val="008832B2"/>
    <w:rsid w:val="00883A65"/>
    <w:rsid w:val="00883D89"/>
    <w:rsid w:val="00884B1E"/>
    <w:rsid w:val="00885F27"/>
    <w:rsid w:val="008868E7"/>
    <w:rsid w:val="00886A5A"/>
    <w:rsid w:val="00887869"/>
    <w:rsid w:val="00890005"/>
    <w:rsid w:val="00890CF7"/>
    <w:rsid w:val="00891BBC"/>
    <w:rsid w:val="00893268"/>
    <w:rsid w:val="00894316"/>
    <w:rsid w:val="00894462"/>
    <w:rsid w:val="008957DF"/>
    <w:rsid w:val="00895965"/>
    <w:rsid w:val="00896436"/>
    <w:rsid w:val="00897454"/>
    <w:rsid w:val="00897A6F"/>
    <w:rsid w:val="008A0890"/>
    <w:rsid w:val="008A0C79"/>
    <w:rsid w:val="008A303E"/>
    <w:rsid w:val="008A3F7E"/>
    <w:rsid w:val="008A436F"/>
    <w:rsid w:val="008A476D"/>
    <w:rsid w:val="008A4C70"/>
    <w:rsid w:val="008A4CAB"/>
    <w:rsid w:val="008A51D1"/>
    <w:rsid w:val="008A5286"/>
    <w:rsid w:val="008A55AA"/>
    <w:rsid w:val="008A5A7A"/>
    <w:rsid w:val="008A5C36"/>
    <w:rsid w:val="008A6C55"/>
    <w:rsid w:val="008A7633"/>
    <w:rsid w:val="008A7A47"/>
    <w:rsid w:val="008B0337"/>
    <w:rsid w:val="008B06BC"/>
    <w:rsid w:val="008B19F8"/>
    <w:rsid w:val="008B1FC6"/>
    <w:rsid w:val="008B3104"/>
    <w:rsid w:val="008B335B"/>
    <w:rsid w:val="008B3866"/>
    <w:rsid w:val="008B3D3B"/>
    <w:rsid w:val="008B3EF0"/>
    <w:rsid w:val="008B7164"/>
    <w:rsid w:val="008B76E7"/>
    <w:rsid w:val="008C0052"/>
    <w:rsid w:val="008C03C0"/>
    <w:rsid w:val="008C0571"/>
    <w:rsid w:val="008C1206"/>
    <w:rsid w:val="008C1572"/>
    <w:rsid w:val="008C1F4E"/>
    <w:rsid w:val="008C2AED"/>
    <w:rsid w:val="008C39C3"/>
    <w:rsid w:val="008C4410"/>
    <w:rsid w:val="008C4843"/>
    <w:rsid w:val="008C4F5A"/>
    <w:rsid w:val="008C5010"/>
    <w:rsid w:val="008C5645"/>
    <w:rsid w:val="008C593C"/>
    <w:rsid w:val="008C5BA3"/>
    <w:rsid w:val="008C6956"/>
    <w:rsid w:val="008C69EC"/>
    <w:rsid w:val="008C74D5"/>
    <w:rsid w:val="008C78B1"/>
    <w:rsid w:val="008D03EF"/>
    <w:rsid w:val="008D06C4"/>
    <w:rsid w:val="008D0A2C"/>
    <w:rsid w:val="008D106C"/>
    <w:rsid w:val="008D2145"/>
    <w:rsid w:val="008D2677"/>
    <w:rsid w:val="008D28B3"/>
    <w:rsid w:val="008D328A"/>
    <w:rsid w:val="008D32BC"/>
    <w:rsid w:val="008D33DA"/>
    <w:rsid w:val="008D387A"/>
    <w:rsid w:val="008D3B90"/>
    <w:rsid w:val="008D3C39"/>
    <w:rsid w:val="008D3D09"/>
    <w:rsid w:val="008D4184"/>
    <w:rsid w:val="008D501C"/>
    <w:rsid w:val="008D5297"/>
    <w:rsid w:val="008D5AB8"/>
    <w:rsid w:val="008D774D"/>
    <w:rsid w:val="008E05AB"/>
    <w:rsid w:val="008E0686"/>
    <w:rsid w:val="008E0B38"/>
    <w:rsid w:val="008E0C54"/>
    <w:rsid w:val="008E0E38"/>
    <w:rsid w:val="008E14EF"/>
    <w:rsid w:val="008E1F55"/>
    <w:rsid w:val="008E2603"/>
    <w:rsid w:val="008E2F08"/>
    <w:rsid w:val="008E39F0"/>
    <w:rsid w:val="008E49EF"/>
    <w:rsid w:val="008E5DB6"/>
    <w:rsid w:val="008E67CD"/>
    <w:rsid w:val="008E7FED"/>
    <w:rsid w:val="008F0FD5"/>
    <w:rsid w:val="008F2EEB"/>
    <w:rsid w:val="008F319B"/>
    <w:rsid w:val="008F31C6"/>
    <w:rsid w:val="008F4AE9"/>
    <w:rsid w:val="008F5B4B"/>
    <w:rsid w:val="008F5F6F"/>
    <w:rsid w:val="008F6D24"/>
    <w:rsid w:val="008F732F"/>
    <w:rsid w:val="008F779F"/>
    <w:rsid w:val="0090025F"/>
    <w:rsid w:val="00900719"/>
    <w:rsid w:val="009028C2"/>
    <w:rsid w:val="009033C0"/>
    <w:rsid w:val="00903925"/>
    <w:rsid w:val="00904710"/>
    <w:rsid w:val="0090771D"/>
    <w:rsid w:val="00910119"/>
    <w:rsid w:val="009101CB"/>
    <w:rsid w:val="0091034B"/>
    <w:rsid w:val="009121EF"/>
    <w:rsid w:val="00912C43"/>
    <w:rsid w:val="00912F5E"/>
    <w:rsid w:val="0091379D"/>
    <w:rsid w:val="00914C3F"/>
    <w:rsid w:val="00915468"/>
    <w:rsid w:val="00916928"/>
    <w:rsid w:val="00916EF5"/>
    <w:rsid w:val="00917151"/>
    <w:rsid w:val="00920B93"/>
    <w:rsid w:val="00920CA1"/>
    <w:rsid w:val="00921461"/>
    <w:rsid w:val="00921605"/>
    <w:rsid w:val="00921F27"/>
    <w:rsid w:val="00922385"/>
    <w:rsid w:val="00923445"/>
    <w:rsid w:val="00923D6B"/>
    <w:rsid w:val="009256C3"/>
    <w:rsid w:val="00925C18"/>
    <w:rsid w:val="009266F6"/>
    <w:rsid w:val="00926AF3"/>
    <w:rsid w:val="00926D44"/>
    <w:rsid w:val="009301E4"/>
    <w:rsid w:val="009304D1"/>
    <w:rsid w:val="00930900"/>
    <w:rsid w:val="00930B08"/>
    <w:rsid w:val="009315E2"/>
    <w:rsid w:val="009319FE"/>
    <w:rsid w:val="00931B8F"/>
    <w:rsid w:val="00933556"/>
    <w:rsid w:val="0093539E"/>
    <w:rsid w:val="00935C10"/>
    <w:rsid w:val="009361AA"/>
    <w:rsid w:val="00937847"/>
    <w:rsid w:val="0094183D"/>
    <w:rsid w:val="0094234F"/>
    <w:rsid w:val="0094263C"/>
    <w:rsid w:val="0094490E"/>
    <w:rsid w:val="00945234"/>
    <w:rsid w:val="009455FB"/>
    <w:rsid w:val="009460C1"/>
    <w:rsid w:val="00946742"/>
    <w:rsid w:val="00950ADD"/>
    <w:rsid w:val="0095135F"/>
    <w:rsid w:val="009513D8"/>
    <w:rsid w:val="00951EBF"/>
    <w:rsid w:val="00952637"/>
    <w:rsid w:val="0095469A"/>
    <w:rsid w:val="0095488B"/>
    <w:rsid w:val="009549FB"/>
    <w:rsid w:val="00954BFC"/>
    <w:rsid w:val="00955378"/>
    <w:rsid w:val="00956F85"/>
    <w:rsid w:val="00957000"/>
    <w:rsid w:val="009573FC"/>
    <w:rsid w:val="00957469"/>
    <w:rsid w:val="009576B6"/>
    <w:rsid w:val="00960E50"/>
    <w:rsid w:val="00964E82"/>
    <w:rsid w:val="00965D19"/>
    <w:rsid w:val="00967E93"/>
    <w:rsid w:val="00970893"/>
    <w:rsid w:val="0097111E"/>
    <w:rsid w:val="009713DE"/>
    <w:rsid w:val="00971D28"/>
    <w:rsid w:val="00972B66"/>
    <w:rsid w:val="009731B8"/>
    <w:rsid w:val="00973393"/>
    <w:rsid w:val="00973664"/>
    <w:rsid w:val="009739C5"/>
    <w:rsid w:val="00973AA2"/>
    <w:rsid w:val="00974212"/>
    <w:rsid w:val="00975580"/>
    <w:rsid w:val="00975AD3"/>
    <w:rsid w:val="009769FC"/>
    <w:rsid w:val="009813DC"/>
    <w:rsid w:val="00983210"/>
    <w:rsid w:val="009837B6"/>
    <w:rsid w:val="00983804"/>
    <w:rsid w:val="00983F2C"/>
    <w:rsid w:val="0098402B"/>
    <w:rsid w:val="0098413B"/>
    <w:rsid w:val="00984454"/>
    <w:rsid w:val="0098542A"/>
    <w:rsid w:val="0098576E"/>
    <w:rsid w:val="0098598B"/>
    <w:rsid w:val="00985AB7"/>
    <w:rsid w:val="00986710"/>
    <w:rsid w:val="00986B5D"/>
    <w:rsid w:val="00987BFA"/>
    <w:rsid w:val="00987DAA"/>
    <w:rsid w:val="009902D5"/>
    <w:rsid w:val="0099155E"/>
    <w:rsid w:val="00991DC8"/>
    <w:rsid w:val="00992BB6"/>
    <w:rsid w:val="00993CF9"/>
    <w:rsid w:val="00993FBC"/>
    <w:rsid w:val="009948A0"/>
    <w:rsid w:val="00995150"/>
    <w:rsid w:val="00995B34"/>
    <w:rsid w:val="009A168F"/>
    <w:rsid w:val="009A16D0"/>
    <w:rsid w:val="009A1965"/>
    <w:rsid w:val="009A2275"/>
    <w:rsid w:val="009A270F"/>
    <w:rsid w:val="009A2D68"/>
    <w:rsid w:val="009A3DE6"/>
    <w:rsid w:val="009A458A"/>
    <w:rsid w:val="009A4AFB"/>
    <w:rsid w:val="009A5CE7"/>
    <w:rsid w:val="009A66D2"/>
    <w:rsid w:val="009B1332"/>
    <w:rsid w:val="009B261D"/>
    <w:rsid w:val="009B2EBA"/>
    <w:rsid w:val="009B35C2"/>
    <w:rsid w:val="009B3A53"/>
    <w:rsid w:val="009B42B7"/>
    <w:rsid w:val="009B4947"/>
    <w:rsid w:val="009B4E86"/>
    <w:rsid w:val="009B51B3"/>
    <w:rsid w:val="009B547A"/>
    <w:rsid w:val="009B5608"/>
    <w:rsid w:val="009B5B07"/>
    <w:rsid w:val="009B6AD7"/>
    <w:rsid w:val="009B6C94"/>
    <w:rsid w:val="009B7E52"/>
    <w:rsid w:val="009C13BA"/>
    <w:rsid w:val="009C28BB"/>
    <w:rsid w:val="009C3946"/>
    <w:rsid w:val="009C3E29"/>
    <w:rsid w:val="009C3EC9"/>
    <w:rsid w:val="009C40AE"/>
    <w:rsid w:val="009C476C"/>
    <w:rsid w:val="009C4911"/>
    <w:rsid w:val="009C53FF"/>
    <w:rsid w:val="009C5ED8"/>
    <w:rsid w:val="009D0D97"/>
    <w:rsid w:val="009D0E5C"/>
    <w:rsid w:val="009D0F63"/>
    <w:rsid w:val="009D1D31"/>
    <w:rsid w:val="009D1E63"/>
    <w:rsid w:val="009D2DAD"/>
    <w:rsid w:val="009D3212"/>
    <w:rsid w:val="009D4DAE"/>
    <w:rsid w:val="009D54BF"/>
    <w:rsid w:val="009E0FEC"/>
    <w:rsid w:val="009E16AF"/>
    <w:rsid w:val="009E16E8"/>
    <w:rsid w:val="009E1D62"/>
    <w:rsid w:val="009E2CF8"/>
    <w:rsid w:val="009E305D"/>
    <w:rsid w:val="009E4474"/>
    <w:rsid w:val="009E52DF"/>
    <w:rsid w:val="009E52EF"/>
    <w:rsid w:val="009E5A04"/>
    <w:rsid w:val="009E71F5"/>
    <w:rsid w:val="009E77C4"/>
    <w:rsid w:val="009E7D0A"/>
    <w:rsid w:val="009F0887"/>
    <w:rsid w:val="009F08EC"/>
    <w:rsid w:val="009F0DEB"/>
    <w:rsid w:val="009F51BA"/>
    <w:rsid w:val="009F57FD"/>
    <w:rsid w:val="009F5A11"/>
    <w:rsid w:val="009F6239"/>
    <w:rsid w:val="009F72E6"/>
    <w:rsid w:val="009F749A"/>
    <w:rsid w:val="00A0011D"/>
    <w:rsid w:val="00A002EF"/>
    <w:rsid w:val="00A003C7"/>
    <w:rsid w:val="00A0097E"/>
    <w:rsid w:val="00A00BC7"/>
    <w:rsid w:val="00A0156C"/>
    <w:rsid w:val="00A02063"/>
    <w:rsid w:val="00A021E8"/>
    <w:rsid w:val="00A02D3F"/>
    <w:rsid w:val="00A03D84"/>
    <w:rsid w:val="00A04317"/>
    <w:rsid w:val="00A04F09"/>
    <w:rsid w:val="00A04FBF"/>
    <w:rsid w:val="00A05737"/>
    <w:rsid w:val="00A05AB6"/>
    <w:rsid w:val="00A05CCB"/>
    <w:rsid w:val="00A05F0E"/>
    <w:rsid w:val="00A063AE"/>
    <w:rsid w:val="00A0737E"/>
    <w:rsid w:val="00A102C4"/>
    <w:rsid w:val="00A107D8"/>
    <w:rsid w:val="00A11336"/>
    <w:rsid w:val="00A117EF"/>
    <w:rsid w:val="00A12FB4"/>
    <w:rsid w:val="00A13784"/>
    <w:rsid w:val="00A13ACD"/>
    <w:rsid w:val="00A141D4"/>
    <w:rsid w:val="00A1548A"/>
    <w:rsid w:val="00A157FD"/>
    <w:rsid w:val="00A16661"/>
    <w:rsid w:val="00A17684"/>
    <w:rsid w:val="00A17E6D"/>
    <w:rsid w:val="00A17FE2"/>
    <w:rsid w:val="00A21B7B"/>
    <w:rsid w:val="00A23490"/>
    <w:rsid w:val="00A2458C"/>
    <w:rsid w:val="00A245DE"/>
    <w:rsid w:val="00A24A29"/>
    <w:rsid w:val="00A24ED4"/>
    <w:rsid w:val="00A2534C"/>
    <w:rsid w:val="00A25791"/>
    <w:rsid w:val="00A25C82"/>
    <w:rsid w:val="00A26263"/>
    <w:rsid w:val="00A26DF7"/>
    <w:rsid w:val="00A27B0D"/>
    <w:rsid w:val="00A301F6"/>
    <w:rsid w:val="00A30381"/>
    <w:rsid w:val="00A30922"/>
    <w:rsid w:val="00A3159C"/>
    <w:rsid w:val="00A31A52"/>
    <w:rsid w:val="00A31ED4"/>
    <w:rsid w:val="00A322DC"/>
    <w:rsid w:val="00A32574"/>
    <w:rsid w:val="00A33C8F"/>
    <w:rsid w:val="00A33FA8"/>
    <w:rsid w:val="00A34615"/>
    <w:rsid w:val="00A3467E"/>
    <w:rsid w:val="00A347A6"/>
    <w:rsid w:val="00A353A3"/>
    <w:rsid w:val="00A354D8"/>
    <w:rsid w:val="00A369BE"/>
    <w:rsid w:val="00A37CCB"/>
    <w:rsid w:val="00A40135"/>
    <w:rsid w:val="00A409A8"/>
    <w:rsid w:val="00A4100B"/>
    <w:rsid w:val="00A41665"/>
    <w:rsid w:val="00A41E31"/>
    <w:rsid w:val="00A44908"/>
    <w:rsid w:val="00A44932"/>
    <w:rsid w:val="00A46FBA"/>
    <w:rsid w:val="00A47471"/>
    <w:rsid w:val="00A52AA1"/>
    <w:rsid w:val="00A52AD0"/>
    <w:rsid w:val="00A52EF9"/>
    <w:rsid w:val="00A53D0C"/>
    <w:rsid w:val="00A543BB"/>
    <w:rsid w:val="00A54BFA"/>
    <w:rsid w:val="00A550D7"/>
    <w:rsid w:val="00A55741"/>
    <w:rsid w:val="00A55886"/>
    <w:rsid w:val="00A55FF4"/>
    <w:rsid w:val="00A56305"/>
    <w:rsid w:val="00A576B8"/>
    <w:rsid w:val="00A60285"/>
    <w:rsid w:val="00A60836"/>
    <w:rsid w:val="00A60A2C"/>
    <w:rsid w:val="00A60EB5"/>
    <w:rsid w:val="00A61E17"/>
    <w:rsid w:val="00A62BF0"/>
    <w:rsid w:val="00A62E64"/>
    <w:rsid w:val="00A636E9"/>
    <w:rsid w:val="00A63CEB"/>
    <w:rsid w:val="00A647FB"/>
    <w:rsid w:val="00A64918"/>
    <w:rsid w:val="00A64BAA"/>
    <w:rsid w:val="00A65ABB"/>
    <w:rsid w:val="00A6644B"/>
    <w:rsid w:val="00A666D8"/>
    <w:rsid w:val="00A66CEA"/>
    <w:rsid w:val="00A706FD"/>
    <w:rsid w:val="00A71D8C"/>
    <w:rsid w:val="00A72B01"/>
    <w:rsid w:val="00A732D3"/>
    <w:rsid w:val="00A74117"/>
    <w:rsid w:val="00A750BA"/>
    <w:rsid w:val="00A76076"/>
    <w:rsid w:val="00A807DA"/>
    <w:rsid w:val="00A80F80"/>
    <w:rsid w:val="00A81CB8"/>
    <w:rsid w:val="00A820B6"/>
    <w:rsid w:val="00A82E35"/>
    <w:rsid w:val="00A859BB"/>
    <w:rsid w:val="00A86EBB"/>
    <w:rsid w:val="00A871C4"/>
    <w:rsid w:val="00A875F9"/>
    <w:rsid w:val="00A87836"/>
    <w:rsid w:val="00A87EFA"/>
    <w:rsid w:val="00A87FB3"/>
    <w:rsid w:val="00A90EE9"/>
    <w:rsid w:val="00A922A3"/>
    <w:rsid w:val="00A92DD3"/>
    <w:rsid w:val="00A932C6"/>
    <w:rsid w:val="00A940E5"/>
    <w:rsid w:val="00A94200"/>
    <w:rsid w:val="00A94F3E"/>
    <w:rsid w:val="00A9581A"/>
    <w:rsid w:val="00A95A3B"/>
    <w:rsid w:val="00A95D26"/>
    <w:rsid w:val="00A96194"/>
    <w:rsid w:val="00A96619"/>
    <w:rsid w:val="00A96851"/>
    <w:rsid w:val="00A968F9"/>
    <w:rsid w:val="00A96A32"/>
    <w:rsid w:val="00A96C51"/>
    <w:rsid w:val="00A96FB6"/>
    <w:rsid w:val="00A979F0"/>
    <w:rsid w:val="00AA03E8"/>
    <w:rsid w:val="00AA1D3E"/>
    <w:rsid w:val="00AA2205"/>
    <w:rsid w:val="00AA2454"/>
    <w:rsid w:val="00AA2606"/>
    <w:rsid w:val="00AA2983"/>
    <w:rsid w:val="00AA2D53"/>
    <w:rsid w:val="00AA4050"/>
    <w:rsid w:val="00AA406E"/>
    <w:rsid w:val="00AA4794"/>
    <w:rsid w:val="00AA5E26"/>
    <w:rsid w:val="00AA60A7"/>
    <w:rsid w:val="00AA784E"/>
    <w:rsid w:val="00AB0558"/>
    <w:rsid w:val="00AB128F"/>
    <w:rsid w:val="00AB1546"/>
    <w:rsid w:val="00AB154A"/>
    <w:rsid w:val="00AB1AA0"/>
    <w:rsid w:val="00AB2B21"/>
    <w:rsid w:val="00AB3259"/>
    <w:rsid w:val="00AB383E"/>
    <w:rsid w:val="00AB4D07"/>
    <w:rsid w:val="00AB4E67"/>
    <w:rsid w:val="00AB5AFD"/>
    <w:rsid w:val="00AB5D8C"/>
    <w:rsid w:val="00AB604A"/>
    <w:rsid w:val="00AC045B"/>
    <w:rsid w:val="00AC1852"/>
    <w:rsid w:val="00AC18CE"/>
    <w:rsid w:val="00AC2242"/>
    <w:rsid w:val="00AC23F1"/>
    <w:rsid w:val="00AC32ED"/>
    <w:rsid w:val="00AC3F7A"/>
    <w:rsid w:val="00AC5A25"/>
    <w:rsid w:val="00AC694E"/>
    <w:rsid w:val="00AC6BAA"/>
    <w:rsid w:val="00AC78E3"/>
    <w:rsid w:val="00AD00B5"/>
    <w:rsid w:val="00AD1F0D"/>
    <w:rsid w:val="00AD252E"/>
    <w:rsid w:val="00AD25CD"/>
    <w:rsid w:val="00AD4499"/>
    <w:rsid w:val="00AD583E"/>
    <w:rsid w:val="00AD5E41"/>
    <w:rsid w:val="00AD6626"/>
    <w:rsid w:val="00AD6B5D"/>
    <w:rsid w:val="00AD6EC2"/>
    <w:rsid w:val="00AD75F3"/>
    <w:rsid w:val="00AD76DB"/>
    <w:rsid w:val="00AD7916"/>
    <w:rsid w:val="00AD7DC8"/>
    <w:rsid w:val="00AD7DF1"/>
    <w:rsid w:val="00AE0310"/>
    <w:rsid w:val="00AE04D8"/>
    <w:rsid w:val="00AE0881"/>
    <w:rsid w:val="00AE27E9"/>
    <w:rsid w:val="00AE3EE3"/>
    <w:rsid w:val="00AE41C5"/>
    <w:rsid w:val="00AE4EB7"/>
    <w:rsid w:val="00AE54F5"/>
    <w:rsid w:val="00AE5D2D"/>
    <w:rsid w:val="00AE5F57"/>
    <w:rsid w:val="00AE698E"/>
    <w:rsid w:val="00AE7ED1"/>
    <w:rsid w:val="00AF0CE8"/>
    <w:rsid w:val="00AF2447"/>
    <w:rsid w:val="00AF2904"/>
    <w:rsid w:val="00AF3468"/>
    <w:rsid w:val="00AF3760"/>
    <w:rsid w:val="00AF4A55"/>
    <w:rsid w:val="00AF528B"/>
    <w:rsid w:val="00AF5FD6"/>
    <w:rsid w:val="00AF655D"/>
    <w:rsid w:val="00AF7FC7"/>
    <w:rsid w:val="00B008D3"/>
    <w:rsid w:val="00B01792"/>
    <w:rsid w:val="00B01B83"/>
    <w:rsid w:val="00B034B2"/>
    <w:rsid w:val="00B03956"/>
    <w:rsid w:val="00B04A61"/>
    <w:rsid w:val="00B062F5"/>
    <w:rsid w:val="00B071A5"/>
    <w:rsid w:val="00B10760"/>
    <w:rsid w:val="00B10BDD"/>
    <w:rsid w:val="00B1280A"/>
    <w:rsid w:val="00B12BE0"/>
    <w:rsid w:val="00B1402F"/>
    <w:rsid w:val="00B1412A"/>
    <w:rsid w:val="00B14214"/>
    <w:rsid w:val="00B1424D"/>
    <w:rsid w:val="00B14478"/>
    <w:rsid w:val="00B153EF"/>
    <w:rsid w:val="00B15655"/>
    <w:rsid w:val="00B164F6"/>
    <w:rsid w:val="00B16B0E"/>
    <w:rsid w:val="00B176AC"/>
    <w:rsid w:val="00B17EEC"/>
    <w:rsid w:val="00B17EED"/>
    <w:rsid w:val="00B2084F"/>
    <w:rsid w:val="00B20A7D"/>
    <w:rsid w:val="00B22B27"/>
    <w:rsid w:val="00B23789"/>
    <w:rsid w:val="00B2378D"/>
    <w:rsid w:val="00B23AAC"/>
    <w:rsid w:val="00B24170"/>
    <w:rsid w:val="00B247D9"/>
    <w:rsid w:val="00B2577F"/>
    <w:rsid w:val="00B305D8"/>
    <w:rsid w:val="00B30A14"/>
    <w:rsid w:val="00B30DFE"/>
    <w:rsid w:val="00B319AE"/>
    <w:rsid w:val="00B3212F"/>
    <w:rsid w:val="00B32344"/>
    <w:rsid w:val="00B328B5"/>
    <w:rsid w:val="00B33395"/>
    <w:rsid w:val="00B34A76"/>
    <w:rsid w:val="00B3501E"/>
    <w:rsid w:val="00B355CD"/>
    <w:rsid w:val="00B35964"/>
    <w:rsid w:val="00B36FEB"/>
    <w:rsid w:val="00B371E2"/>
    <w:rsid w:val="00B406C9"/>
    <w:rsid w:val="00B40B32"/>
    <w:rsid w:val="00B414B6"/>
    <w:rsid w:val="00B4381F"/>
    <w:rsid w:val="00B4387A"/>
    <w:rsid w:val="00B43AF3"/>
    <w:rsid w:val="00B43DAE"/>
    <w:rsid w:val="00B44424"/>
    <w:rsid w:val="00B44ADE"/>
    <w:rsid w:val="00B44F8D"/>
    <w:rsid w:val="00B45C00"/>
    <w:rsid w:val="00B46732"/>
    <w:rsid w:val="00B46B2C"/>
    <w:rsid w:val="00B474C3"/>
    <w:rsid w:val="00B47CA0"/>
    <w:rsid w:val="00B50736"/>
    <w:rsid w:val="00B5079E"/>
    <w:rsid w:val="00B50F76"/>
    <w:rsid w:val="00B51140"/>
    <w:rsid w:val="00B514A6"/>
    <w:rsid w:val="00B514B3"/>
    <w:rsid w:val="00B51CCD"/>
    <w:rsid w:val="00B52A66"/>
    <w:rsid w:val="00B5354C"/>
    <w:rsid w:val="00B53C70"/>
    <w:rsid w:val="00B53CAA"/>
    <w:rsid w:val="00B53EE3"/>
    <w:rsid w:val="00B542F6"/>
    <w:rsid w:val="00B54835"/>
    <w:rsid w:val="00B56806"/>
    <w:rsid w:val="00B56AE5"/>
    <w:rsid w:val="00B56E15"/>
    <w:rsid w:val="00B575E0"/>
    <w:rsid w:val="00B57876"/>
    <w:rsid w:val="00B579EF"/>
    <w:rsid w:val="00B61492"/>
    <w:rsid w:val="00B618ED"/>
    <w:rsid w:val="00B62B12"/>
    <w:rsid w:val="00B62E34"/>
    <w:rsid w:val="00B63412"/>
    <w:rsid w:val="00B63CFA"/>
    <w:rsid w:val="00B63F68"/>
    <w:rsid w:val="00B643A5"/>
    <w:rsid w:val="00B64E3E"/>
    <w:rsid w:val="00B6600C"/>
    <w:rsid w:val="00B66678"/>
    <w:rsid w:val="00B66DA1"/>
    <w:rsid w:val="00B7014E"/>
    <w:rsid w:val="00B7194F"/>
    <w:rsid w:val="00B720FE"/>
    <w:rsid w:val="00B72D87"/>
    <w:rsid w:val="00B7395A"/>
    <w:rsid w:val="00B74598"/>
    <w:rsid w:val="00B74F87"/>
    <w:rsid w:val="00B74FE4"/>
    <w:rsid w:val="00B75C1B"/>
    <w:rsid w:val="00B7600B"/>
    <w:rsid w:val="00B7728D"/>
    <w:rsid w:val="00B77322"/>
    <w:rsid w:val="00B80C46"/>
    <w:rsid w:val="00B8102A"/>
    <w:rsid w:val="00B82136"/>
    <w:rsid w:val="00B82297"/>
    <w:rsid w:val="00B822F0"/>
    <w:rsid w:val="00B83746"/>
    <w:rsid w:val="00B83E89"/>
    <w:rsid w:val="00B84760"/>
    <w:rsid w:val="00B84B48"/>
    <w:rsid w:val="00B8548B"/>
    <w:rsid w:val="00B85BA3"/>
    <w:rsid w:val="00B85DE7"/>
    <w:rsid w:val="00B8667B"/>
    <w:rsid w:val="00B86BE2"/>
    <w:rsid w:val="00B87E21"/>
    <w:rsid w:val="00B87E42"/>
    <w:rsid w:val="00B901FD"/>
    <w:rsid w:val="00B90261"/>
    <w:rsid w:val="00B90865"/>
    <w:rsid w:val="00B910C0"/>
    <w:rsid w:val="00B91C73"/>
    <w:rsid w:val="00B91E0A"/>
    <w:rsid w:val="00B9214F"/>
    <w:rsid w:val="00B92A0E"/>
    <w:rsid w:val="00B9351D"/>
    <w:rsid w:val="00B93882"/>
    <w:rsid w:val="00B93ED5"/>
    <w:rsid w:val="00B942C8"/>
    <w:rsid w:val="00B944B8"/>
    <w:rsid w:val="00B949AA"/>
    <w:rsid w:val="00B94C79"/>
    <w:rsid w:val="00B966AC"/>
    <w:rsid w:val="00B96DAD"/>
    <w:rsid w:val="00B970E2"/>
    <w:rsid w:val="00B97382"/>
    <w:rsid w:val="00B97584"/>
    <w:rsid w:val="00BA15AF"/>
    <w:rsid w:val="00BA3FAF"/>
    <w:rsid w:val="00BA41EE"/>
    <w:rsid w:val="00BA4266"/>
    <w:rsid w:val="00BA4546"/>
    <w:rsid w:val="00BA4DD3"/>
    <w:rsid w:val="00BA500D"/>
    <w:rsid w:val="00BA68C7"/>
    <w:rsid w:val="00BA6F5A"/>
    <w:rsid w:val="00BB2A5C"/>
    <w:rsid w:val="00BB2A5D"/>
    <w:rsid w:val="00BB2CD8"/>
    <w:rsid w:val="00BB31BB"/>
    <w:rsid w:val="00BB4D34"/>
    <w:rsid w:val="00BB5372"/>
    <w:rsid w:val="00BB5756"/>
    <w:rsid w:val="00BB5FCC"/>
    <w:rsid w:val="00BB6F29"/>
    <w:rsid w:val="00BB7790"/>
    <w:rsid w:val="00BB7802"/>
    <w:rsid w:val="00BB7C6B"/>
    <w:rsid w:val="00BB7DE3"/>
    <w:rsid w:val="00BC0D72"/>
    <w:rsid w:val="00BC20AD"/>
    <w:rsid w:val="00BC27D7"/>
    <w:rsid w:val="00BC3951"/>
    <w:rsid w:val="00BC500B"/>
    <w:rsid w:val="00BC5186"/>
    <w:rsid w:val="00BC5FA4"/>
    <w:rsid w:val="00BC7272"/>
    <w:rsid w:val="00BC7B0E"/>
    <w:rsid w:val="00BD072A"/>
    <w:rsid w:val="00BD0947"/>
    <w:rsid w:val="00BD1206"/>
    <w:rsid w:val="00BD1FC4"/>
    <w:rsid w:val="00BD217C"/>
    <w:rsid w:val="00BD2D1E"/>
    <w:rsid w:val="00BD39A6"/>
    <w:rsid w:val="00BD4BB8"/>
    <w:rsid w:val="00BD4E92"/>
    <w:rsid w:val="00BD65EB"/>
    <w:rsid w:val="00BD761F"/>
    <w:rsid w:val="00BD7AD5"/>
    <w:rsid w:val="00BE09C2"/>
    <w:rsid w:val="00BE22FD"/>
    <w:rsid w:val="00BE251D"/>
    <w:rsid w:val="00BE328C"/>
    <w:rsid w:val="00BE37CE"/>
    <w:rsid w:val="00BE3BA6"/>
    <w:rsid w:val="00BE3CAB"/>
    <w:rsid w:val="00BE3EC2"/>
    <w:rsid w:val="00BE41E1"/>
    <w:rsid w:val="00BE52CB"/>
    <w:rsid w:val="00BE532F"/>
    <w:rsid w:val="00BE586C"/>
    <w:rsid w:val="00BE62AE"/>
    <w:rsid w:val="00BE74F0"/>
    <w:rsid w:val="00BE7C2A"/>
    <w:rsid w:val="00BF0FD2"/>
    <w:rsid w:val="00BF1DE9"/>
    <w:rsid w:val="00BF2C7F"/>
    <w:rsid w:val="00BF321C"/>
    <w:rsid w:val="00BF322A"/>
    <w:rsid w:val="00BF44D0"/>
    <w:rsid w:val="00BF5496"/>
    <w:rsid w:val="00BF57D0"/>
    <w:rsid w:val="00BF6A72"/>
    <w:rsid w:val="00BF723D"/>
    <w:rsid w:val="00C0056C"/>
    <w:rsid w:val="00C01CFD"/>
    <w:rsid w:val="00C01FA2"/>
    <w:rsid w:val="00C02032"/>
    <w:rsid w:val="00C02817"/>
    <w:rsid w:val="00C03512"/>
    <w:rsid w:val="00C03BB8"/>
    <w:rsid w:val="00C03BE1"/>
    <w:rsid w:val="00C04BA6"/>
    <w:rsid w:val="00C04D30"/>
    <w:rsid w:val="00C05F6D"/>
    <w:rsid w:val="00C06787"/>
    <w:rsid w:val="00C07160"/>
    <w:rsid w:val="00C07ED4"/>
    <w:rsid w:val="00C11A02"/>
    <w:rsid w:val="00C12EF8"/>
    <w:rsid w:val="00C1373F"/>
    <w:rsid w:val="00C140FE"/>
    <w:rsid w:val="00C14DD0"/>
    <w:rsid w:val="00C153CA"/>
    <w:rsid w:val="00C16481"/>
    <w:rsid w:val="00C16C6C"/>
    <w:rsid w:val="00C20EEF"/>
    <w:rsid w:val="00C21A53"/>
    <w:rsid w:val="00C21C1A"/>
    <w:rsid w:val="00C21F90"/>
    <w:rsid w:val="00C235B9"/>
    <w:rsid w:val="00C23669"/>
    <w:rsid w:val="00C2373E"/>
    <w:rsid w:val="00C23970"/>
    <w:rsid w:val="00C24240"/>
    <w:rsid w:val="00C24989"/>
    <w:rsid w:val="00C24C63"/>
    <w:rsid w:val="00C25090"/>
    <w:rsid w:val="00C259C0"/>
    <w:rsid w:val="00C25A75"/>
    <w:rsid w:val="00C26CD5"/>
    <w:rsid w:val="00C27E65"/>
    <w:rsid w:val="00C31386"/>
    <w:rsid w:val="00C3209B"/>
    <w:rsid w:val="00C3251C"/>
    <w:rsid w:val="00C32797"/>
    <w:rsid w:val="00C32801"/>
    <w:rsid w:val="00C32C21"/>
    <w:rsid w:val="00C333CB"/>
    <w:rsid w:val="00C339BB"/>
    <w:rsid w:val="00C33AC6"/>
    <w:rsid w:val="00C34BAE"/>
    <w:rsid w:val="00C35527"/>
    <w:rsid w:val="00C35BF8"/>
    <w:rsid w:val="00C36414"/>
    <w:rsid w:val="00C36558"/>
    <w:rsid w:val="00C378F9"/>
    <w:rsid w:val="00C37E3B"/>
    <w:rsid w:val="00C42FE5"/>
    <w:rsid w:val="00C43303"/>
    <w:rsid w:val="00C442D1"/>
    <w:rsid w:val="00C4463A"/>
    <w:rsid w:val="00C44D84"/>
    <w:rsid w:val="00C47182"/>
    <w:rsid w:val="00C51754"/>
    <w:rsid w:val="00C519F4"/>
    <w:rsid w:val="00C5251C"/>
    <w:rsid w:val="00C545D3"/>
    <w:rsid w:val="00C54BD4"/>
    <w:rsid w:val="00C55715"/>
    <w:rsid w:val="00C56160"/>
    <w:rsid w:val="00C561CF"/>
    <w:rsid w:val="00C569F2"/>
    <w:rsid w:val="00C57948"/>
    <w:rsid w:val="00C6031B"/>
    <w:rsid w:val="00C6128B"/>
    <w:rsid w:val="00C62A4B"/>
    <w:rsid w:val="00C649D9"/>
    <w:rsid w:val="00C64CFE"/>
    <w:rsid w:val="00C64E14"/>
    <w:rsid w:val="00C65CE0"/>
    <w:rsid w:val="00C67353"/>
    <w:rsid w:val="00C67FDF"/>
    <w:rsid w:val="00C72533"/>
    <w:rsid w:val="00C72682"/>
    <w:rsid w:val="00C7345B"/>
    <w:rsid w:val="00C742F1"/>
    <w:rsid w:val="00C74E3A"/>
    <w:rsid w:val="00C74E97"/>
    <w:rsid w:val="00C75270"/>
    <w:rsid w:val="00C75A28"/>
    <w:rsid w:val="00C76AA3"/>
    <w:rsid w:val="00C77775"/>
    <w:rsid w:val="00C778C6"/>
    <w:rsid w:val="00C77E63"/>
    <w:rsid w:val="00C77EB9"/>
    <w:rsid w:val="00C802B2"/>
    <w:rsid w:val="00C80A5B"/>
    <w:rsid w:val="00C81290"/>
    <w:rsid w:val="00C81C44"/>
    <w:rsid w:val="00C824DF"/>
    <w:rsid w:val="00C824EC"/>
    <w:rsid w:val="00C84251"/>
    <w:rsid w:val="00C84CA0"/>
    <w:rsid w:val="00C853A2"/>
    <w:rsid w:val="00C85594"/>
    <w:rsid w:val="00C86488"/>
    <w:rsid w:val="00C87040"/>
    <w:rsid w:val="00C87F90"/>
    <w:rsid w:val="00C90984"/>
    <w:rsid w:val="00C91726"/>
    <w:rsid w:val="00C927DD"/>
    <w:rsid w:val="00C94684"/>
    <w:rsid w:val="00C96366"/>
    <w:rsid w:val="00C96BB7"/>
    <w:rsid w:val="00C974CE"/>
    <w:rsid w:val="00CA0031"/>
    <w:rsid w:val="00CA0410"/>
    <w:rsid w:val="00CA1CD6"/>
    <w:rsid w:val="00CA2120"/>
    <w:rsid w:val="00CA2810"/>
    <w:rsid w:val="00CA42C4"/>
    <w:rsid w:val="00CA5943"/>
    <w:rsid w:val="00CA5B83"/>
    <w:rsid w:val="00CA5BB8"/>
    <w:rsid w:val="00CA5F5C"/>
    <w:rsid w:val="00CA755A"/>
    <w:rsid w:val="00CA7C5D"/>
    <w:rsid w:val="00CB12B7"/>
    <w:rsid w:val="00CB15DF"/>
    <w:rsid w:val="00CB166F"/>
    <w:rsid w:val="00CB1FAF"/>
    <w:rsid w:val="00CB220A"/>
    <w:rsid w:val="00CB225D"/>
    <w:rsid w:val="00CB3A95"/>
    <w:rsid w:val="00CB46CE"/>
    <w:rsid w:val="00CB4F7A"/>
    <w:rsid w:val="00CB5428"/>
    <w:rsid w:val="00CB5B35"/>
    <w:rsid w:val="00CB60C0"/>
    <w:rsid w:val="00CB708C"/>
    <w:rsid w:val="00CB78EE"/>
    <w:rsid w:val="00CC05C0"/>
    <w:rsid w:val="00CC1052"/>
    <w:rsid w:val="00CC1263"/>
    <w:rsid w:val="00CC14C4"/>
    <w:rsid w:val="00CC1A43"/>
    <w:rsid w:val="00CC2CF0"/>
    <w:rsid w:val="00CC3BAA"/>
    <w:rsid w:val="00CC4643"/>
    <w:rsid w:val="00CC54B8"/>
    <w:rsid w:val="00CC5DE0"/>
    <w:rsid w:val="00CC7402"/>
    <w:rsid w:val="00CC7466"/>
    <w:rsid w:val="00CD0668"/>
    <w:rsid w:val="00CD1535"/>
    <w:rsid w:val="00CD1A32"/>
    <w:rsid w:val="00CD29FB"/>
    <w:rsid w:val="00CD2A25"/>
    <w:rsid w:val="00CD3273"/>
    <w:rsid w:val="00CD43D6"/>
    <w:rsid w:val="00CD4768"/>
    <w:rsid w:val="00CD5A49"/>
    <w:rsid w:val="00CD75FF"/>
    <w:rsid w:val="00CE00A4"/>
    <w:rsid w:val="00CE0817"/>
    <w:rsid w:val="00CE2883"/>
    <w:rsid w:val="00CE33F7"/>
    <w:rsid w:val="00CE379B"/>
    <w:rsid w:val="00CE4EAA"/>
    <w:rsid w:val="00CE520A"/>
    <w:rsid w:val="00CE5B09"/>
    <w:rsid w:val="00CE75DB"/>
    <w:rsid w:val="00CE7C5E"/>
    <w:rsid w:val="00CF03F0"/>
    <w:rsid w:val="00CF2635"/>
    <w:rsid w:val="00CF3B48"/>
    <w:rsid w:val="00CF47AC"/>
    <w:rsid w:val="00CF6108"/>
    <w:rsid w:val="00CF6FF7"/>
    <w:rsid w:val="00CF784D"/>
    <w:rsid w:val="00CF7C13"/>
    <w:rsid w:val="00D01A23"/>
    <w:rsid w:val="00D01F83"/>
    <w:rsid w:val="00D02339"/>
    <w:rsid w:val="00D02DDB"/>
    <w:rsid w:val="00D0388C"/>
    <w:rsid w:val="00D0399C"/>
    <w:rsid w:val="00D03A2A"/>
    <w:rsid w:val="00D050D8"/>
    <w:rsid w:val="00D0590A"/>
    <w:rsid w:val="00D05FC0"/>
    <w:rsid w:val="00D06524"/>
    <w:rsid w:val="00D067B2"/>
    <w:rsid w:val="00D067C5"/>
    <w:rsid w:val="00D06C72"/>
    <w:rsid w:val="00D110E8"/>
    <w:rsid w:val="00D1230B"/>
    <w:rsid w:val="00D129B4"/>
    <w:rsid w:val="00D1343B"/>
    <w:rsid w:val="00D1422C"/>
    <w:rsid w:val="00D150C0"/>
    <w:rsid w:val="00D15BAC"/>
    <w:rsid w:val="00D16049"/>
    <w:rsid w:val="00D16074"/>
    <w:rsid w:val="00D16D6B"/>
    <w:rsid w:val="00D17718"/>
    <w:rsid w:val="00D20898"/>
    <w:rsid w:val="00D20B0A"/>
    <w:rsid w:val="00D20E85"/>
    <w:rsid w:val="00D2234E"/>
    <w:rsid w:val="00D22D39"/>
    <w:rsid w:val="00D23D3B"/>
    <w:rsid w:val="00D25399"/>
    <w:rsid w:val="00D25D5D"/>
    <w:rsid w:val="00D2692D"/>
    <w:rsid w:val="00D26A09"/>
    <w:rsid w:val="00D26BA3"/>
    <w:rsid w:val="00D27611"/>
    <w:rsid w:val="00D2777F"/>
    <w:rsid w:val="00D27BEF"/>
    <w:rsid w:val="00D302F0"/>
    <w:rsid w:val="00D303C2"/>
    <w:rsid w:val="00D30D41"/>
    <w:rsid w:val="00D30DB4"/>
    <w:rsid w:val="00D30E0A"/>
    <w:rsid w:val="00D316B5"/>
    <w:rsid w:val="00D32580"/>
    <w:rsid w:val="00D338A3"/>
    <w:rsid w:val="00D339A3"/>
    <w:rsid w:val="00D352C0"/>
    <w:rsid w:val="00D35EB1"/>
    <w:rsid w:val="00D36B10"/>
    <w:rsid w:val="00D36C29"/>
    <w:rsid w:val="00D36E90"/>
    <w:rsid w:val="00D3709B"/>
    <w:rsid w:val="00D37FB9"/>
    <w:rsid w:val="00D4028B"/>
    <w:rsid w:val="00D407A7"/>
    <w:rsid w:val="00D43F4A"/>
    <w:rsid w:val="00D4549A"/>
    <w:rsid w:val="00D474BE"/>
    <w:rsid w:val="00D47B39"/>
    <w:rsid w:val="00D50D7E"/>
    <w:rsid w:val="00D524A8"/>
    <w:rsid w:val="00D52A71"/>
    <w:rsid w:val="00D534A7"/>
    <w:rsid w:val="00D5397C"/>
    <w:rsid w:val="00D56483"/>
    <w:rsid w:val="00D56C34"/>
    <w:rsid w:val="00D60E35"/>
    <w:rsid w:val="00D617DF"/>
    <w:rsid w:val="00D6249A"/>
    <w:rsid w:val="00D626E0"/>
    <w:rsid w:val="00D639C0"/>
    <w:rsid w:val="00D65773"/>
    <w:rsid w:val="00D65EAB"/>
    <w:rsid w:val="00D662AE"/>
    <w:rsid w:val="00D66D6E"/>
    <w:rsid w:val="00D66FA2"/>
    <w:rsid w:val="00D67A78"/>
    <w:rsid w:val="00D7081E"/>
    <w:rsid w:val="00D70C95"/>
    <w:rsid w:val="00D72160"/>
    <w:rsid w:val="00D72DF4"/>
    <w:rsid w:val="00D732DB"/>
    <w:rsid w:val="00D734DA"/>
    <w:rsid w:val="00D73A0D"/>
    <w:rsid w:val="00D74FDC"/>
    <w:rsid w:val="00D75E01"/>
    <w:rsid w:val="00D75FD8"/>
    <w:rsid w:val="00D77B0A"/>
    <w:rsid w:val="00D80AE4"/>
    <w:rsid w:val="00D80ED4"/>
    <w:rsid w:val="00D811AD"/>
    <w:rsid w:val="00D83698"/>
    <w:rsid w:val="00D83B70"/>
    <w:rsid w:val="00D8429D"/>
    <w:rsid w:val="00D8536B"/>
    <w:rsid w:val="00D8705D"/>
    <w:rsid w:val="00D8746C"/>
    <w:rsid w:val="00D87851"/>
    <w:rsid w:val="00D90A2D"/>
    <w:rsid w:val="00D90C0F"/>
    <w:rsid w:val="00D913E5"/>
    <w:rsid w:val="00D920F4"/>
    <w:rsid w:val="00D92A85"/>
    <w:rsid w:val="00D94553"/>
    <w:rsid w:val="00D95CD7"/>
    <w:rsid w:val="00D96794"/>
    <w:rsid w:val="00D9681E"/>
    <w:rsid w:val="00D968D2"/>
    <w:rsid w:val="00DA0EBB"/>
    <w:rsid w:val="00DA1B0A"/>
    <w:rsid w:val="00DA3571"/>
    <w:rsid w:val="00DA4176"/>
    <w:rsid w:val="00DA481E"/>
    <w:rsid w:val="00DA5AF0"/>
    <w:rsid w:val="00DA5B2C"/>
    <w:rsid w:val="00DA5CC7"/>
    <w:rsid w:val="00DA612C"/>
    <w:rsid w:val="00DA6FB1"/>
    <w:rsid w:val="00DA774A"/>
    <w:rsid w:val="00DB0707"/>
    <w:rsid w:val="00DB0BF4"/>
    <w:rsid w:val="00DB0FA4"/>
    <w:rsid w:val="00DB2280"/>
    <w:rsid w:val="00DB30BA"/>
    <w:rsid w:val="00DB3106"/>
    <w:rsid w:val="00DB3499"/>
    <w:rsid w:val="00DB4D85"/>
    <w:rsid w:val="00DB5B5C"/>
    <w:rsid w:val="00DB753D"/>
    <w:rsid w:val="00DB7CB1"/>
    <w:rsid w:val="00DC00DD"/>
    <w:rsid w:val="00DC0A36"/>
    <w:rsid w:val="00DC0E0A"/>
    <w:rsid w:val="00DC16CF"/>
    <w:rsid w:val="00DC2468"/>
    <w:rsid w:val="00DC3101"/>
    <w:rsid w:val="00DC441F"/>
    <w:rsid w:val="00DC6712"/>
    <w:rsid w:val="00DD03D7"/>
    <w:rsid w:val="00DD14A3"/>
    <w:rsid w:val="00DD2759"/>
    <w:rsid w:val="00DD2C67"/>
    <w:rsid w:val="00DD3210"/>
    <w:rsid w:val="00DD37B0"/>
    <w:rsid w:val="00DD3B91"/>
    <w:rsid w:val="00DD41BD"/>
    <w:rsid w:val="00DD45EC"/>
    <w:rsid w:val="00DD56B1"/>
    <w:rsid w:val="00DD595B"/>
    <w:rsid w:val="00DD5F22"/>
    <w:rsid w:val="00DD6050"/>
    <w:rsid w:val="00DD6653"/>
    <w:rsid w:val="00DD788C"/>
    <w:rsid w:val="00DD7C7B"/>
    <w:rsid w:val="00DE1631"/>
    <w:rsid w:val="00DE1EDD"/>
    <w:rsid w:val="00DE2815"/>
    <w:rsid w:val="00DE2E22"/>
    <w:rsid w:val="00DE39BE"/>
    <w:rsid w:val="00DE5565"/>
    <w:rsid w:val="00DE5DEA"/>
    <w:rsid w:val="00DE60BF"/>
    <w:rsid w:val="00DE60FE"/>
    <w:rsid w:val="00DE657E"/>
    <w:rsid w:val="00DE6B1A"/>
    <w:rsid w:val="00DE7291"/>
    <w:rsid w:val="00DE7660"/>
    <w:rsid w:val="00DE7914"/>
    <w:rsid w:val="00DE79BD"/>
    <w:rsid w:val="00DF05D7"/>
    <w:rsid w:val="00DF0922"/>
    <w:rsid w:val="00DF2AF7"/>
    <w:rsid w:val="00DF3D86"/>
    <w:rsid w:val="00DF4D39"/>
    <w:rsid w:val="00DF564D"/>
    <w:rsid w:val="00DF790B"/>
    <w:rsid w:val="00E0016A"/>
    <w:rsid w:val="00E003D4"/>
    <w:rsid w:val="00E005BE"/>
    <w:rsid w:val="00E00A74"/>
    <w:rsid w:val="00E00CFD"/>
    <w:rsid w:val="00E00DDC"/>
    <w:rsid w:val="00E01139"/>
    <w:rsid w:val="00E022C2"/>
    <w:rsid w:val="00E04098"/>
    <w:rsid w:val="00E0425A"/>
    <w:rsid w:val="00E04349"/>
    <w:rsid w:val="00E0519A"/>
    <w:rsid w:val="00E06F63"/>
    <w:rsid w:val="00E07A02"/>
    <w:rsid w:val="00E07D8D"/>
    <w:rsid w:val="00E100D1"/>
    <w:rsid w:val="00E10F3B"/>
    <w:rsid w:val="00E10FD5"/>
    <w:rsid w:val="00E116BA"/>
    <w:rsid w:val="00E12551"/>
    <w:rsid w:val="00E13AE5"/>
    <w:rsid w:val="00E14F56"/>
    <w:rsid w:val="00E14FF0"/>
    <w:rsid w:val="00E16092"/>
    <w:rsid w:val="00E16128"/>
    <w:rsid w:val="00E168D2"/>
    <w:rsid w:val="00E1769E"/>
    <w:rsid w:val="00E20091"/>
    <w:rsid w:val="00E20712"/>
    <w:rsid w:val="00E2074F"/>
    <w:rsid w:val="00E230A7"/>
    <w:rsid w:val="00E23582"/>
    <w:rsid w:val="00E2372D"/>
    <w:rsid w:val="00E24660"/>
    <w:rsid w:val="00E24768"/>
    <w:rsid w:val="00E259A9"/>
    <w:rsid w:val="00E25EC9"/>
    <w:rsid w:val="00E268A1"/>
    <w:rsid w:val="00E2698F"/>
    <w:rsid w:val="00E2749D"/>
    <w:rsid w:val="00E2797F"/>
    <w:rsid w:val="00E3046E"/>
    <w:rsid w:val="00E30A71"/>
    <w:rsid w:val="00E30EAF"/>
    <w:rsid w:val="00E337EA"/>
    <w:rsid w:val="00E33F6E"/>
    <w:rsid w:val="00E34498"/>
    <w:rsid w:val="00E34DB1"/>
    <w:rsid w:val="00E35603"/>
    <w:rsid w:val="00E3643B"/>
    <w:rsid w:val="00E36A50"/>
    <w:rsid w:val="00E37044"/>
    <w:rsid w:val="00E401F1"/>
    <w:rsid w:val="00E40A9A"/>
    <w:rsid w:val="00E418A4"/>
    <w:rsid w:val="00E4283F"/>
    <w:rsid w:val="00E4378E"/>
    <w:rsid w:val="00E43D87"/>
    <w:rsid w:val="00E44013"/>
    <w:rsid w:val="00E44057"/>
    <w:rsid w:val="00E44654"/>
    <w:rsid w:val="00E450D1"/>
    <w:rsid w:val="00E451E9"/>
    <w:rsid w:val="00E456A4"/>
    <w:rsid w:val="00E47336"/>
    <w:rsid w:val="00E47874"/>
    <w:rsid w:val="00E51776"/>
    <w:rsid w:val="00E521C0"/>
    <w:rsid w:val="00E52EAD"/>
    <w:rsid w:val="00E5445F"/>
    <w:rsid w:val="00E54AD5"/>
    <w:rsid w:val="00E564C3"/>
    <w:rsid w:val="00E56509"/>
    <w:rsid w:val="00E57ADE"/>
    <w:rsid w:val="00E6031D"/>
    <w:rsid w:val="00E609BA"/>
    <w:rsid w:val="00E618EA"/>
    <w:rsid w:val="00E622E0"/>
    <w:rsid w:val="00E632DF"/>
    <w:rsid w:val="00E63E99"/>
    <w:rsid w:val="00E646B4"/>
    <w:rsid w:val="00E6476F"/>
    <w:rsid w:val="00E65891"/>
    <w:rsid w:val="00E65BBF"/>
    <w:rsid w:val="00E6691A"/>
    <w:rsid w:val="00E676B8"/>
    <w:rsid w:val="00E67BC4"/>
    <w:rsid w:val="00E67E1B"/>
    <w:rsid w:val="00E70F87"/>
    <w:rsid w:val="00E712F2"/>
    <w:rsid w:val="00E720A7"/>
    <w:rsid w:val="00E723C4"/>
    <w:rsid w:val="00E727C7"/>
    <w:rsid w:val="00E736F1"/>
    <w:rsid w:val="00E73A80"/>
    <w:rsid w:val="00E73DC8"/>
    <w:rsid w:val="00E73FDA"/>
    <w:rsid w:val="00E74092"/>
    <w:rsid w:val="00E746E8"/>
    <w:rsid w:val="00E761D7"/>
    <w:rsid w:val="00E7623B"/>
    <w:rsid w:val="00E76AA7"/>
    <w:rsid w:val="00E77285"/>
    <w:rsid w:val="00E7737A"/>
    <w:rsid w:val="00E775FC"/>
    <w:rsid w:val="00E8170B"/>
    <w:rsid w:val="00E819AB"/>
    <w:rsid w:val="00E81B73"/>
    <w:rsid w:val="00E81D4C"/>
    <w:rsid w:val="00E81EC6"/>
    <w:rsid w:val="00E825F6"/>
    <w:rsid w:val="00E8299E"/>
    <w:rsid w:val="00E82C80"/>
    <w:rsid w:val="00E83710"/>
    <w:rsid w:val="00E839A6"/>
    <w:rsid w:val="00E83F1B"/>
    <w:rsid w:val="00E8467C"/>
    <w:rsid w:val="00E8518A"/>
    <w:rsid w:val="00E85922"/>
    <w:rsid w:val="00E85E34"/>
    <w:rsid w:val="00E867B1"/>
    <w:rsid w:val="00E8736C"/>
    <w:rsid w:val="00E876A1"/>
    <w:rsid w:val="00E87707"/>
    <w:rsid w:val="00E87DA6"/>
    <w:rsid w:val="00E9063F"/>
    <w:rsid w:val="00E907DF"/>
    <w:rsid w:val="00E926EA"/>
    <w:rsid w:val="00E92738"/>
    <w:rsid w:val="00E93F30"/>
    <w:rsid w:val="00E94445"/>
    <w:rsid w:val="00E94DB9"/>
    <w:rsid w:val="00E95212"/>
    <w:rsid w:val="00E96220"/>
    <w:rsid w:val="00E963FD"/>
    <w:rsid w:val="00E97498"/>
    <w:rsid w:val="00E977BD"/>
    <w:rsid w:val="00E97CDB"/>
    <w:rsid w:val="00EA058A"/>
    <w:rsid w:val="00EA2698"/>
    <w:rsid w:val="00EA277B"/>
    <w:rsid w:val="00EA2976"/>
    <w:rsid w:val="00EA2B14"/>
    <w:rsid w:val="00EA3676"/>
    <w:rsid w:val="00EA4EF4"/>
    <w:rsid w:val="00EA535F"/>
    <w:rsid w:val="00EA53E0"/>
    <w:rsid w:val="00EA6B69"/>
    <w:rsid w:val="00EA764E"/>
    <w:rsid w:val="00EA77F2"/>
    <w:rsid w:val="00EA7956"/>
    <w:rsid w:val="00EB0382"/>
    <w:rsid w:val="00EB21D4"/>
    <w:rsid w:val="00EB2D6C"/>
    <w:rsid w:val="00EB2EEF"/>
    <w:rsid w:val="00EB39C5"/>
    <w:rsid w:val="00EB56B9"/>
    <w:rsid w:val="00EB5713"/>
    <w:rsid w:val="00EB6012"/>
    <w:rsid w:val="00EB70B1"/>
    <w:rsid w:val="00EB7847"/>
    <w:rsid w:val="00EC12BF"/>
    <w:rsid w:val="00EC178B"/>
    <w:rsid w:val="00EC1FC0"/>
    <w:rsid w:val="00EC38E8"/>
    <w:rsid w:val="00EC3C5C"/>
    <w:rsid w:val="00EC6461"/>
    <w:rsid w:val="00EC7DC2"/>
    <w:rsid w:val="00ED0236"/>
    <w:rsid w:val="00ED25D8"/>
    <w:rsid w:val="00ED27B9"/>
    <w:rsid w:val="00ED427E"/>
    <w:rsid w:val="00ED473A"/>
    <w:rsid w:val="00ED4FDA"/>
    <w:rsid w:val="00ED5255"/>
    <w:rsid w:val="00ED5E3A"/>
    <w:rsid w:val="00ED6F15"/>
    <w:rsid w:val="00ED7482"/>
    <w:rsid w:val="00ED7543"/>
    <w:rsid w:val="00ED789A"/>
    <w:rsid w:val="00EE015A"/>
    <w:rsid w:val="00EE0733"/>
    <w:rsid w:val="00EE0922"/>
    <w:rsid w:val="00EE0D8D"/>
    <w:rsid w:val="00EE1424"/>
    <w:rsid w:val="00EE1E1F"/>
    <w:rsid w:val="00EE23C6"/>
    <w:rsid w:val="00EE2B25"/>
    <w:rsid w:val="00EE2D60"/>
    <w:rsid w:val="00EE407E"/>
    <w:rsid w:val="00EE484A"/>
    <w:rsid w:val="00EE5126"/>
    <w:rsid w:val="00EE53F4"/>
    <w:rsid w:val="00EE5630"/>
    <w:rsid w:val="00EE6CD6"/>
    <w:rsid w:val="00EE6F4A"/>
    <w:rsid w:val="00EE77E8"/>
    <w:rsid w:val="00EF0DFD"/>
    <w:rsid w:val="00EF113A"/>
    <w:rsid w:val="00EF16C9"/>
    <w:rsid w:val="00EF1B93"/>
    <w:rsid w:val="00EF50A0"/>
    <w:rsid w:val="00EF5B23"/>
    <w:rsid w:val="00EF6173"/>
    <w:rsid w:val="00EF63E3"/>
    <w:rsid w:val="00EF68A0"/>
    <w:rsid w:val="00EF6A48"/>
    <w:rsid w:val="00EF77F4"/>
    <w:rsid w:val="00F0025B"/>
    <w:rsid w:val="00F00369"/>
    <w:rsid w:val="00F007D3"/>
    <w:rsid w:val="00F00A6A"/>
    <w:rsid w:val="00F00BF2"/>
    <w:rsid w:val="00F00D9B"/>
    <w:rsid w:val="00F0110A"/>
    <w:rsid w:val="00F01226"/>
    <w:rsid w:val="00F015E5"/>
    <w:rsid w:val="00F02E84"/>
    <w:rsid w:val="00F0539F"/>
    <w:rsid w:val="00F053BC"/>
    <w:rsid w:val="00F05C5E"/>
    <w:rsid w:val="00F05DB8"/>
    <w:rsid w:val="00F05FE5"/>
    <w:rsid w:val="00F0626E"/>
    <w:rsid w:val="00F06602"/>
    <w:rsid w:val="00F06839"/>
    <w:rsid w:val="00F072EE"/>
    <w:rsid w:val="00F07C73"/>
    <w:rsid w:val="00F07EFE"/>
    <w:rsid w:val="00F11591"/>
    <w:rsid w:val="00F11722"/>
    <w:rsid w:val="00F145F8"/>
    <w:rsid w:val="00F146C3"/>
    <w:rsid w:val="00F15A21"/>
    <w:rsid w:val="00F17907"/>
    <w:rsid w:val="00F20640"/>
    <w:rsid w:val="00F23E72"/>
    <w:rsid w:val="00F255AD"/>
    <w:rsid w:val="00F25C59"/>
    <w:rsid w:val="00F25EB4"/>
    <w:rsid w:val="00F26389"/>
    <w:rsid w:val="00F264E7"/>
    <w:rsid w:val="00F277FE"/>
    <w:rsid w:val="00F30C8E"/>
    <w:rsid w:val="00F311AD"/>
    <w:rsid w:val="00F32189"/>
    <w:rsid w:val="00F32A00"/>
    <w:rsid w:val="00F340EB"/>
    <w:rsid w:val="00F36B65"/>
    <w:rsid w:val="00F37382"/>
    <w:rsid w:val="00F37A80"/>
    <w:rsid w:val="00F37E11"/>
    <w:rsid w:val="00F401C6"/>
    <w:rsid w:val="00F40BF8"/>
    <w:rsid w:val="00F40DD1"/>
    <w:rsid w:val="00F41F76"/>
    <w:rsid w:val="00F42FF3"/>
    <w:rsid w:val="00F433B2"/>
    <w:rsid w:val="00F4385E"/>
    <w:rsid w:val="00F4386C"/>
    <w:rsid w:val="00F4597D"/>
    <w:rsid w:val="00F50FBD"/>
    <w:rsid w:val="00F5149F"/>
    <w:rsid w:val="00F52ED9"/>
    <w:rsid w:val="00F52FF2"/>
    <w:rsid w:val="00F53A7E"/>
    <w:rsid w:val="00F53C28"/>
    <w:rsid w:val="00F53CFD"/>
    <w:rsid w:val="00F53DF9"/>
    <w:rsid w:val="00F54394"/>
    <w:rsid w:val="00F549B9"/>
    <w:rsid w:val="00F5583F"/>
    <w:rsid w:val="00F55921"/>
    <w:rsid w:val="00F56925"/>
    <w:rsid w:val="00F610AE"/>
    <w:rsid w:val="00F620E1"/>
    <w:rsid w:val="00F62643"/>
    <w:rsid w:val="00F629AF"/>
    <w:rsid w:val="00F62C91"/>
    <w:rsid w:val="00F6308F"/>
    <w:rsid w:val="00F63549"/>
    <w:rsid w:val="00F638B8"/>
    <w:rsid w:val="00F64202"/>
    <w:rsid w:val="00F65EB2"/>
    <w:rsid w:val="00F66296"/>
    <w:rsid w:val="00F664DC"/>
    <w:rsid w:val="00F66568"/>
    <w:rsid w:val="00F67A41"/>
    <w:rsid w:val="00F67F9C"/>
    <w:rsid w:val="00F71605"/>
    <w:rsid w:val="00F722EC"/>
    <w:rsid w:val="00F726E1"/>
    <w:rsid w:val="00F7453C"/>
    <w:rsid w:val="00F75C27"/>
    <w:rsid w:val="00F75E4D"/>
    <w:rsid w:val="00F75EC2"/>
    <w:rsid w:val="00F777F4"/>
    <w:rsid w:val="00F8016C"/>
    <w:rsid w:val="00F802DC"/>
    <w:rsid w:val="00F809D9"/>
    <w:rsid w:val="00F8166F"/>
    <w:rsid w:val="00F81C50"/>
    <w:rsid w:val="00F81D8B"/>
    <w:rsid w:val="00F8211E"/>
    <w:rsid w:val="00F8248C"/>
    <w:rsid w:val="00F82835"/>
    <w:rsid w:val="00F828C8"/>
    <w:rsid w:val="00F829C2"/>
    <w:rsid w:val="00F83193"/>
    <w:rsid w:val="00F83B5E"/>
    <w:rsid w:val="00F84036"/>
    <w:rsid w:val="00F848DE"/>
    <w:rsid w:val="00F85F8B"/>
    <w:rsid w:val="00F91886"/>
    <w:rsid w:val="00F928FD"/>
    <w:rsid w:val="00F929EA"/>
    <w:rsid w:val="00F9323D"/>
    <w:rsid w:val="00F93412"/>
    <w:rsid w:val="00F941B7"/>
    <w:rsid w:val="00F94A3C"/>
    <w:rsid w:val="00F959A9"/>
    <w:rsid w:val="00F96582"/>
    <w:rsid w:val="00F979E0"/>
    <w:rsid w:val="00F97F91"/>
    <w:rsid w:val="00FA063D"/>
    <w:rsid w:val="00FA1425"/>
    <w:rsid w:val="00FA20CF"/>
    <w:rsid w:val="00FA3B1C"/>
    <w:rsid w:val="00FA4699"/>
    <w:rsid w:val="00FA6CA3"/>
    <w:rsid w:val="00FA6EAF"/>
    <w:rsid w:val="00FA7767"/>
    <w:rsid w:val="00FA790D"/>
    <w:rsid w:val="00FA7E06"/>
    <w:rsid w:val="00FB05F5"/>
    <w:rsid w:val="00FB0A24"/>
    <w:rsid w:val="00FB409E"/>
    <w:rsid w:val="00FB68F0"/>
    <w:rsid w:val="00FB7354"/>
    <w:rsid w:val="00FB7C96"/>
    <w:rsid w:val="00FC057C"/>
    <w:rsid w:val="00FC0A7F"/>
    <w:rsid w:val="00FC2381"/>
    <w:rsid w:val="00FC2F1E"/>
    <w:rsid w:val="00FC4658"/>
    <w:rsid w:val="00FC47F0"/>
    <w:rsid w:val="00FC4C3D"/>
    <w:rsid w:val="00FC5059"/>
    <w:rsid w:val="00FC5DBC"/>
    <w:rsid w:val="00FC66C7"/>
    <w:rsid w:val="00FC6FCC"/>
    <w:rsid w:val="00FD0701"/>
    <w:rsid w:val="00FD07D5"/>
    <w:rsid w:val="00FD0EAE"/>
    <w:rsid w:val="00FD21DD"/>
    <w:rsid w:val="00FD3127"/>
    <w:rsid w:val="00FD3E13"/>
    <w:rsid w:val="00FD419F"/>
    <w:rsid w:val="00FD5E08"/>
    <w:rsid w:val="00FD69CA"/>
    <w:rsid w:val="00FD7194"/>
    <w:rsid w:val="00FD7C3C"/>
    <w:rsid w:val="00FE01F8"/>
    <w:rsid w:val="00FE1BD5"/>
    <w:rsid w:val="00FE1EF5"/>
    <w:rsid w:val="00FE2047"/>
    <w:rsid w:val="00FE2830"/>
    <w:rsid w:val="00FE29A1"/>
    <w:rsid w:val="00FE4FA0"/>
    <w:rsid w:val="00FE521F"/>
    <w:rsid w:val="00FE578C"/>
    <w:rsid w:val="00FE618D"/>
    <w:rsid w:val="00FE630D"/>
    <w:rsid w:val="00FE6325"/>
    <w:rsid w:val="00FE64C8"/>
    <w:rsid w:val="00FE7CBD"/>
    <w:rsid w:val="00FF096F"/>
    <w:rsid w:val="00FF0AA3"/>
    <w:rsid w:val="00FF4DF3"/>
    <w:rsid w:val="00FF6311"/>
    <w:rsid w:val="00FF691C"/>
    <w:rsid w:val="00FF737C"/>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8C5728-FCF4-41F4-A787-AF9FA38A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9C0"/>
    <w:pPr>
      <w:spacing w:after="200" w:line="276" w:lineRule="auto"/>
      <w:ind w:left="720"/>
      <w:contextualSpacing/>
    </w:pPr>
    <w:rPr>
      <w:rFonts w:ascii="Calibri" w:hAnsi="Calibri"/>
      <w:sz w:val="22"/>
      <w:szCs w:val="22"/>
    </w:rPr>
  </w:style>
  <w:style w:type="paragraph" w:styleId="EndnoteText">
    <w:name w:val="endnote text"/>
    <w:basedOn w:val="Normal"/>
    <w:link w:val="EndnoteTextChar"/>
    <w:unhideWhenUsed/>
    <w:rsid w:val="00A46FBA"/>
    <w:rPr>
      <w:sz w:val="20"/>
      <w:szCs w:val="20"/>
    </w:rPr>
  </w:style>
  <w:style w:type="character" w:customStyle="1" w:styleId="EndnoteTextChar">
    <w:name w:val="Endnote Text Char"/>
    <w:basedOn w:val="DefaultParagraphFont"/>
    <w:link w:val="EndnoteText"/>
    <w:rsid w:val="00A46FBA"/>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A46FBA"/>
    <w:rPr>
      <w:vertAlign w:val="superscript"/>
    </w:rPr>
  </w:style>
  <w:style w:type="character" w:styleId="Hyperlink">
    <w:name w:val="Hyperlink"/>
    <w:rsid w:val="00983210"/>
    <w:rPr>
      <w:color w:val="0000FF"/>
      <w:u w:val="single"/>
    </w:rPr>
  </w:style>
  <w:style w:type="paragraph" w:styleId="BalloonText">
    <w:name w:val="Balloon Text"/>
    <w:basedOn w:val="Normal"/>
    <w:link w:val="BalloonTextChar"/>
    <w:uiPriority w:val="99"/>
    <w:semiHidden/>
    <w:unhideWhenUsed/>
    <w:rsid w:val="00A47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71"/>
    <w:rPr>
      <w:rFonts w:ascii="Segoe UI" w:eastAsia="Times New Roman" w:hAnsi="Segoe UI" w:cs="Segoe UI"/>
      <w:sz w:val="18"/>
      <w:szCs w:val="18"/>
    </w:rPr>
  </w:style>
  <w:style w:type="table" w:styleId="TableGrid">
    <w:name w:val="Table Grid"/>
    <w:basedOn w:val="TableNormal"/>
    <w:uiPriority w:val="39"/>
    <w:rsid w:val="00073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35106">
      <w:bodyDiv w:val="1"/>
      <w:marLeft w:val="0"/>
      <w:marRight w:val="0"/>
      <w:marTop w:val="0"/>
      <w:marBottom w:val="0"/>
      <w:divBdr>
        <w:top w:val="none" w:sz="0" w:space="0" w:color="auto"/>
        <w:left w:val="none" w:sz="0" w:space="0" w:color="auto"/>
        <w:bottom w:val="none" w:sz="0" w:space="0" w:color="auto"/>
        <w:right w:val="none" w:sz="0" w:space="0" w:color="auto"/>
      </w:divBdr>
    </w:div>
    <w:div w:id="1193878424">
      <w:bodyDiv w:val="1"/>
      <w:marLeft w:val="0"/>
      <w:marRight w:val="0"/>
      <w:marTop w:val="0"/>
      <w:marBottom w:val="0"/>
      <w:divBdr>
        <w:top w:val="none" w:sz="0" w:space="0" w:color="auto"/>
        <w:left w:val="none" w:sz="0" w:space="0" w:color="auto"/>
        <w:bottom w:val="none" w:sz="0" w:space="0" w:color="auto"/>
        <w:right w:val="none" w:sz="0" w:space="0" w:color="auto"/>
      </w:divBdr>
    </w:div>
    <w:div w:id="15446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endnotes.xml.rels><?xml version="1.0" encoding="UTF-8" standalone="yes"?>
<Relationships xmlns="http://schemas.openxmlformats.org/package/2006/relationships"><Relationship Id="rId2" Type="http://schemas.openxmlformats.org/officeDocument/2006/relationships/hyperlink" Target="http://aids.actuarialsociety.org.za/ASSA2008-Model-3480.htm" TargetMode="External"/><Relationship Id="rId1" Type="http://schemas.openxmlformats.org/officeDocument/2006/relationships/hyperlink" Target="http://www.statssa.gov.za/publications/populationsta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ECAB457-D126-46FE-9715-3F9BA7FD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Stefanot</dc:creator>
  <cp:keywords/>
  <dc:description/>
  <cp:lastModifiedBy>Stefanot</cp:lastModifiedBy>
  <cp:revision>6</cp:revision>
  <cp:lastPrinted>2015-03-18T11:54:00Z</cp:lastPrinted>
  <dcterms:created xsi:type="dcterms:W3CDTF">2015-06-09T07:05:00Z</dcterms:created>
  <dcterms:modified xsi:type="dcterms:W3CDTF">2015-09-16T12:54:00Z</dcterms:modified>
</cp:coreProperties>
</file>