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69" w:rsidRDefault="0049204C">
      <w:r>
        <w:rPr>
          <w:rFonts w:ascii="Arial" w:eastAsia="Times New Roman" w:hAnsi="Arial" w:cs="Arial"/>
          <w:b/>
          <w:bCs/>
          <w:color w:val="000000"/>
          <w:sz w:val="24"/>
          <w:szCs w:val="24"/>
        </w:rPr>
        <w:t>Supplementary</w:t>
      </w:r>
      <w:r w:rsidR="001E73E4" w:rsidRPr="001E73E4">
        <w:rPr>
          <w:rFonts w:ascii="Arial" w:eastAsia="Times New Roman" w:hAnsi="Arial" w:cs="Arial"/>
          <w:b/>
          <w:bCs/>
          <w:color w:val="000000"/>
          <w:sz w:val="24"/>
          <w:szCs w:val="24"/>
        </w:rPr>
        <w:t xml:space="preserve"> Table 1: </w:t>
      </w:r>
      <w:r w:rsidR="001E73E4" w:rsidRPr="001E73E4">
        <w:rPr>
          <w:rFonts w:ascii="Arial" w:eastAsia="Times New Roman" w:hAnsi="Arial" w:cs="Arial"/>
          <w:color w:val="000000"/>
          <w:sz w:val="24"/>
          <w:szCs w:val="24"/>
        </w:rPr>
        <w:t>Distribution of covariates for invasive breast cancer diagnosed in 2011 from high quality registries*; original and imputed data</w:t>
      </w:r>
      <w:bookmarkStart w:id="0" w:name="_GoBack"/>
      <w:bookmarkEnd w:id="0"/>
    </w:p>
    <w:tbl>
      <w:tblPr>
        <w:tblpPr w:leftFromText="180" w:rightFromText="180" w:vertAnchor="page" w:horzAnchor="margin" w:tblpX="-522" w:tblpY="3089"/>
        <w:tblW w:w="5471" w:type="pct"/>
        <w:tblLayout w:type="fixed"/>
        <w:tblLook w:val="04A0" w:firstRow="1" w:lastRow="0" w:firstColumn="1" w:lastColumn="0" w:noHBand="0" w:noVBand="1"/>
      </w:tblPr>
      <w:tblGrid>
        <w:gridCol w:w="2989"/>
        <w:gridCol w:w="1168"/>
        <w:gridCol w:w="1168"/>
        <w:gridCol w:w="1171"/>
        <w:gridCol w:w="1081"/>
        <w:gridCol w:w="1081"/>
        <w:gridCol w:w="989"/>
        <w:gridCol w:w="989"/>
        <w:gridCol w:w="989"/>
        <w:gridCol w:w="989"/>
        <w:gridCol w:w="900"/>
        <w:gridCol w:w="903"/>
      </w:tblGrid>
      <w:tr w:rsidR="00F55379" w:rsidRPr="001E73E4" w:rsidTr="00C46B20">
        <w:trPr>
          <w:trHeight w:val="350"/>
        </w:trPr>
        <w:tc>
          <w:tcPr>
            <w:tcW w:w="103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55379" w:rsidRPr="00C46B20" w:rsidRDefault="00F55379" w:rsidP="001E73E4">
            <w:pPr>
              <w:spacing w:after="0" w:line="240" w:lineRule="auto"/>
              <w:rPr>
                <w:rFonts w:ascii="Arial" w:eastAsia="Times New Roman" w:hAnsi="Arial" w:cs="Arial"/>
                <w:b/>
                <w:bCs/>
                <w:color w:val="000000"/>
                <w:sz w:val="20"/>
                <w:szCs w:val="20"/>
              </w:rPr>
            </w:pPr>
            <w:r w:rsidRPr="00C46B20">
              <w:rPr>
                <w:rFonts w:ascii="Arial" w:eastAsia="Times New Roman" w:hAnsi="Arial" w:cs="Arial"/>
                <w:b/>
                <w:bCs/>
                <w:color w:val="000000"/>
                <w:sz w:val="20"/>
                <w:szCs w:val="20"/>
              </w:rPr>
              <w:t>N = 188,824, n = 178,125</w:t>
            </w:r>
          </w:p>
        </w:tc>
        <w:tc>
          <w:tcPr>
            <w:tcW w:w="3963" w:type="pct"/>
            <w:gridSpan w:val="11"/>
            <w:tcBorders>
              <w:top w:val="single" w:sz="4" w:space="0" w:color="auto"/>
              <w:left w:val="nil"/>
              <w:bottom w:val="single" w:sz="4" w:space="0" w:color="auto"/>
              <w:right w:val="single" w:sz="8" w:space="0" w:color="000000"/>
            </w:tcBorders>
            <w:shd w:val="clear" w:color="auto" w:fill="auto"/>
            <w:noWrap/>
            <w:vAlign w:val="center"/>
            <w:hideMark/>
          </w:tcPr>
          <w:p w:rsidR="00F55379" w:rsidRPr="001E73E4" w:rsidRDefault="00F55379" w:rsidP="00B2089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Percent of Cases</w:t>
            </w:r>
          </w:p>
        </w:tc>
      </w:tr>
      <w:tr w:rsidR="00C46B20" w:rsidRPr="001E73E4" w:rsidTr="00C46B20">
        <w:trPr>
          <w:trHeight w:val="240"/>
        </w:trPr>
        <w:tc>
          <w:tcPr>
            <w:tcW w:w="1037" w:type="pct"/>
            <w:tcBorders>
              <w:top w:val="single" w:sz="4" w:space="0" w:color="auto"/>
              <w:left w:val="single" w:sz="8" w:space="0" w:color="auto"/>
              <w:bottom w:val="single" w:sz="4" w:space="0" w:color="auto"/>
              <w:right w:val="single" w:sz="4" w:space="0" w:color="auto"/>
            </w:tcBorders>
            <w:shd w:val="clear" w:color="auto" w:fill="auto"/>
            <w:noWrap/>
          </w:tcPr>
          <w:p w:rsidR="00F55379" w:rsidRPr="003B3110" w:rsidRDefault="00E85F0F" w:rsidP="00F55379">
            <w:pPr>
              <w:spacing w:after="0" w:line="240" w:lineRule="auto"/>
              <w:rPr>
                <w:rFonts w:ascii="Arial" w:eastAsia="Times New Roman" w:hAnsi="Arial" w:cs="Arial"/>
                <w:b/>
                <w:bCs/>
                <w:color w:val="000000"/>
                <w:sz w:val="24"/>
                <w:szCs w:val="24"/>
              </w:rPr>
            </w:pPr>
            <w:r w:rsidRPr="003B3110">
              <w:rPr>
                <w:rFonts w:ascii="Arial" w:eastAsia="Times New Roman" w:hAnsi="Arial" w:cs="Arial"/>
                <w:b/>
                <w:bCs/>
                <w:color w:val="000000"/>
                <w:sz w:val="24"/>
                <w:szCs w:val="24"/>
              </w:rPr>
              <w:t>Imputation Number</w:t>
            </w:r>
          </w:p>
        </w:tc>
        <w:tc>
          <w:tcPr>
            <w:tcW w:w="405" w:type="pct"/>
            <w:tcBorders>
              <w:top w:val="single" w:sz="4" w:space="0" w:color="auto"/>
              <w:left w:val="nil"/>
              <w:bottom w:val="single" w:sz="4" w:space="0" w:color="auto"/>
              <w:right w:val="single" w:sz="4" w:space="0" w:color="auto"/>
            </w:tcBorders>
            <w:shd w:val="clear" w:color="auto" w:fill="auto"/>
            <w:noWrap/>
          </w:tcPr>
          <w:p w:rsidR="00F55379" w:rsidRPr="003B3110" w:rsidRDefault="00F55379" w:rsidP="00F55379">
            <w:pPr>
              <w:spacing w:after="0" w:line="240" w:lineRule="auto"/>
              <w:jc w:val="center"/>
              <w:rPr>
                <w:rFonts w:ascii="Arial" w:eastAsia="Times New Roman" w:hAnsi="Arial" w:cs="Arial"/>
                <w:b/>
                <w:bCs/>
                <w:color w:val="000000"/>
                <w:sz w:val="24"/>
                <w:szCs w:val="24"/>
              </w:rPr>
            </w:pPr>
            <w:r w:rsidRPr="003B3110">
              <w:rPr>
                <w:rFonts w:ascii="Arial" w:eastAsia="Times New Roman" w:hAnsi="Arial" w:cs="Arial"/>
                <w:b/>
                <w:bCs/>
                <w:color w:val="000000"/>
                <w:sz w:val="24"/>
                <w:szCs w:val="24"/>
              </w:rPr>
              <w:t>Original</w:t>
            </w:r>
          </w:p>
        </w:tc>
        <w:tc>
          <w:tcPr>
            <w:tcW w:w="405"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Arial" w:eastAsia="Times New Roman" w:hAnsi="Arial" w:cs="Arial"/>
                <w:b/>
                <w:bCs/>
                <w:color w:val="000000"/>
                <w:sz w:val="24"/>
                <w:szCs w:val="24"/>
              </w:rPr>
            </w:pPr>
            <w:r w:rsidRPr="003B3110">
              <w:rPr>
                <w:rFonts w:ascii="Arial" w:eastAsia="Times New Roman" w:hAnsi="Arial" w:cs="Arial"/>
                <w:b/>
                <w:bCs/>
                <w:color w:val="000000"/>
                <w:sz w:val="24"/>
                <w:szCs w:val="24"/>
              </w:rPr>
              <w:t>1</w:t>
            </w:r>
          </w:p>
        </w:tc>
        <w:tc>
          <w:tcPr>
            <w:tcW w:w="406"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2</w:t>
            </w:r>
          </w:p>
        </w:tc>
        <w:tc>
          <w:tcPr>
            <w:tcW w:w="375"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3</w:t>
            </w:r>
          </w:p>
        </w:tc>
        <w:tc>
          <w:tcPr>
            <w:tcW w:w="375"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4</w:t>
            </w:r>
          </w:p>
        </w:tc>
        <w:tc>
          <w:tcPr>
            <w:tcW w:w="343"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5</w:t>
            </w:r>
          </w:p>
        </w:tc>
        <w:tc>
          <w:tcPr>
            <w:tcW w:w="343"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6</w:t>
            </w:r>
          </w:p>
        </w:tc>
        <w:tc>
          <w:tcPr>
            <w:tcW w:w="343"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7</w:t>
            </w:r>
          </w:p>
        </w:tc>
        <w:tc>
          <w:tcPr>
            <w:tcW w:w="343"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8</w:t>
            </w:r>
          </w:p>
        </w:tc>
        <w:tc>
          <w:tcPr>
            <w:tcW w:w="312" w:type="pct"/>
            <w:tcBorders>
              <w:top w:val="single" w:sz="4" w:space="0" w:color="auto"/>
              <w:left w:val="nil"/>
              <w:bottom w:val="single" w:sz="4" w:space="0" w:color="auto"/>
              <w:right w:val="nil"/>
            </w:tcBorders>
            <w:shd w:val="clear" w:color="auto" w:fill="auto"/>
            <w:noWrap/>
            <w:vAlign w:val="center"/>
          </w:tcPr>
          <w:p w:rsidR="00F55379" w:rsidRPr="003B3110" w:rsidRDefault="00F55379" w:rsidP="00F55379">
            <w:pPr>
              <w:spacing w:after="0" w:line="240" w:lineRule="auto"/>
              <w:jc w:val="center"/>
              <w:rPr>
                <w:rFonts w:ascii="Times New Roman" w:eastAsia="Times New Roman" w:hAnsi="Times New Roman" w:cs="Times New Roman"/>
                <w:sz w:val="24"/>
                <w:szCs w:val="24"/>
              </w:rPr>
            </w:pPr>
            <w:r w:rsidRPr="003B3110">
              <w:rPr>
                <w:rFonts w:ascii="Arial" w:eastAsia="Times New Roman" w:hAnsi="Arial" w:cs="Arial"/>
                <w:b/>
                <w:bCs/>
                <w:color w:val="000000"/>
                <w:sz w:val="24"/>
                <w:szCs w:val="24"/>
              </w:rPr>
              <w:t>9</w:t>
            </w:r>
          </w:p>
        </w:tc>
        <w:tc>
          <w:tcPr>
            <w:tcW w:w="313" w:type="pct"/>
            <w:tcBorders>
              <w:top w:val="single" w:sz="4" w:space="0" w:color="auto"/>
              <w:left w:val="nil"/>
              <w:bottom w:val="single" w:sz="4" w:space="0" w:color="auto"/>
              <w:right w:val="single" w:sz="8" w:space="0" w:color="auto"/>
            </w:tcBorders>
            <w:shd w:val="clear" w:color="auto" w:fill="auto"/>
            <w:noWrap/>
            <w:vAlign w:val="center"/>
          </w:tcPr>
          <w:p w:rsidR="00F55379" w:rsidRPr="003B3110" w:rsidRDefault="00F55379" w:rsidP="00F55379">
            <w:pPr>
              <w:spacing w:after="0" w:line="240" w:lineRule="auto"/>
              <w:jc w:val="center"/>
              <w:rPr>
                <w:rFonts w:ascii="Arial" w:eastAsia="Times New Roman" w:hAnsi="Arial" w:cs="Arial"/>
                <w:b/>
                <w:bCs/>
                <w:color w:val="000000"/>
                <w:sz w:val="24"/>
                <w:szCs w:val="24"/>
              </w:rPr>
            </w:pPr>
            <w:r w:rsidRPr="003B3110">
              <w:rPr>
                <w:rFonts w:ascii="Arial" w:eastAsia="Times New Roman" w:hAnsi="Arial" w:cs="Arial"/>
                <w:b/>
                <w:bCs/>
                <w:color w:val="000000"/>
                <w:sz w:val="24"/>
                <w:szCs w:val="24"/>
              </w:rPr>
              <w:t>10</w:t>
            </w:r>
          </w:p>
        </w:tc>
      </w:tr>
      <w:tr w:rsidR="00F55379" w:rsidRPr="001E73E4" w:rsidTr="00C46B20">
        <w:trPr>
          <w:trHeight w:val="240"/>
        </w:trPr>
        <w:tc>
          <w:tcPr>
            <w:tcW w:w="1037" w:type="pct"/>
            <w:tcBorders>
              <w:top w:val="single" w:sz="4" w:space="0" w:color="auto"/>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rPr>
                <w:rFonts w:ascii="Arial" w:eastAsia="Times New Roman" w:hAnsi="Arial" w:cs="Arial"/>
                <w:b/>
                <w:bCs/>
                <w:color w:val="000000"/>
                <w:sz w:val="24"/>
                <w:szCs w:val="24"/>
              </w:rPr>
            </w:pPr>
            <w:r w:rsidRPr="001E73E4">
              <w:rPr>
                <w:rFonts w:ascii="Arial" w:eastAsia="Times New Roman" w:hAnsi="Arial" w:cs="Arial"/>
                <w:b/>
                <w:bCs/>
                <w:color w:val="000000"/>
                <w:sz w:val="24"/>
                <w:szCs w:val="24"/>
              </w:rPr>
              <w:t>Demographics</w:t>
            </w:r>
          </w:p>
        </w:tc>
        <w:tc>
          <w:tcPr>
            <w:tcW w:w="405" w:type="pct"/>
            <w:tcBorders>
              <w:top w:val="single" w:sz="4" w:space="0" w:color="auto"/>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b/>
                <w:bCs/>
                <w:color w:val="000000"/>
                <w:sz w:val="24"/>
                <w:szCs w:val="24"/>
              </w:rPr>
            </w:pPr>
          </w:p>
        </w:tc>
        <w:tc>
          <w:tcPr>
            <w:tcW w:w="405"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b/>
                <w:bCs/>
                <w:color w:val="000000"/>
                <w:sz w:val="24"/>
                <w:szCs w:val="24"/>
              </w:rPr>
            </w:pPr>
          </w:p>
        </w:tc>
        <w:tc>
          <w:tcPr>
            <w:tcW w:w="406"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single" w:sz="4" w:space="0" w:color="auto"/>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single" w:sz="4" w:space="0" w:color="auto"/>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b/>
                <w:bCs/>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Age at diagnosis</w:t>
            </w:r>
            <w:r w:rsidRPr="00C46B20">
              <w:rPr>
                <w:rFonts w:ascii="Arial" w:eastAsia="Times New Roman" w:hAnsi="Arial" w:cs="Arial"/>
                <w:bCs/>
                <w:color w:val="000000"/>
                <w:sz w:val="24"/>
                <w:szCs w:val="24"/>
                <w:vertAlign w:val="superscript"/>
              </w:rPr>
              <w: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b/>
                <w:bCs/>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b/>
                <w:bCs/>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b/>
                <w:bCs/>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0–34 years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35–44 years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8.8</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8.8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8.8</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45–54 years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55–64 years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27.5</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65–74 years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24.4</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75–84 years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15.6</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r w:rsidRPr="001E73E4">
              <w:rPr>
                <w:rFonts w:ascii="Arial" w:eastAsia="Times New Roman" w:hAnsi="Arial" w:cs="Arial"/>
                <w:i/>
                <w:iCs/>
                <w:color w:val="000000"/>
                <w:sz w:val="24"/>
                <w:szCs w:val="24"/>
              </w:rPr>
              <w:t xml:space="preserve">10,600 cases age 85+ were excluded </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Race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White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82.7</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84.0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83.9</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Black</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11.9</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API</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4.0</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Ethnicity</w:t>
            </w:r>
            <w:r w:rsidRPr="00C46B20">
              <w:rPr>
                <w:rFonts w:ascii="Arial" w:eastAsia="Times New Roman" w:hAnsi="Arial" w:cs="Arial"/>
                <w:bCs/>
                <w:color w:val="000000"/>
                <w:sz w:val="24"/>
                <w:szCs w:val="24"/>
                <w:vertAlign w:val="superscript"/>
              </w:rPr>
              <w: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Non-Hispanic</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93.1</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Hispanic</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406"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75"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43"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12" w:type="pct"/>
            <w:tcBorders>
              <w:top w:val="nil"/>
              <w:left w:val="single" w:sz="4" w:space="0" w:color="auto"/>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c>
          <w:tcPr>
            <w:tcW w:w="313" w:type="pct"/>
            <w:tcBorders>
              <w:top w:val="nil"/>
              <w:left w:val="single" w:sz="4" w:space="0" w:color="auto"/>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6.9</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
                <w:bCs/>
                <w:color w:val="000000"/>
                <w:sz w:val="24"/>
                <w:szCs w:val="24"/>
              </w:rPr>
            </w:pPr>
            <w:r w:rsidRPr="001E73E4">
              <w:rPr>
                <w:rFonts w:ascii="Arial" w:eastAsia="Times New Roman" w:hAnsi="Arial" w:cs="Arial"/>
                <w:b/>
                <w:bCs/>
                <w:color w:val="000000"/>
                <w:sz w:val="24"/>
                <w:szCs w:val="24"/>
              </w:rPr>
              <w:t>Clinical Variables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Reporting Source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 xml:space="preserve">Hospital inpatient/outpatient </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93.9</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92.9</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Radiation Facilities or Other Hospital Outpatient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4.0</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 xml:space="preserve">Laboratory &amp; </w:t>
            </w:r>
            <w:proofErr w:type="spellStart"/>
            <w:r w:rsidRPr="001E73E4">
              <w:rPr>
                <w:rFonts w:ascii="Arial" w:eastAsia="Times New Roman" w:hAnsi="Arial" w:cs="Arial"/>
                <w:color w:val="000000"/>
                <w:sz w:val="24"/>
                <w:szCs w:val="24"/>
              </w:rPr>
              <w:t>Physican's</w:t>
            </w:r>
            <w:proofErr w:type="spellEnd"/>
            <w:r w:rsidRPr="001E73E4">
              <w:rPr>
                <w:rFonts w:ascii="Arial" w:eastAsia="Times New Roman" w:hAnsi="Arial" w:cs="Arial"/>
                <w:color w:val="000000"/>
                <w:sz w:val="24"/>
                <w:szCs w:val="24"/>
              </w:rPr>
              <w:t xml:space="preserve"> Office </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SEER Summary Stage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lastRenderedPageBreak/>
              <w:t>Local</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64.1</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64.9</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Regional</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29.1</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Distant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5.</w:t>
            </w:r>
            <w:r>
              <w:rPr>
                <w:rFonts w:ascii="Arial" w:eastAsia="Times New Roman" w:hAnsi="Arial" w:cs="Arial"/>
                <w:color w:val="000000"/>
                <w:sz w:val="24"/>
                <w:szCs w:val="24"/>
              </w:rPr>
              <w:t>6</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SEER Grade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Well Differentiated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0.2</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22.6</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 xml:space="preserve"> Moderately  Differentiated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41.2</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44.2</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44.1</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44.1</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44.2</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44.1</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44.2</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 xml:space="preserve">Poorly &amp; </w:t>
            </w:r>
            <w:r>
              <w:rPr>
                <w:rFonts w:ascii="Arial" w:eastAsia="Times New Roman" w:hAnsi="Arial" w:cs="Arial"/>
                <w:color w:val="000000"/>
                <w:sz w:val="24"/>
                <w:szCs w:val="24"/>
              </w:rPr>
              <w:t>Un</w:t>
            </w:r>
            <w:r w:rsidRPr="001E73E4">
              <w:rPr>
                <w:rFonts w:ascii="Arial" w:eastAsia="Times New Roman" w:hAnsi="Arial" w:cs="Arial"/>
                <w:color w:val="000000"/>
                <w:sz w:val="24"/>
                <w:szCs w:val="24"/>
              </w:rPr>
              <w:t>differentiated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33.2</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33.3</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33.3</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Histology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Ductal</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75.6</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76.8</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Lobular</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8.9</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Mixed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9.2</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Other</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4.7</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4.</w:t>
            </w:r>
            <w:r>
              <w:rPr>
                <w:rFonts w:ascii="Arial" w:eastAsia="Times New Roman" w:hAnsi="Arial" w:cs="Arial"/>
                <w:color w:val="000000"/>
                <w:sz w:val="24"/>
                <w:szCs w:val="24"/>
              </w:rPr>
              <w:t>9</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4.9</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Surgery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9.3</w:t>
            </w: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Yes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90.7</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CS Tumor Size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w:t>
            </w:r>
            <w:r w:rsidRPr="001E73E4">
              <w:rPr>
                <w:rFonts w:ascii="Arial" w:eastAsia="Times New Roman" w:hAnsi="Arial" w:cs="Arial"/>
                <w:color w:val="000000"/>
                <w:sz w:val="24"/>
                <w:szCs w:val="24"/>
              </w:rPr>
              <w:t xml:space="preserve"> 1</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1.1 – 2.0</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26.1</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26.7</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2.1 – 3.0</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61.4</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63.9</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63.8</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≥3.1</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8.</w:t>
            </w:r>
            <w:r>
              <w:rPr>
                <w:rFonts w:ascii="Arial" w:eastAsia="Times New Roman" w:hAnsi="Arial" w:cs="Arial"/>
                <w:color w:val="000000"/>
                <w:sz w:val="24"/>
                <w:szCs w:val="24"/>
              </w:rPr>
              <w:t>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4.1</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Subtype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ind w:left="450"/>
              <w:rPr>
                <w:rFonts w:ascii="Arial" w:eastAsia="Times New Roman" w:hAnsi="Arial" w:cs="Arial"/>
                <w:bCs/>
                <w:sz w:val="24"/>
                <w:szCs w:val="24"/>
              </w:rPr>
            </w:pPr>
            <w:r w:rsidRPr="001E73E4">
              <w:rPr>
                <w:rFonts w:ascii="Arial" w:eastAsia="Times New Roman" w:hAnsi="Arial" w:cs="Arial"/>
                <w:bCs/>
                <w:sz w:val="24"/>
                <w:szCs w:val="24"/>
              </w:rPr>
              <w:t>ER Status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sidRPr="001E73E4">
              <w:rPr>
                <w:rFonts w:ascii="Arial" w:eastAsia="Times New Roman" w:hAnsi="Arial" w:cs="Arial"/>
                <w:color w:val="000000"/>
                <w:sz w:val="24"/>
                <w:szCs w:val="24"/>
              </w:rPr>
              <w:t>Positive</w:t>
            </w:r>
            <w:r w:rsidR="00E85F0F" w:rsidRPr="00C46B20">
              <w:rPr>
                <w:rFonts w:ascii="Arial" w:eastAsia="Times New Roman" w:hAnsi="Arial" w:cs="Arial"/>
                <w:bCs/>
                <w:color w:val="000000"/>
                <w:sz w:val="24"/>
                <w:szCs w:val="24"/>
                <w:vertAlign w:val="superscript"/>
              </w:rPr>
              <w: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78.3</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81.7</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sidRPr="001E73E4">
              <w:rPr>
                <w:rFonts w:ascii="Arial" w:eastAsia="Times New Roman" w:hAnsi="Arial" w:cs="Arial"/>
                <w:color w:val="000000"/>
                <w:sz w:val="24"/>
                <w:szCs w:val="24"/>
              </w:rPr>
              <w:t>Negative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17.2</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18.3</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4.5</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ind w:left="450"/>
              <w:rPr>
                <w:rFonts w:ascii="Arial" w:eastAsia="Times New Roman" w:hAnsi="Arial" w:cs="Arial"/>
                <w:bCs/>
                <w:color w:val="000000"/>
                <w:sz w:val="24"/>
                <w:szCs w:val="24"/>
              </w:rPr>
            </w:pPr>
            <w:r w:rsidRPr="001E73E4">
              <w:rPr>
                <w:rFonts w:ascii="Arial" w:eastAsia="Times New Roman" w:hAnsi="Arial" w:cs="Arial"/>
                <w:bCs/>
                <w:color w:val="000000"/>
                <w:sz w:val="24"/>
                <w:szCs w:val="24"/>
              </w:rPr>
              <w:t>PR Status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sidRPr="001E73E4">
              <w:rPr>
                <w:rFonts w:ascii="Arial" w:eastAsia="Times New Roman" w:hAnsi="Arial" w:cs="Arial"/>
                <w:color w:val="000000"/>
                <w:sz w:val="24"/>
                <w:szCs w:val="24"/>
              </w:rPr>
              <w:lastRenderedPageBreak/>
              <w:t>Positive</w:t>
            </w:r>
            <w:r w:rsidR="00E85F0F" w:rsidRPr="006E4689">
              <w:rPr>
                <w:rFonts w:ascii="Arial" w:eastAsia="Times New Roman" w:hAnsi="Arial" w:cs="Arial"/>
                <w:bCs/>
                <w:color w:val="000000"/>
                <w:sz w:val="24"/>
                <w:szCs w:val="24"/>
                <w:vertAlign w:val="superscript"/>
              </w:rPr>
              <w:t>‡</w:t>
            </w:r>
            <w:r w:rsidRPr="001E73E4">
              <w:rPr>
                <w:rFonts w:ascii="Arial" w:eastAsia="Times New Roman" w:hAnsi="Arial" w:cs="Arial"/>
                <w:color w:val="000000"/>
                <w:sz w:val="24"/>
                <w:szCs w:val="24"/>
                <w:vertAlign w:val="superscript"/>
              </w:rPr>
              <w:t xml:space="preserve">  </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68.2</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71.5</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sidRPr="001E73E4">
              <w:rPr>
                <w:rFonts w:ascii="Arial" w:eastAsia="Times New Roman" w:hAnsi="Arial" w:cs="Arial"/>
                <w:color w:val="000000"/>
                <w:sz w:val="24"/>
                <w:szCs w:val="24"/>
              </w:rPr>
              <w:t>Negative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27.0</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28.6</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28</w:t>
            </w:r>
            <w:r>
              <w:rPr>
                <w:rFonts w:ascii="Arial" w:eastAsia="Times New Roman" w:hAnsi="Arial" w:cs="Arial"/>
                <w:color w:val="000000"/>
                <w:sz w:val="24"/>
                <w:szCs w:val="24"/>
              </w:rPr>
              <w:t>.5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28.5</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ind w:left="450"/>
              <w:rPr>
                <w:rFonts w:ascii="Arial" w:eastAsia="Times New Roman" w:hAnsi="Arial" w:cs="Arial"/>
                <w:bCs/>
                <w:color w:val="000000"/>
                <w:sz w:val="24"/>
                <w:szCs w:val="24"/>
              </w:rPr>
            </w:pPr>
            <w:r w:rsidRPr="001E73E4">
              <w:rPr>
                <w:rFonts w:ascii="Arial" w:eastAsia="Times New Roman" w:hAnsi="Arial" w:cs="Arial"/>
                <w:bCs/>
                <w:color w:val="000000"/>
                <w:sz w:val="24"/>
                <w:szCs w:val="24"/>
              </w:rPr>
              <w:t>HER2 Status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sidRPr="001E73E4">
              <w:rPr>
                <w:rFonts w:ascii="Arial" w:eastAsia="Times New Roman" w:hAnsi="Arial" w:cs="Arial"/>
                <w:color w:val="000000"/>
                <w:sz w:val="24"/>
                <w:szCs w:val="24"/>
              </w:rPr>
              <w:t>Positive</w:t>
            </w:r>
            <w:r w:rsidR="00E85F0F">
              <w:rPr>
                <w:rFonts w:ascii="Arial" w:eastAsia="Times New Roman" w:hAnsi="Arial" w:cs="Arial"/>
                <w:color w:val="000000"/>
                <w:sz w:val="24"/>
                <w:szCs w:val="24"/>
                <w:vertAlign w:val="superscript"/>
              </w:rPr>
              <w: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14.8</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sidRPr="001E73E4">
              <w:rPr>
                <w:rFonts w:ascii="Arial" w:eastAsia="Times New Roman" w:hAnsi="Arial" w:cs="Arial"/>
                <w:color w:val="000000"/>
                <w:sz w:val="24"/>
                <w:szCs w:val="24"/>
              </w:rPr>
              <w:t>Negative</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76.4</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85.4</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99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10.7</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
                <w:bCs/>
                <w:color w:val="000000"/>
                <w:sz w:val="24"/>
                <w:szCs w:val="24"/>
              </w:rPr>
            </w:pPr>
            <w:r w:rsidRPr="001E73E4">
              <w:rPr>
                <w:rFonts w:ascii="Arial" w:eastAsia="Times New Roman" w:hAnsi="Arial" w:cs="Arial"/>
                <w:b/>
                <w:bCs/>
                <w:color w:val="000000"/>
                <w:sz w:val="24"/>
                <w:szCs w:val="24"/>
              </w:rPr>
              <w:t>Area-based Variables</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vAlign w:val="bottom"/>
            <w:hideMark/>
          </w:tcPr>
          <w:p w:rsidR="00F55379" w:rsidRPr="001E73E4" w:rsidRDefault="00F55379" w:rsidP="00F55379">
            <w:pPr>
              <w:spacing w:after="0" w:line="240" w:lineRule="auto"/>
              <w:rPr>
                <w:rFonts w:ascii="Arial" w:eastAsia="Times New Roman" w:hAnsi="Arial" w:cs="Arial"/>
                <w:bCs/>
                <w:color w:val="000000"/>
                <w:sz w:val="24"/>
                <w:szCs w:val="24"/>
              </w:rPr>
            </w:pPr>
            <w:r w:rsidRPr="001E73E4">
              <w:rPr>
                <w:rFonts w:ascii="Arial" w:eastAsia="Times New Roman" w:hAnsi="Arial" w:cs="Arial"/>
                <w:bCs/>
                <w:color w:val="000000"/>
                <w:sz w:val="24"/>
                <w:szCs w:val="24"/>
              </w:rPr>
              <w:t>County-Level Beale Codes (2013)</w:t>
            </w:r>
            <w:r w:rsidRPr="00C46B20">
              <w:rPr>
                <w:rFonts w:ascii="Arial" w:eastAsia="Times New Roman" w:hAnsi="Arial" w:cs="Arial"/>
                <w:bCs/>
                <w:color w:val="000000"/>
                <w:sz w:val="24"/>
                <w:szCs w:val="24"/>
                <w:vertAlign w:val="superscript"/>
              </w:rPr>
              <w: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Metro</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85.3</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8</w:t>
            </w:r>
            <w:r>
              <w:rPr>
                <w:rFonts w:ascii="Arial" w:eastAsia="Times New Roman" w:hAnsi="Arial" w:cs="Arial"/>
                <w:color w:val="000000"/>
                <w:sz w:val="24"/>
                <w:szCs w:val="24"/>
              </w:rPr>
              <w:t>5.3</w:t>
            </w:r>
          </w:p>
        </w:tc>
      </w:tr>
      <w:tr w:rsidR="00F55379" w:rsidRPr="001E73E4" w:rsidTr="00F55379">
        <w:trPr>
          <w:trHeight w:val="289"/>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Non-Metro</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14.7</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i/>
                <w:iCs/>
                <w:color w:val="000000"/>
                <w:sz w:val="24"/>
                <w:szCs w:val="24"/>
              </w:rPr>
            </w:pPr>
            <w:r w:rsidRPr="001E73E4">
              <w:rPr>
                <w:rFonts w:ascii="Arial" w:eastAsia="Times New Roman" w:hAnsi="Arial" w:cs="Arial"/>
                <w:i/>
                <w:iCs/>
                <w:color w:val="000000"/>
                <w:sz w:val="24"/>
                <w:szCs w:val="24"/>
              </w:rPr>
              <w:t>104 cases unknown county were excluded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E256CE" w:rsidRDefault="00F55379" w:rsidP="00F55379">
            <w:pPr>
              <w:spacing w:after="0" w:line="240" w:lineRule="auto"/>
              <w:rPr>
                <w:rFonts w:ascii="Arial" w:eastAsia="Times New Roman" w:hAnsi="Arial" w:cs="Arial"/>
                <w:bCs/>
                <w:color w:val="000000"/>
                <w:sz w:val="24"/>
                <w:szCs w:val="24"/>
              </w:rPr>
            </w:pPr>
            <w:r w:rsidRPr="00E256CE">
              <w:rPr>
                <w:rFonts w:ascii="Arial" w:eastAsia="Times New Roman" w:hAnsi="Arial" w:cs="Arial"/>
                <w:bCs/>
                <w:color w:val="000000"/>
                <w:sz w:val="24"/>
                <w:szCs w:val="24"/>
              </w:rPr>
              <w:t>% Persons in Poverty (County)</w:t>
            </w:r>
            <w:r w:rsidRPr="00C46B20">
              <w:rPr>
                <w:rFonts w:ascii="Arial" w:eastAsia="Times New Roman" w:hAnsi="Arial" w:cs="Arial"/>
                <w:bCs/>
                <w:color w:val="000000"/>
                <w:sz w:val="24"/>
                <w:szCs w:val="24"/>
                <w:vertAlign w:val="superscript"/>
              </w:rPr>
              <w:t>†</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Low Poverty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21.0</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2</w:t>
            </w:r>
            <w:r>
              <w:rPr>
                <w:rFonts w:ascii="Arial" w:eastAsia="Times New Roman" w:hAnsi="Arial" w:cs="Arial"/>
                <w:color w:val="000000"/>
                <w:sz w:val="24"/>
                <w:szCs w:val="24"/>
              </w:rPr>
              <w:t>1.0</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Middle Poverty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67.5</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High Poverty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11.5</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i/>
                <w:iCs/>
                <w:color w:val="000000"/>
                <w:sz w:val="24"/>
                <w:szCs w:val="24"/>
              </w:rPr>
            </w:pPr>
            <w:r w:rsidRPr="001E73E4">
              <w:rPr>
                <w:rFonts w:ascii="Arial" w:eastAsia="Times New Roman" w:hAnsi="Arial" w:cs="Arial"/>
                <w:i/>
                <w:iCs/>
                <w:color w:val="000000"/>
                <w:sz w:val="24"/>
                <w:szCs w:val="24"/>
              </w:rPr>
              <w:t>104 cases unknown county were excluded</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i/>
                <w:iCs/>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vAlign w:val="bottom"/>
            <w:hideMark/>
          </w:tcPr>
          <w:p w:rsidR="00F55379" w:rsidRPr="00E256CE" w:rsidRDefault="00F55379" w:rsidP="00E85F0F">
            <w:pPr>
              <w:spacing w:after="0" w:line="240" w:lineRule="auto"/>
              <w:rPr>
                <w:rFonts w:ascii="Arial" w:eastAsia="Times New Roman" w:hAnsi="Arial" w:cs="Arial"/>
                <w:bCs/>
                <w:color w:val="000000"/>
                <w:sz w:val="24"/>
                <w:szCs w:val="24"/>
              </w:rPr>
            </w:pPr>
            <w:r w:rsidRPr="00E256CE">
              <w:rPr>
                <w:rFonts w:ascii="Arial" w:eastAsia="Times New Roman" w:hAnsi="Arial" w:cs="Arial"/>
                <w:bCs/>
                <w:color w:val="000000"/>
                <w:sz w:val="24"/>
                <w:szCs w:val="24"/>
              </w:rPr>
              <w:t>% Persons in Poverty (Tract)</w:t>
            </w:r>
            <w:r w:rsidRPr="00C46B20">
              <w:rPr>
                <w:rFonts w:ascii="Arial" w:eastAsia="Times New Roman" w:hAnsi="Arial" w:cs="Arial"/>
                <w:bCs/>
                <w:color w:val="000000"/>
                <w:sz w:val="24"/>
                <w:szCs w:val="24"/>
                <w:vertAlign w:val="superscript"/>
              </w:rPr>
              <w:t>†,</w:t>
            </w:r>
            <w:r w:rsidR="00E85F0F">
              <w:rPr>
                <w:rFonts w:ascii="Arial" w:eastAsia="Times New Roman" w:hAnsi="Arial" w:cs="Arial"/>
                <w:bCs/>
                <w:color w:val="000000"/>
                <w:sz w:val="24"/>
                <w:szCs w:val="24"/>
                <w:vertAlign w:val="superscript"/>
              </w:rPr>
              <w:t>ǁ</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Times New Roman" w:eastAsia="Times New Roman" w:hAnsi="Times New Roman" w:cs="Times New Roman"/>
                <w:sz w:val="24"/>
                <w:szCs w:val="24"/>
              </w:rPr>
            </w:pP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Low Poverty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51.9</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52.6</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Middle Poverty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28.8</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29.2</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29.2</w:t>
            </w:r>
          </w:p>
        </w:tc>
      </w:tr>
      <w:tr w:rsidR="00F55379" w:rsidRPr="001E73E4" w:rsidTr="00F55379">
        <w:trPr>
          <w:trHeight w:val="225"/>
        </w:trPr>
        <w:tc>
          <w:tcPr>
            <w:tcW w:w="1037" w:type="pct"/>
            <w:tcBorders>
              <w:top w:val="nil"/>
              <w:left w:val="single" w:sz="8" w:space="0" w:color="auto"/>
              <w:bottom w:val="nil"/>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sidRPr="001E73E4">
              <w:rPr>
                <w:rFonts w:ascii="Arial" w:eastAsia="Times New Roman" w:hAnsi="Arial" w:cs="Arial"/>
                <w:color w:val="000000"/>
                <w:sz w:val="24"/>
                <w:szCs w:val="24"/>
              </w:rPr>
              <w:t>High Poverty</w:t>
            </w:r>
          </w:p>
        </w:tc>
        <w:tc>
          <w:tcPr>
            <w:tcW w:w="405" w:type="pct"/>
            <w:tcBorders>
              <w:top w:val="nil"/>
              <w:left w:val="nil"/>
              <w:bottom w:val="nil"/>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17.9</w:t>
            </w:r>
          </w:p>
        </w:tc>
        <w:tc>
          <w:tcPr>
            <w:tcW w:w="40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406"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75"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43"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12" w:type="pct"/>
            <w:tcBorders>
              <w:top w:val="nil"/>
              <w:left w:val="nil"/>
              <w:bottom w:val="nil"/>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c>
          <w:tcPr>
            <w:tcW w:w="313" w:type="pct"/>
            <w:tcBorders>
              <w:top w:val="nil"/>
              <w:left w:val="nil"/>
              <w:bottom w:val="nil"/>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18.2</w:t>
            </w:r>
          </w:p>
        </w:tc>
      </w:tr>
      <w:tr w:rsidR="00F55379" w:rsidRPr="001E73E4" w:rsidTr="00F55379">
        <w:trPr>
          <w:trHeight w:val="240"/>
        </w:trPr>
        <w:tc>
          <w:tcPr>
            <w:tcW w:w="1037" w:type="pct"/>
            <w:tcBorders>
              <w:top w:val="nil"/>
              <w:left w:val="single" w:sz="8" w:space="0" w:color="auto"/>
              <w:bottom w:val="single" w:sz="8" w:space="0" w:color="auto"/>
              <w:right w:val="single" w:sz="4" w:space="0" w:color="auto"/>
            </w:tcBorders>
            <w:shd w:val="clear" w:color="auto" w:fill="auto"/>
            <w:noWrap/>
            <w:hideMark/>
          </w:tcPr>
          <w:p w:rsidR="00F55379" w:rsidRPr="001E73E4" w:rsidRDefault="00F55379" w:rsidP="00F55379">
            <w:pPr>
              <w:spacing w:after="0" w:line="240" w:lineRule="auto"/>
              <w:ind w:left="450"/>
              <w:rPr>
                <w:rFonts w:ascii="Arial" w:eastAsia="Times New Roman" w:hAnsi="Arial" w:cs="Arial"/>
                <w:color w:val="000000"/>
                <w:sz w:val="24"/>
                <w:szCs w:val="24"/>
              </w:rPr>
            </w:pPr>
            <w:r>
              <w:rPr>
                <w:rFonts w:ascii="Arial" w:eastAsia="Times New Roman" w:hAnsi="Arial" w:cs="Arial"/>
                <w:color w:val="000000"/>
                <w:sz w:val="24"/>
                <w:szCs w:val="24"/>
              </w:rPr>
              <w:t>Un</w:t>
            </w:r>
            <w:r w:rsidRPr="001E73E4">
              <w:rPr>
                <w:rFonts w:ascii="Arial" w:eastAsia="Times New Roman" w:hAnsi="Arial" w:cs="Arial"/>
                <w:color w:val="000000"/>
                <w:sz w:val="24"/>
                <w:szCs w:val="24"/>
              </w:rPr>
              <w:t>known (imputed)</w:t>
            </w:r>
          </w:p>
        </w:tc>
        <w:tc>
          <w:tcPr>
            <w:tcW w:w="405" w:type="pct"/>
            <w:tcBorders>
              <w:top w:val="nil"/>
              <w:left w:val="nil"/>
              <w:bottom w:val="single" w:sz="8" w:space="0" w:color="auto"/>
              <w:right w:val="single" w:sz="4"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1.4</w:t>
            </w:r>
          </w:p>
        </w:tc>
        <w:tc>
          <w:tcPr>
            <w:tcW w:w="405"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406"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75"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343"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43"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343"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sidRPr="001E73E4">
              <w:rPr>
                <w:rFonts w:ascii="Arial" w:eastAsia="Times New Roman" w:hAnsi="Arial" w:cs="Arial"/>
                <w:color w:val="000000"/>
                <w:sz w:val="24"/>
                <w:szCs w:val="24"/>
              </w:rPr>
              <w:t>None</w:t>
            </w:r>
          </w:p>
        </w:tc>
        <w:tc>
          <w:tcPr>
            <w:tcW w:w="312" w:type="pct"/>
            <w:tcBorders>
              <w:top w:val="nil"/>
              <w:left w:val="nil"/>
              <w:bottom w:val="single" w:sz="8" w:space="0" w:color="auto"/>
              <w:right w:val="nil"/>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c>
          <w:tcPr>
            <w:tcW w:w="313" w:type="pct"/>
            <w:tcBorders>
              <w:top w:val="nil"/>
              <w:left w:val="nil"/>
              <w:bottom w:val="single" w:sz="8" w:space="0" w:color="auto"/>
              <w:right w:val="single" w:sz="8" w:space="0" w:color="auto"/>
            </w:tcBorders>
            <w:shd w:val="clear" w:color="auto" w:fill="auto"/>
            <w:noWrap/>
            <w:hideMark/>
          </w:tcPr>
          <w:p w:rsidR="00F55379" w:rsidRPr="001E73E4" w:rsidRDefault="00F55379" w:rsidP="00F5537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w:t>
            </w:r>
            <w:r w:rsidRPr="001E73E4">
              <w:rPr>
                <w:rFonts w:ascii="Arial" w:eastAsia="Times New Roman" w:hAnsi="Arial" w:cs="Arial"/>
                <w:color w:val="000000"/>
                <w:sz w:val="24"/>
                <w:szCs w:val="24"/>
              </w:rPr>
              <w:t>one</w:t>
            </w:r>
          </w:p>
        </w:tc>
      </w:tr>
    </w:tbl>
    <w:p w:rsidR="00BC7969" w:rsidRDefault="00BC7969"/>
    <w:p w:rsidR="00BC7969" w:rsidRDefault="001E73E4">
      <w:r w:rsidRPr="001E73E4">
        <w:rPr>
          <w:rFonts w:ascii="Arial" w:eastAsia="Times New Roman" w:hAnsi="Arial" w:cs="Arial"/>
          <w:color w:val="000000"/>
          <w:sz w:val="24"/>
          <w:szCs w:val="24"/>
        </w:rPr>
        <w:t xml:space="preserve">*   Population-based registries meeting NAACCR quality criteria and high completeness of HR/HER2 data include: Alaska, California, Colorado, Connecticut, Delaware, District of Columbia, Florida, Georgia, Hawai'i, Idaho, Illinois, Indiana, Iowa, </w:t>
      </w:r>
      <w:r w:rsidRPr="001E73E4">
        <w:rPr>
          <w:rFonts w:ascii="Arial" w:eastAsia="Times New Roman" w:hAnsi="Arial" w:cs="Arial"/>
          <w:color w:val="000000"/>
          <w:sz w:val="24"/>
          <w:szCs w:val="24"/>
        </w:rPr>
        <w:lastRenderedPageBreak/>
        <w:t>Kansas, Kentucky, Louisiana, Maine, Maryland, Massachusetts, Michigan, Mississippi, Missouri, Montana, Nebraska, New Hampshire, New Jersey, New Mexico, New York, North Carolina, North Dakota, Ohio, Oregon, Pennsylvania, Rhode Island, South Carolina, South Dakota, Utah, Vermont, Virginia, Washington, West Virginia, Wisconsin, Wyoming.</w:t>
      </w:r>
    </w:p>
    <w:p w:rsidR="00E85F0F" w:rsidRDefault="00E85F0F">
      <w:pPr>
        <w:rPr>
          <w:rFonts w:ascii="Arial" w:eastAsia="Times New Roman" w:hAnsi="Arial" w:cs="Arial"/>
          <w:color w:val="000000"/>
          <w:sz w:val="24"/>
          <w:szCs w:val="24"/>
        </w:rPr>
      </w:pPr>
      <w:r w:rsidRPr="001E73E4">
        <w:rPr>
          <w:rFonts w:ascii="Arial" w:eastAsia="Times New Roman" w:hAnsi="Arial" w:cs="Arial"/>
          <w:color w:val="000000"/>
          <w:sz w:val="24"/>
          <w:szCs w:val="24"/>
        </w:rPr>
        <w:t>†   Cases with unknown codes for these variables were removed from analysis.</w:t>
      </w:r>
    </w:p>
    <w:p w:rsidR="00E85F0F" w:rsidRDefault="00E85F0F">
      <w:pPr>
        <w:rPr>
          <w:rFonts w:ascii="Arial" w:eastAsia="Times New Roman" w:hAnsi="Arial" w:cs="Arial"/>
          <w:color w:val="000000"/>
          <w:sz w:val="24"/>
          <w:szCs w:val="24"/>
        </w:rPr>
      </w:pPr>
      <w:r w:rsidRPr="00C46B20">
        <w:rPr>
          <w:rFonts w:ascii="Arial" w:eastAsia="Times New Roman" w:hAnsi="Arial" w:cs="Arial"/>
          <w:bCs/>
          <w:color w:val="000000"/>
          <w:sz w:val="24"/>
          <w:szCs w:val="24"/>
        </w:rPr>
        <w:t>‡</w:t>
      </w:r>
      <w:r w:rsidRPr="00E85F0F">
        <w:rPr>
          <w:rFonts w:ascii="Arial" w:eastAsia="Times New Roman" w:hAnsi="Arial" w:cs="Arial"/>
          <w:color w:val="000000"/>
          <w:sz w:val="24"/>
          <w:szCs w:val="24"/>
        </w:rPr>
        <w:t xml:space="preserve"> </w:t>
      </w:r>
      <w:r w:rsidRPr="001E73E4">
        <w:rPr>
          <w:rFonts w:ascii="Arial" w:eastAsia="Times New Roman" w:hAnsi="Arial" w:cs="Arial"/>
          <w:color w:val="000000"/>
          <w:sz w:val="24"/>
          <w:szCs w:val="24"/>
        </w:rPr>
        <w:t xml:space="preserve">  Includes borderline</w:t>
      </w:r>
      <w:r>
        <w:rPr>
          <w:rFonts w:ascii="Arial" w:eastAsia="Times New Roman" w:hAnsi="Arial" w:cs="Arial"/>
          <w:color w:val="000000"/>
          <w:sz w:val="24"/>
          <w:szCs w:val="24"/>
        </w:rPr>
        <w:t xml:space="preserve"> tumors.</w:t>
      </w:r>
    </w:p>
    <w:p w:rsidR="001E73E4" w:rsidRDefault="001E73E4">
      <w:pPr>
        <w:rPr>
          <w:rFonts w:ascii="Arial" w:eastAsia="Times New Roman" w:hAnsi="Arial" w:cs="Arial"/>
          <w:color w:val="000000"/>
          <w:sz w:val="24"/>
          <w:szCs w:val="24"/>
        </w:rPr>
      </w:pPr>
      <w:r w:rsidRPr="001E73E4">
        <w:rPr>
          <w:rFonts w:ascii="Arial" w:eastAsia="Times New Roman" w:hAnsi="Arial" w:cs="Arial"/>
          <w:color w:val="000000"/>
          <w:sz w:val="24"/>
          <w:szCs w:val="24"/>
        </w:rPr>
        <w:t xml:space="preserve"> </w:t>
      </w:r>
      <w:proofErr w:type="gramStart"/>
      <w:r w:rsidR="00E85F0F">
        <w:rPr>
          <w:rFonts w:ascii="Arial" w:eastAsia="Times New Roman" w:hAnsi="Arial" w:cs="Arial"/>
          <w:color w:val="000000"/>
          <w:sz w:val="24"/>
          <w:szCs w:val="24"/>
        </w:rPr>
        <w:t>§</w:t>
      </w:r>
      <w:r w:rsidRPr="001E73E4">
        <w:rPr>
          <w:rFonts w:ascii="Arial" w:eastAsia="Times New Roman" w:hAnsi="Arial" w:cs="Arial"/>
          <w:color w:val="000000"/>
          <w:sz w:val="24"/>
          <w:szCs w:val="24"/>
        </w:rPr>
        <w:t xml:space="preserve">  Excludes</w:t>
      </w:r>
      <w:proofErr w:type="gramEnd"/>
      <w:r w:rsidRPr="001E73E4">
        <w:rPr>
          <w:rFonts w:ascii="Arial" w:eastAsia="Times New Roman" w:hAnsi="Arial" w:cs="Arial"/>
          <w:color w:val="000000"/>
          <w:sz w:val="24"/>
          <w:szCs w:val="24"/>
        </w:rPr>
        <w:t xml:space="preserve"> borderline tumors. </w:t>
      </w:r>
    </w:p>
    <w:p w:rsidR="001E73E4" w:rsidRDefault="00E85F0F">
      <w:pPr>
        <w:rPr>
          <w:rFonts w:ascii="Arial" w:eastAsia="Times New Roman" w:hAnsi="Arial" w:cs="Arial"/>
          <w:color w:val="000000"/>
          <w:sz w:val="24"/>
          <w:szCs w:val="24"/>
        </w:rPr>
      </w:pPr>
      <w:r>
        <w:rPr>
          <w:rFonts w:ascii="Arial" w:eastAsia="Times New Roman" w:hAnsi="Arial" w:cs="Arial"/>
          <w:color w:val="000000"/>
          <w:sz w:val="24"/>
          <w:szCs w:val="24"/>
        </w:rPr>
        <w:t>ǁ</w:t>
      </w:r>
      <w:r w:rsidR="001E73E4" w:rsidRPr="001E73E4">
        <w:rPr>
          <w:rFonts w:ascii="Arial" w:eastAsia="Times New Roman" w:hAnsi="Arial" w:cs="Arial"/>
          <w:color w:val="000000"/>
          <w:sz w:val="24"/>
          <w:szCs w:val="24"/>
        </w:rPr>
        <w:t xml:space="preserve">   Database with census tract-level poverty is a subset of the high quality registries who report tract-level poverty category: Alaska, California, Colorado, Connecticut, Delaware, District of Columbia, Florida, Georgia, Hawai'i, Idaho, Illinois, Indiana, Iowa, Kentucky, Louisiana, Maryland, Detroit, New Hampshire, New Jersey, New Mexico, New York, North Carolina, Ohio, Pennsylvania, Rhode Island, South Carolina, South Dakota, Utah, Vermont, Washington, We</w:t>
      </w:r>
      <w:r w:rsidR="001E73E4">
        <w:rPr>
          <w:rFonts w:ascii="Arial" w:eastAsia="Times New Roman" w:hAnsi="Arial" w:cs="Arial"/>
          <w:color w:val="000000"/>
          <w:sz w:val="24"/>
          <w:szCs w:val="24"/>
        </w:rPr>
        <w:t>st Virginia, Wisconsin, Wyoming.</w:t>
      </w:r>
    </w:p>
    <w:p w:rsidR="00ED7EA7" w:rsidRDefault="00ED7EA7" w:rsidP="00ED7EA7">
      <w:pPr>
        <w:rPr>
          <w:rFonts w:ascii="Arial" w:eastAsia="Times New Roman" w:hAnsi="Arial" w:cs="Arial"/>
          <w:color w:val="000000"/>
          <w:sz w:val="24"/>
          <w:szCs w:val="24"/>
        </w:rPr>
      </w:pPr>
      <w:r w:rsidRPr="001E73E4">
        <w:rPr>
          <w:rFonts w:ascii="Arial" w:eastAsia="Times New Roman" w:hAnsi="Arial" w:cs="Arial"/>
          <w:color w:val="000000"/>
          <w:sz w:val="24"/>
          <w:szCs w:val="24"/>
        </w:rPr>
        <w:t xml:space="preserve">API = Asian/Pacific Islander; SEER = Surveillance, Epidemiology, and End Results </w:t>
      </w:r>
      <w:proofErr w:type="spellStart"/>
      <w:r w:rsidRPr="001E73E4">
        <w:rPr>
          <w:rFonts w:ascii="Arial" w:eastAsia="Times New Roman" w:hAnsi="Arial" w:cs="Arial"/>
          <w:color w:val="000000"/>
          <w:sz w:val="24"/>
          <w:szCs w:val="24"/>
        </w:rPr>
        <w:t>Program.CS</w:t>
      </w:r>
      <w:proofErr w:type="spellEnd"/>
      <w:r w:rsidRPr="001E73E4">
        <w:rPr>
          <w:rFonts w:ascii="Arial" w:eastAsia="Times New Roman" w:hAnsi="Arial" w:cs="Arial"/>
          <w:color w:val="000000"/>
          <w:sz w:val="24"/>
          <w:szCs w:val="24"/>
        </w:rPr>
        <w:t xml:space="preserve"> = collaborative stage; ER = estrogen receptor; PR = progesterone receptor;</w:t>
      </w:r>
      <w:r>
        <w:rPr>
          <w:rFonts w:ascii="Arial" w:eastAsia="Times New Roman" w:hAnsi="Arial" w:cs="Arial"/>
          <w:color w:val="000000"/>
          <w:sz w:val="24"/>
          <w:szCs w:val="24"/>
        </w:rPr>
        <w:t xml:space="preserve"> </w:t>
      </w:r>
      <w:r w:rsidRPr="001E73E4">
        <w:rPr>
          <w:rFonts w:ascii="Arial" w:eastAsia="Times New Roman" w:hAnsi="Arial" w:cs="Arial"/>
          <w:color w:val="000000"/>
          <w:sz w:val="24"/>
          <w:szCs w:val="24"/>
        </w:rPr>
        <w:t>HER2 = human epidermal growth factor receptor 2</w:t>
      </w:r>
      <w:r>
        <w:rPr>
          <w:rFonts w:ascii="Arial" w:eastAsia="Times New Roman" w:hAnsi="Arial" w:cs="Arial"/>
          <w:color w:val="000000"/>
          <w:sz w:val="24"/>
          <w:szCs w:val="24"/>
        </w:rPr>
        <w:t>.</w:t>
      </w:r>
      <w:r w:rsidRPr="001E73E4">
        <w:rPr>
          <w:rFonts w:ascii="Arial" w:eastAsia="Times New Roman" w:hAnsi="Arial" w:cs="Arial"/>
          <w:color w:val="000000"/>
          <w:sz w:val="24"/>
          <w:szCs w:val="24"/>
        </w:rPr>
        <w:t xml:space="preserve"> </w:t>
      </w:r>
    </w:p>
    <w:p w:rsidR="00ED7EA7" w:rsidRDefault="00ED7EA7">
      <w:pPr>
        <w:rPr>
          <w:rFonts w:ascii="Arial" w:eastAsia="Times New Roman" w:hAnsi="Arial" w:cs="Arial"/>
          <w:color w:val="000000"/>
          <w:sz w:val="24"/>
          <w:szCs w:val="24"/>
        </w:rPr>
      </w:pPr>
    </w:p>
    <w:p w:rsidR="00BC7969" w:rsidRDefault="00BC7969"/>
    <w:p w:rsidR="00BC7969" w:rsidRDefault="00BC7969"/>
    <w:p w:rsidR="00E256CE" w:rsidRDefault="00E256CE">
      <w:pPr>
        <w:sectPr w:rsidR="00E256CE" w:rsidSect="00E256CE">
          <w:pgSz w:w="15840" w:h="12240" w:orient="landscape"/>
          <w:pgMar w:top="1440" w:right="1440" w:bottom="1440" w:left="1440" w:header="720" w:footer="720" w:gutter="0"/>
          <w:cols w:space="720"/>
          <w:docGrid w:linePitch="360"/>
        </w:sectPr>
      </w:pPr>
    </w:p>
    <w:p w:rsidR="001E73E4" w:rsidRDefault="001E73E4"/>
    <w:p w:rsidR="00BC7969" w:rsidRPr="001E73E4" w:rsidRDefault="001E73E4">
      <w:pPr>
        <w:rPr>
          <w:b/>
        </w:rPr>
      </w:pPr>
      <w:r>
        <w:rPr>
          <w:rFonts w:ascii="Calibri" w:eastAsia="Times New Roman" w:hAnsi="Calibri" w:cs="Times New Roman"/>
          <w:b/>
          <w:bCs/>
          <w:color w:val="000000"/>
        </w:rPr>
        <w:t>Supplementary</w:t>
      </w:r>
      <w:r w:rsidRPr="00664C98">
        <w:rPr>
          <w:rFonts w:ascii="Calibri" w:eastAsia="Times New Roman" w:hAnsi="Calibri" w:cs="Times New Roman"/>
          <w:b/>
          <w:bCs/>
          <w:color w:val="000000"/>
        </w:rPr>
        <w:t xml:space="preserve"> Table 2</w:t>
      </w:r>
      <w:r>
        <w:rPr>
          <w:rFonts w:ascii="Calibri" w:eastAsia="Times New Roman" w:hAnsi="Calibri" w:cs="Times New Roman"/>
          <w:b/>
          <w:bCs/>
          <w:color w:val="000000"/>
        </w:rPr>
        <w:t>.</w:t>
      </w:r>
      <w:r w:rsidRPr="00664C98">
        <w:rPr>
          <w:rFonts w:ascii="Calibri" w:eastAsia="Times New Roman" w:hAnsi="Calibri" w:cs="Times New Roman"/>
          <w:b/>
          <w:bCs/>
          <w:color w:val="000000"/>
        </w:rPr>
        <w:t xml:space="preserve"> </w:t>
      </w:r>
      <w:r w:rsidRPr="00664C98">
        <w:rPr>
          <w:rFonts w:ascii="Calibri" w:eastAsia="Times New Roman" w:hAnsi="Calibri" w:cs="Times New Roman"/>
          <w:color w:val="000000"/>
        </w:rPr>
        <w:t>Age-specific incidence rates of invasive breast cancer by subtype, by race/ethnicity, for diagnosis year 2011 and areas in the United States with high-quality incidence data*</w:t>
      </w:r>
    </w:p>
    <w:tbl>
      <w:tblPr>
        <w:tblW w:w="7280" w:type="dxa"/>
        <w:tblLook w:val="04A0" w:firstRow="1" w:lastRow="0" w:firstColumn="1" w:lastColumn="0" w:noHBand="0" w:noVBand="1"/>
      </w:tblPr>
      <w:tblGrid>
        <w:gridCol w:w="1547"/>
        <w:gridCol w:w="963"/>
        <w:gridCol w:w="1274"/>
        <w:gridCol w:w="1178"/>
        <w:gridCol w:w="1232"/>
        <w:gridCol w:w="1086"/>
      </w:tblGrid>
      <w:tr w:rsidR="00664C98" w:rsidRPr="00664C98" w:rsidTr="001E73E4">
        <w:trPr>
          <w:trHeight w:val="315"/>
        </w:trPr>
        <w:tc>
          <w:tcPr>
            <w:tcW w:w="1547" w:type="dxa"/>
            <w:tcBorders>
              <w:top w:val="single" w:sz="4" w:space="0" w:color="auto"/>
              <w:left w:val="single" w:sz="8" w:space="0" w:color="auto"/>
              <w:bottom w:val="double" w:sz="6"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b/>
                <w:bCs/>
                <w:color w:val="000000"/>
              </w:rPr>
            </w:pPr>
            <w:r w:rsidRPr="00664C98">
              <w:rPr>
                <w:rFonts w:ascii="Calibri" w:eastAsia="Times New Roman" w:hAnsi="Calibri" w:cs="Times New Roman"/>
                <w:b/>
                <w:bCs/>
                <w:color w:val="000000"/>
              </w:rPr>
              <w:t>Race/Ethnicity</w:t>
            </w:r>
          </w:p>
        </w:tc>
        <w:tc>
          <w:tcPr>
            <w:tcW w:w="963" w:type="dxa"/>
            <w:tcBorders>
              <w:top w:val="single" w:sz="4" w:space="0" w:color="auto"/>
              <w:left w:val="nil"/>
              <w:bottom w:val="double" w:sz="6" w:space="0" w:color="auto"/>
              <w:right w:val="single" w:sz="4" w:space="0" w:color="auto"/>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b/>
                <w:bCs/>
                <w:color w:val="000000"/>
              </w:rPr>
            </w:pPr>
            <w:r w:rsidRPr="00664C98">
              <w:rPr>
                <w:rFonts w:ascii="Calibri" w:eastAsia="Times New Roman" w:hAnsi="Calibri" w:cs="Times New Roman"/>
                <w:b/>
                <w:bCs/>
                <w:color w:val="000000"/>
              </w:rPr>
              <w:t>Age</w:t>
            </w:r>
          </w:p>
        </w:tc>
        <w:tc>
          <w:tcPr>
            <w:tcW w:w="1274" w:type="dxa"/>
            <w:tcBorders>
              <w:top w:val="single" w:sz="4" w:space="0" w:color="auto"/>
              <w:left w:val="nil"/>
              <w:bottom w:val="double" w:sz="6"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b/>
                <w:bCs/>
                <w:color w:val="000000"/>
              </w:rPr>
            </w:pPr>
            <w:r w:rsidRPr="00664C98">
              <w:rPr>
                <w:rFonts w:ascii="Calibri" w:eastAsia="Times New Roman" w:hAnsi="Calibri" w:cs="Times New Roman"/>
                <w:b/>
                <w:bCs/>
                <w:color w:val="000000"/>
              </w:rPr>
              <w:t>HR+/HER2+</w:t>
            </w:r>
          </w:p>
        </w:tc>
        <w:tc>
          <w:tcPr>
            <w:tcW w:w="1178" w:type="dxa"/>
            <w:tcBorders>
              <w:top w:val="single" w:sz="4" w:space="0" w:color="auto"/>
              <w:left w:val="nil"/>
              <w:bottom w:val="double" w:sz="6"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b/>
                <w:bCs/>
                <w:color w:val="000000"/>
              </w:rPr>
            </w:pPr>
            <w:r w:rsidRPr="00664C98">
              <w:rPr>
                <w:rFonts w:ascii="Calibri" w:eastAsia="Times New Roman" w:hAnsi="Calibri" w:cs="Times New Roman"/>
                <w:b/>
                <w:bCs/>
                <w:color w:val="000000"/>
              </w:rPr>
              <w:t>HR-/HER2+</w:t>
            </w:r>
          </w:p>
        </w:tc>
        <w:tc>
          <w:tcPr>
            <w:tcW w:w="1232" w:type="dxa"/>
            <w:tcBorders>
              <w:top w:val="single" w:sz="4" w:space="0" w:color="auto"/>
              <w:left w:val="nil"/>
              <w:bottom w:val="double" w:sz="6"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b/>
                <w:bCs/>
                <w:color w:val="000000"/>
              </w:rPr>
            </w:pPr>
            <w:r w:rsidRPr="00664C98">
              <w:rPr>
                <w:rFonts w:ascii="Calibri" w:eastAsia="Times New Roman" w:hAnsi="Calibri" w:cs="Times New Roman"/>
                <w:b/>
                <w:bCs/>
                <w:color w:val="000000"/>
              </w:rPr>
              <w:t>HR+/HER2-</w:t>
            </w:r>
          </w:p>
        </w:tc>
        <w:tc>
          <w:tcPr>
            <w:tcW w:w="1086" w:type="dxa"/>
            <w:tcBorders>
              <w:top w:val="single" w:sz="4" w:space="0" w:color="auto"/>
              <w:left w:val="nil"/>
              <w:bottom w:val="double" w:sz="6" w:space="0" w:color="auto"/>
              <w:right w:val="single" w:sz="8" w:space="0" w:color="auto"/>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b/>
                <w:bCs/>
                <w:color w:val="000000"/>
              </w:rPr>
            </w:pPr>
            <w:r w:rsidRPr="00664C98">
              <w:rPr>
                <w:rFonts w:ascii="Calibri" w:eastAsia="Times New Roman" w:hAnsi="Calibri" w:cs="Times New Roman"/>
                <w:b/>
                <w:bCs/>
                <w:color w:val="000000"/>
              </w:rPr>
              <w:t>Triple Neg</w:t>
            </w:r>
            <w:r w:rsidR="00ED7EA7">
              <w:rPr>
                <w:rFonts w:ascii="Calibri" w:eastAsia="Times New Roman" w:hAnsi="Calibri" w:cs="Times New Roman"/>
                <w:b/>
                <w:bCs/>
                <w:color w:val="000000"/>
              </w:rPr>
              <w:t>ative</w:t>
            </w:r>
          </w:p>
        </w:tc>
      </w:tr>
      <w:tr w:rsidR="00664C98" w:rsidRPr="00664C98" w:rsidTr="00245E46">
        <w:trPr>
          <w:trHeight w:val="315"/>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Non-Hispanic</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0–34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1.28</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0.49</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3.36</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1.32</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White</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35–44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13.69</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5.61</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61.14</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14.43</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45–54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24.50</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10.59</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151.61</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25.83</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55–64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30.43</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13.68</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223.74</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33.91</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65–74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34.72</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15.20</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358.41</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44.73</w:t>
            </w:r>
          </w:p>
        </w:tc>
      </w:tr>
      <w:tr w:rsidR="00664C98" w:rsidRPr="00664C98" w:rsidTr="00245E46">
        <w:trPr>
          <w:trHeight w:val="300"/>
        </w:trPr>
        <w:tc>
          <w:tcPr>
            <w:tcW w:w="1547" w:type="dxa"/>
            <w:tcBorders>
              <w:top w:val="nil"/>
              <w:left w:val="single" w:sz="8" w:space="0" w:color="auto"/>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75–84</w:t>
            </w:r>
          </w:p>
        </w:tc>
        <w:tc>
          <w:tcPr>
            <w:tcW w:w="1274"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34.02</w:t>
            </w:r>
          </w:p>
        </w:tc>
        <w:tc>
          <w:tcPr>
            <w:tcW w:w="1178"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11.91</w:t>
            </w:r>
          </w:p>
        </w:tc>
        <w:tc>
          <w:tcPr>
            <w:tcW w:w="1232"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362.94</w:t>
            </w:r>
          </w:p>
        </w:tc>
        <w:tc>
          <w:tcPr>
            <w:tcW w:w="1086" w:type="dxa"/>
            <w:tcBorders>
              <w:top w:val="nil"/>
              <w:left w:val="nil"/>
              <w:bottom w:val="single" w:sz="4" w:space="0" w:color="auto"/>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42.20</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Non-Hispanic</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0–34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1.06</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0.49</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3.43</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1.98</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Black</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35–44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13.40</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5.47</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54.41</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28.34</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45–54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27.08</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14.09</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114.23</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53.38</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55–64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33.99</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19.43</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179.43</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69.33</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65–74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32.25</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15.96</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285.05</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76.48</w:t>
            </w:r>
          </w:p>
        </w:tc>
      </w:tr>
      <w:tr w:rsidR="00664C98" w:rsidRPr="00664C98" w:rsidTr="00245E46">
        <w:trPr>
          <w:trHeight w:val="300"/>
        </w:trPr>
        <w:tc>
          <w:tcPr>
            <w:tcW w:w="1547" w:type="dxa"/>
            <w:tcBorders>
              <w:top w:val="nil"/>
              <w:left w:val="single" w:sz="8" w:space="0" w:color="auto"/>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75–84</w:t>
            </w:r>
          </w:p>
        </w:tc>
        <w:tc>
          <w:tcPr>
            <w:tcW w:w="1274"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28.20</w:t>
            </w:r>
          </w:p>
        </w:tc>
        <w:tc>
          <w:tcPr>
            <w:tcW w:w="1178"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18.56</w:t>
            </w:r>
          </w:p>
        </w:tc>
        <w:tc>
          <w:tcPr>
            <w:tcW w:w="1232"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286.89</w:t>
            </w:r>
          </w:p>
        </w:tc>
        <w:tc>
          <w:tcPr>
            <w:tcW w:w="1086" w:type="dxa"/>
            <w:tcBorders>
              <w:top w:val="nil"/>
              <w:left w:val="nil"/>
              <w:bottom w:val="single" w:sz="4" w:space="0" w:color="auto"/>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65.26</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non-Hispanic</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0–34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0.89</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0.39</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3.43</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1.45</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Asian/Pacific</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35–44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14.23</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6.21</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60.19</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10.49</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Islander</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45–54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23.18</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12.81</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123.28</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18.31</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55–64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25.13</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18.69</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156.44</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24.20</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65–74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25.96</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11.88</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204.48</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30.20</w:t>
            </w:r>
          </w:p>
        </w:tc>
      </w:tr>
      <w:tr w:rsidR="00664C98" w:rsidRPr="00664C98" w:rsidTr="00245E46">
        <w:trPr>
          <w:trHeight w:val="300"/>
        </w:trPr>
        <w:tc>
          <w:tcPr>
            <w:tcW w:w="1547" w:type="dxa"/>
            <w:tcBorders>
              <w:top w:val="nil"/>
              <w:left w:val="single" w:sz="8" w:space="0" w:color="auto"/>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single" w:sz="4" w:space="0" w:color="auto"/>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75–84</w:t>
            </w:r>
          </w:p>
        </w:tc>
        <w:tc>
          <w:tcPr>
            <w:tcW w:w="1274"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21.09</w:t>
            </w:r>
          </w:p>
        </w:tc>
        <w:tc>
          <w:tcPr>
            <w:tcW w:w="1178"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11.33</w:t>
            </w:r>
          </w:p>
        </w:tc>
        <w:tc>
          <w:tcPr>
            <w:tcW w:w="1232" w:type="dxa"/>
            <w:tcBorders>
              <w:top w:val="nil"/>
              <w:left w:val="nil"/>
              <w:bottom w:val="single" w:sz="4"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177.42</w:t>
            </w:r>
          </w:p>
        </w:tc>
        <w:tc>
          <w:tcPr>
            <w:tcW w:w="1086" w:type="dxa"/>
            <w:tcBorders>
              <w:top w:val="nil"/>
              <w:left w:val="nil"/>
              <w:bottom w:val="single" w:sz="4" w:space="0" w:color="auto"/>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27.56</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Hispanics</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0–34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0.55</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0.32</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1.63</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0.86</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jc w:val="center"/>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35–44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10.54</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5.28</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40.76</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12.44</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45–54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20.90</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10.25</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104.77</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22.75</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55–64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25.95</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14.35</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161.37</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29.38</w:t>
            </w:r>
          </w:p>
        </w:tc>
      </w:tr>
      <w:tr w:rsidR="00664C98" w:rsidRPr="00664C98" w:rsidTr="00245E46">
        <w:trPr>
          <w:trHeight w:val="300"/>
        </w:trPr>
        <w:tc>
          <w:tcPr>
            <w:tcW w:w="1547" w:type="dxa"/>
            <w:tcBorders>
              <w:top w:val="nil"/>
              <w:left w:val="single" w:sz="8" w:space="0" w:color="auto"/>
              <w:bottom w:val="nil"/>
              <w:right w:val="nil"/>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nil"/>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65–74</w:t>
            </w:r>
          </w:p>
        </w:tc>
        <w:tc>
          <w:tcPr>
            <w:tcW w:w="1274"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29.68</w:t>
            </w:r>
          </w:p>
        </w:tc>
        <w:tc>
          <w:tcPr>
            <w:tcW w:w="1178"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12.63</w:t>
            </w:r>
          </w:p>
        </w:tc>
        <w:tc>
          <w:tcPr>
            <w:tcW w:w="1232" w:type="dxa"/>
            <w:tcBorders>
              <w:top w:val="nil"/>
              <w:left w:val="nil"/>
              <w:bottom w:val="nil"/>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237.58</w:t>
            </w:r>
          </w:p>
        </w:tc>
        <w:tc>
          <w:tcPr>
            <w:tcW w:w="1086" w:type="dxa"/>
            <w:tcBorders>
              <w:top w:val="nil"/>
              <w:left w:val="nil"/>
              <w:bottom w:val="nil"/>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28.35</w:t>
            </w:r>
          </w:p>
        </w:tc>
      </w:tr>
      <w:tr w:rsidR="00664C98" w:rsidRPr="00664C98" w:rsidTr="00245E46">
        <w:trPr>
          <w:trHeight w:val="315"/>
        </w:trPr>
        <w:tc>
          <w:tcPr>
            <w:tcW w:w="1547" w:type="dxa"/>
            <w:tcBorders>
              <w:top w:val="nil"/>
              <w:left w:val="single" w:sz="8" w:space="0" w:color="auto"/>
              <w:bottom w:val="single" w:sz="8" w:space="0" w:color="auto"/>
              <w:right w:val="nil"/>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 </w:t>
            </w:r>
          </w:p>
        </w:tc>
        <w:tc>
          <w:tcPr>
            <w:tcW w:w="963" w:type="dxa"/>
            <w:tcBorders>
              <w:top w:val="nil"/>
              <w:left w:val="nil"/>
              <w:bottom w:val="single" w:sz="8" w:space="0" w:color="auto"/>
              <w:right w:val="single" w:sz="4" w:space="0" w:color="auto"/>
            </w:tcBorders>
            <w:shd w:val="clear" w:color="auto" w:fill="auto"/>
            <w:noWrap/>
            <w:vAlign w:val="bottom"/>
            <w:hideMark/>
          </w:tcPr>
          <w:p w:rsidR="00664C98" w:rsidRPr="00664C98" w:rsidRDefault="00664C98"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75–84</w:t>
            </w:r>
          </w:p>
        </w:tc>
        <w:tc>
          <w:tcPr>
            <w:tcW w:w="1274" w:type="dxa"/>
            <w:tcBorders>
              <w:top w:val="nil"/>
              <w:left w:val="nil"/>
              <w:bottom w:val="single" w:sz="8"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23.47</w:t>
            </w:r>
          </w:p>
        </w:tc>
        <w:tc>
          <w:tcPr>
            <w:tcW w:w="1178" w:type="dxa"/>
            <w:tcBorders>
              <w:top w:val="nil"/>
              <w:left w:val="nil"/>
              <w:bottom w:val="single" w:sz="8"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11.08</w:t>
            </w:r>
          </w:p>
        </w:tc>
        <w:tc>
          <w:tcPr>
            <w:tcW w:w="1232" w:type="dxa"/>
            <w:tcBorders>
              <w:top w:val="nil"/>
              <w:left w:val="nil"/>
              <w:bottom w:val="single" w:sz="8" w:space="0" w:color="auto"/>
              <w:right w:val="nil"/>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257.64</w:t>
            </w:r>
          </w:p>
        </w:tc>
        <w:tc>
          <w:tcPr>
            <w:tcW w:w="1086" w:type="dxa"/>
            <w:tcBorders>
              <w:top w:val="nil"/>
              <w:left w:val="nil"/>
              <w:bottom w:val="single" w:sz="8" w:space="0" w:color="auto"/>
              <w:right w:val="single" w:sz="8" w:space="0" w:color="auto"/>
            </w:tcBorders>
            <w:shd w:val="clear" w:color="auto" w:fill="auto"/>
            <w:noWrap/>
            <w:vAlign w:val="bottom"/>
            <w:hideMark/>
          </w:tcPr>
          <w:p w:rsidR="00664C98" w:rsidRPr="00664C98" w:rsidRDefault="00664C98" w:rsidP="00664C98">
            <w:pPr>
              <w:spacing w:after="0" w:line="240" w:lineRule="auto"/>
              <w:contextualSpacing/>
              <w:jc w:val="right"/>
              <w:rPr>
                <w:rFonts w:ascii="Calibri" w:eastAsia="Times New Roman" w:hAnsi="Calibri" w:cs="Times New Roman"/>
                <w:color w:val="000000"/>
              </w:rPr>
            </w:pPr>
            <w:r w:rsidRPr="00664C98">
              <w:rPr>
                <w:rFonts w:ascii="Calibri" w:eastAsia="Times New Roman" w:hAnsi="Calibri" w:cs="Times New Roman"/>
                <w:color w:val="000000"/>
              </w:rPr>
              <w:t>35.82</w:t>
            </w:r>
          </w:p>
        </w:tc>
      </w:tr>
    </w:tbl>
    <w:p w:rsidR="003B3110" w:rsidRDefault="001E73E4"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 xml:space="preserve">*   Population-based registries meeting NAACCR quality criteria and high completeness of HR/HER2 data include: Alaska, California, Colorado, Connecticut, Delaware, District of Columbia, Florida, Georgia, Hawai'i, Idaho, Illinois, Indiana, Iowa, Kansas, Kentucky, Louisiana, Maine, Maryland, Massachusetts, Michigan, Mississippi, Missouri, Montana, Nebraska, New Hampshire, New Jersey, New Mexico, New York, North Carolina, North Dakota, Ohio, Oregon, Pennsylvania, Rhode Island, South Carolina, South Dakota, Utah, Vermont, Virginia, Washington, West Virginia, Wisconsin, Wyoming.  </w:t>
      </w:r>
    </w:p>
    <w:p w:rsidR="001E73E4" w:rsidRDefault="003B3110" w:rsidP="00664C98">
      <w:pPr>
        <w:spacing w:after="0" w:line="240" w:lineRule="auto"/>
        <w:contextualSpacing/>
      </w:pPr>
      <w:r w:rsidRPr="00664C98">
        <w:rPr>
          <w:rFonts w:ascii="Calibri" w:eastAsia="Times New Roman" w:hAnsi="Calibri" w:cs="Times New Roman"/>
          <w:color w:val="000000"/>
        </w:rPr>
        <w:t>HR = h</w:t>
      </w:r>
      <w:r>
        <w:rPr>
          <w:rFonts w:ascii="Calibri" w:eastAsia="Times New Roman" w:hAnsi="Calibri" w:cs="Times New Roman"/>
          <w:color w:val="000000"/>
        </w:rPr>
        <w:t xml:space="preserve">ormone receptor; </w:t>
      </w:r>
      <w:r w:rsidR="001E73E4" w:rsidRPr="00664C98">
        <w:rPr>
          <w:rFonts w:ascii="Calibri" w:eastAsia="Times New Roman" w:hAnsi="Calibri" w:cs="Times New Roman"/>
          <w:color w:val="000000"/>
        </w:rPr>
        <w:t>HER2 = human epidermal growth factor receptor 2</w:t>
      </w:r>
      <w:r>
        <w:rPr>
          <w:rFonts w:ascii="Calibri" w:eastAsia="Times New Roman" w:hAnsi="Calibri" w:cs="Times New Roman"/>
          <w:color w:val="000000"/>
        </w:rPr>
        <w:t>.</w:t>
      </w:r>
    </w:p>
    <w:p w:rsidR="00F62F25" w:rsidRDefault="00F62F25">
      <w:r>
        <w:br w:type="page"/>
      </w:r>
      <w:r w:rsidR="001E73E4">
        <w:rPr>
          <w:rFonts w:ascii="Calibri" w:eastAsia="Times New Roman" w:hAnsi="Calibri" w:cs="Times New Roman"/>
          <w:b/>
          <w:bCs/>
          <w:color w:val="000000"/>
        </w:rPr>
        <w:t>Supplementary Table 3.</w:t>
      </w:r>
      <w:r w:rsidR="001E73E4" w:rsidRPr="00F62F25">
        <w:rPr>
          <w:rFonts w:ascii="Calibri" w:eastAsia="Times New Roman" w:hAnsi="Calibri" w:cs="Times New Roman"/>
          <w:b/>
          <w:bCs/>
          <w:color w:val="000000"/>
        </w:rPr>
        <w:t xml:space="preserve"> </w:t>
      </w:r>
      <w:r w:rsidR="001E73E4" w:rsidRPr="00F62F25">
        <w:rPr>
          <w:rFonts w:ascii="Calibri" w:eastAsia="Times New Roman" w:hAnsi="Calibri" w:cs="Times New Roman"/>
          <w:color w:val="000000"/>
        </w:rPr>
        <w:t>Age-specific incidence rates of invasive breast cancer by subtype, stage, race/ethnicity for diagnosis year 2011 and areas in the United States with high-quality incidence data*</w:t>
      </w:r>
    </w:p>
    <w:tbl>
      <w:tblPr>
        <w:tblW w:w="6200" w:type="dxa"/>
        <w:jc w:val="center"/>
        <w:tblLook w:val="04A0" w:firstRow="1" w:lastRow="0" w:firstColumn="1" w:lastColumn="0" w:noHBand="0" w:noVBand="1"/>
      </w:tblPr>
      <w:tblGrid>
        <w:gridCol w:w="1610"/>
        <w:gridCol w:w="987"/>
        <w:gridCol w:w="775"/>
        <w:gridCol w:w="718"/>
        <w:gridCol w:w="1045"/>
        <w:gridCol w:w="1065"/>
      </w:tblGrid>
      <w:tr w:rsidR="001E73E4" w:rsidRPr="00F62F25" w:rsidTr="00C46B20">
        <w:trPr>
          <w:trHeight w:val="300"/>
          <w:jc w:val="center"/>
        </w:trPr>
        <w:tc>
          <w:tcPr>
            <w:tcW w:w="1610" w:type="dxa"/>
            <w:vMerge w:val="restart"/>
            <w:tcBorders>
              <w:top w:val="single" w:sz="4" w:space="0" w:color="auto"/>
              <w:left w:val="single" w:sz="8" w:space="0" w:color="auto"/>
              <w:right w:val="nil"/>
            </w:tcBorders>
            <w:shd w:val="clear" w:color="auto" w:fill="auto"/>
            <w:noWrap/>
            <w:vAlign w:val="center"/>
            <w:hideMark/>
          </w:tcPr>
          <w:p w:rsidR="001E73E4" w:rsidRPr="00F62F25" w:rsidRDefault="001E73E4" w:rsidP="001E73E4">
            <w:pPr>
              <w:spacing w:after="0" w:line="240" w:lineRule="auto"/>
              <w:rPr>
                <w:rFonts w:ascii="Calibri" w:eastAsia="Times New Roman" w:hAnsi="Calibri" w:cs="Times New Roman"/>
                <w:b/>
                <w:bCs/>
                <w:color w:val="000000"/>
              </w:rPr>
            </w:pPr>
            <w:r w:rsidRPr="00F62F25">
              <w:rPr>
                <w:rFonts w:ascii="Calibri" w:eastAsia="Times New Roman" w:hAnsi="Calibri" w:cs="Times New Roman"/>
                <w:b/>
                <w:bCs/>
                <w:color w:val="000000"/>
              </w:rPr>
              <w:t>Subtype</w:t>
            </w:r>
          </w:p>
        </w:tc>
        <w:tc>
          <w:tcPr>
            <w:tcW w:w="987" w:type="dxa"/>
            <w:vMerge w:val="restart"/>
            <w:tcBorders>
              <w:top w:val="single" w:sz="4" w:space="0" w:color="auto"/>
              <w:left w:val="nil"/>
              <w:right w:val="nil"/>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Stage</w:t>
            </w:r>
          </w:p>
        </w:tc>
        <w:tc>
          <w:tcPr>
            <w:tcW w:w="253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E73E4" w:rsidRPr="00F62F25" w:rsidRDefault="001E73E4" w:rsidP="00F62F25">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Non-Hispanic</w:t>
            </w:r>
          </w:p>
        </w:tc>
        <w:tc>
          <w:tcPr>
            <w:tcW w:w="1065" w:type="dxa"/>
            <w:vMerge w:val="restart"/>
            <w:tcBorders>
              <w:top w:val="single" w:sz="4" w:space="0" w:color="auto"/>
              <w:left w:val="nil"/>
              <w:right w:val="single" w:sz="8" w:space="0" w:color="auto"/>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Hispanic</w:t>
            </w:r>
          </w:p>
        </w:tc>
      </w:tr>
      <w:tr w:rsidR="001E73E4" w:rsidRPr="00F62F25" w:rsidTr="00C46B20">
        <w:trPr>
          <w:trHeight w:val="315"/>
          <w:jc w:val="center"/>
        </w:trPr>
        <w:tc>
          <w:tcPr>
            <w:tcW w:w="1610" w:type="dxa"/>
            <w:vMerge/>
            <w:tcBorders>
              <w:left w:val="single" w:sz="8" w:space="0" w:color="auto"/>
              <w:bottom w:val="double" w:sz="6" w:space="0" w:color="auto"/>
              <w:right w:val="nil"/>
            </w:tcBorders>
            <w:shd w:val="clear" w:color="auto" w:fill="auto"/>
            <w:noWrap/>
            <w:vAlign w:val="bottom"/>
            <w:hideMark/>
          </w:tcPr>
          <w:p w:rsidR="001E73E4" w:rsidRPr="00F62F25" w:rsidRDefault="001E73E4" w:rsidP="001E73E4">
            <w:pPr>
              <w:spacing w:after="0" w:line="240" w:lineRule="auto"/>
              <w:rPr>
                <w:rFonts w:ascii="Calibri" w:eastAsia="Times New Roman" w:hAnsi="Calibri" w:cs="Times New Roman"/>
                <w:b/>
                <w:bCs/>
                <w:color w:val="000000"/>
              </w:rPr>
            </w:pPr>
          </w:p>
        </w:tc>
        <w:tc>
          <w:tcPr>
            <w:tcW w:w="987" w:type="dxa"/>
            <w:vMerge/>
            <w:tcBorders>
              <w:left w:val="nil"/>
              <w:bottom w:val="double" w:sz="6" w:space="0" w:color="auto"/>
              <w:right w:val="nil"/>
            </w:tcBorders>
            <w:shd w:val="clear" w:color="auto" w:fill="auto"/>
            <w:noWrap/>
            <w:vAlign w:val="bottom"/>
            <w:hideMark/>
          </w:tcPr>
          <w:p w:rsidR="001E73E4" w:rsidRPr="00F62F25" w:rsidRDefault="001E73E4" w:rsidP="00F62F25">
            <w:pPr>
              <w:spacing w:after="0" w:line="240" w:lineRule="auto"/>
              <w:jc w:val="center"/>
              <w:rPr>
                <w:rFonts w:ascii="Calibri" w:eastAsia="Times New Roman" w:hAnsi="Calibri" w:cs="Times New Roman"/>
                <w:b/>
                <w:bCs/>
                <w:color w:val="000000"/>
              </w:rPr>
            </w:pPr>
          </w:p>
        </w:tc>
        <w:tc>
          <w:tcPr>
            <w:tcW w:w="775" w:type="dxa"/>
            <w:tcBorders>
              <w:top w:val="nil"/>
              <w:left w:val="single" w:sz="4" w:space="0" w:color="auto"/>
              <w:bottom w:val="double" w:sz="6" w:space="0" w:color="auto"/>
              <w:right w:val="nil"/>
            </w:tcBorders>
            <w:shd w:val="clear" w:color="auto" w:fill="auto"/>
            <w:noWrap/>
            <w:vAlign w:val="bottom"/>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White</w:t>
            </w:r>
          </w:p>
        </w:tc>
        <w:tc>
          <w:tcPr>
            <w:tcW w:w="718" w:type="dxa"/>
            <w:tcBorders>
              <w:top w:val="nil"/>
              <w:left w:val="nil"/>
              <w:bottom w:val="double" w:sz="6" w:space="0" w:color="auto"/>
              <w:right w:val="nil"/>
            </w:tcBorders>
            <w:shd w:val="clear" w:color="auto" w:fill="auto"/>
            <w:noWrap/>
            <w:vAlign w:val="bottom"/>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Black</w:t>
            </w:r>
          </w:p>
        </w:tc>
        <w:tc>
          <w:tcPr>
            <w:tcW w:w="1045" w:type="dxa"/>
            <w:tcBorders>
              <w:top w:val="nil"/>
              <w:left w:val="nil"/>
              <w:bottom w:val="double" w:sz="6" w:space="0" w:color="auto"/>
              <w:right w:val="single" w:sz="4" w:space="0" w:color="auto"/>
            </w:tcBorders>
            <w:shd w:val="clear" w:color="auto" w:fill="auto"/>
            <w:noWrap/>
            <w:vAlign w:val="bottom"/>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Asian/PI</w:t>
            </w:r>
          </w:p>
        </w:tc>
        <w:tc>
          <w:tcPr>
            <w:tcW w:w="1065" w:type="dxa"/>
            <w:vMerge/>
            <w:tcBorders>
              <w:left w:val="nil"/>
              <w:bottom w:val="double" w:sz="6" w:space="0" w:color="auto"/>
              <w:right w:val="single" w:sz="8" w:space="0" w:color="auto"/>
            </w:tcBorders>
            <w:shd w:val="clear" w:color="auto" w:fill="auto"/>
            <w:noWrap/>
            <w:vAlign w:val="bottom"/>
            <w:hideMark/>
          </w:tcPr>
          <w:p w:rsidR="001E73E4" w:rsidRPr="00F62F25" w:rsidRDefault="001E73E4" w:rsidP="001E73E4">
            <w:pPr>
              <w:spacing w:after="0" w:line="240" w:lineRule="auto"/>
              <w:jc w:val="center"/>
              <w:rPr>
                <w:rFonts w:ascii="Calibri" w:eastAsia="Times New Roman" w:hAnsi="Calibri" w:cs="Times New Roman"/>
                <w:b/>
                <w:bCs/>
                <w:color w:val="000000"/>
              </w:rPr>
            </w:pPr>
          </w:p>
        </w:tc>
      </w:tr>
      <w:tr w:rsidR="00F62F25" w:rsidRPr="00F62F25" w:rsidTr="00C46B20">
        <w:trPr>
          <w:trHeight w:val="315"/>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HR+/HER2-</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Local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63.51</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44.43</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43.16</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40.94</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Regional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25.09</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24.20</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18.46</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19.92</w:t>
            </w:r>
          </w:p>
        </w:tc>
      </w:tr>
      <w:tr w:rsidR="00F62F25" w:rsidRPr="00F62F25" w:rsidTr="00C46B20">
        <w:trPr>
          <w:trHeight w:val="300"/>
          <w:jc w:val="center"/>
        </w:trPr>
        <w:tc>
          <w:tcPr>
            <w:tcW w:w="1610" w:type="dxa"/>
            <w:tcBorders>
              <w:top w:val="nil"/>
              <w:left w:val="single" w:sz="8" w:space="0" w:color="auto"/>
              <w:bottom w:val="single" w:sz="4" w:space="0" w:color="auto"/>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Distant</w:t>
            </w:r>
          </w:p>
        </w:tc>
        <w:tc>
          <w:tcPr>
            <w:tcW w:w="775" w:type="dxa"/>
            <w:tcBorders>
              <w:top w:val="nil"/>
              <w:left w:val="single" w:sz="4" w:space="0" w:color="auto"/>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4.32</w:t>
            </w:r>
          </w:p>
        </w:tc>
        <w:tc>
          <w:tcPr>
            <w:tcW w:w="718" w:type="dxa"/>
            <w:tcBorders>
              <w:top w:val="nil"/>
              <w:left w:val="nil"/>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5.79</w:t>
            </w:r>
          </w:p>
        </w:tc>
        <w:tc>
          <w:tcPr>
            <w:tcW w:w="1045" w:type="dxa"/>
            <w:tcBorders>
              <w:top w:val="nil"/>
              <w:left w:val="nil"/>
              <w:bottom w:val="single" w:sz="4" w:space="0" w:color="auto"/>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2.57</w:t>
            </w:r>
          </w:p>
        </w:tc>
        <w:tc>
          <w:tcPr>
            <w:tcW w:w="1065" w:type="dxa"/>
            <w:tcBorders>
              <w:top w:val="nil"/>
              <w:left w:val="nil"/>
              <w:bottom w:val="single" w:sz="4" w:space="0" w:color="auto"/>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3.01</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Triple Neg</w:t>
            </w:r>
            <w:r w:rsidR="00ED7EA7">
              <w:rPr>
                <w:rFonts w:ascii="Calibri" w:eastAsia="Times New Roman" w:hAnsi="Calibri" w:cs="Times New Roman"/>
                <w:color w:val="000000"/>
              </w:rPr>
              <w:t>ative</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Local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9.15</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14.99</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6.55</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6.73</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Regional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4.37</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9.82</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3.09</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4.13</w:t>
            </w:r>
          </w:p>
        </w:tc>
      </w:tr>
      <w:tr w:rsidR="00F62F25" w:rsidRPr="00F62F25" w:rsidTr="00C46B20">
        <w:trPr>
          <w:trHeight w:val="300"/>
          <w:jc w:val="center"/>
        </w:trPr>
        <w:tc>
          <w:tcPr>
            <w:tcW w:w="1610" w:type="dxa"/>
            <w:tcBorders>
              <w:top w:val="nil"/>
              <w:left w:val="single" w:sz="8" w:space="0" w:color="auto"/>
              <w:bottom w:val="single" w:sz="4" w:space="0" w:color="auto"/>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Distant</w:t>
            </w:r>
          </w:p>
        </w:tc>
        <w:tc>
          <w:tcPr>
            <w:tcW w:w="775" w:type="dxa"/>
            <w:tcBorders>
              <w:top w:val="nil"/>
              <w:left w:val="single" w:sz="4" w:space="0" w:color="auto"/>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0.99</w:t>
            </w:r>
          </w:p>
        </w:tc>
        <w:tc>
          <w:tcPr>
            <w:tcW w:w="718" w:type="dxa"/>
            <w:tcBorders>
              <w:top w:val="nil"/>
              <w:left w:val="nil"/>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2.41</w:t>
            </w:r>
          </w:p>
        </w:tc>
        <w:tc>
          <w:tcPr>
            <w:tcW w:w="1045" w:type="dxa"/>
            <w:tcBorders>
              <w:top w:val="nil"/>
              <w:left w:val="nil"/>
              <w:bottom w:val="single" w:sz="4" w:space="0" w:color="auto"/>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0.75</w:t>
            </w:r>
          </w:p>
        </w:tc>
        <w:tc>
          <w:tcPr>
            <w:tcW w:w="1065" w:type="dxa"/>
            <w:tcBorders>
              <w:top w:val="nil"/>
              <w:left w:val="nil"/>
              <w:bottom w:val="single" w:sz="4" w:space="0" w:color="auto"/>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0.87</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HR+/HER2+</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Local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7.20</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6.06</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6.07</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5.19</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Regional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4.51</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5.26</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4.13</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4.17</w:t>
            </w:r>
          </w:p>
        </w:tc>
      </w:tr>
      <w:tr w:rsidR="00F62F25" w:rsidRPr="00F62F25" w:rsidTr="00C46B20">
        <w:trPr>
          <w:trHeight w:val="300"/>
          <w:jc w:val="center"/>
        </w:trPr>
        <w:tc>
          <w:tcPr>
            <w:tcW w:w="1610" w:type="dxa"/>
            <w:tcBorders>
              <w:top w:val="nil"/>
              <w:left w:val="single" w:sz="8" w:space="0" w:color="auto"/>
              <w:bottom w:val="single" w:sz="4" w:space="0" w:color="auto"/>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Distant</w:t>
            </w:r>
          </w:p>
        </w:tc>
        <w:tc>
          <w:tcPr>
            <w:tcW w:w="775" w:type="dxa"/>
            <w:tcBorders>
              <w:top w:val="nil"/>
              <w:left w:val="single" w:sz="4" w:space="0" w:color="auto"/>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1.12</w:t>
            </w:r>
          </w:p>
        </w:tc>
        <w:tc>
          <w:tcPr>
            <w:tcW w:w="718" w:type="dxa"/>
            <w:tcBorders>
              <w:top w:val="nil"/>
              <w:left w:val="nil"/>
              <w:bottom w:val="single" w:sz="4"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1.58</w:t>
            </w:r>
          </w:p>
        </w:tc>
        <w:tc>
          <w:tcPr>
            <w:tcW w:w="1045" w:type="dxa"/>
            <w:tcBorders>
              <w:top w:val="nil"/>
              <w:left w:val="nil"/>
              <w:bottom w:val="single" w:sz="4" w:space="0" w:color="auto"/>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0.69</w:t>
            </w:r>
          </w:p>
        </w:tc>
        <w:tc>
          <w:tcPr>
            <w:tcW w:w="1065" w:type="dxa"/>
            <w:tcBorders>
              <w:top w:val="nil"/>
              <w:left w:val="nil"/>
              <w:bottom w:val="single" w:sz="4" w:space="0" w:color="auto"/>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0.88</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HR-/HER2+</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Local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2.76</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2.97</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3.20</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2.45</w:t>
            </w:r>
          </w:p>
        </w:tc>
      </w:tr>
      <w:tr w:rsidR="00F62F25" w:rsidRPr="00F62F25" w:rsidTr="00C46B20">
        <w:trPr>
          <w:trHeight w:val="300"/>
          <w:jc w:val="center"/>
        </w:trPr>
        <w:tc>
          <w:tcPr>
            <w:tcW w:w="1610" w:type="dxa"/>
            <w:tcBorders>
              <w:top w:val="nil"/>
              <w:left w:val="single" w:sz="8" w:space="0" w:color="auto"/>
              <w:bottom w:val="nil"/>
              <w:right w:val="nil"/>
            </w:tcBorders>
            <w:shd w:val="clear" w:color="auto" w:fill="auto"/>
            <w:noWrap/>
            <w:vAlign w:val="bottom"/>
            <w:hideMark/>
          </w:tcPr>
          <w:p w:rsidR="00F62F25" w:rsidRPr="00F62F25" w:rsidRDefault="00F62F25" w:rsidP="00F62F25">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Regional</w:t>
            </w:r>
          </w:p>
        </w:tc>
        <w:tc>
          <w:tcPr>
            <w:tcW w:w="775" w:type="dxa"/>
            <w:tcBorders>
              <w:top w:val="nil"/>
              <w:left w:val="single" w:sz="4" w:space="0" w:color="auto"/>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2.06</w:t>
            </w:r>
          </w:p>
        </w:tc>
        <w:tc>
          <w:tcPr>
            <w:tcW w:w="718" w:type="dxa"/>
            <w:tcBorders>
              <w:top w:val="nil"/>
              <w:left w:val="nil"/>
              <w:bottom w:val="nil"/>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2.79</w:t>
            </w:r>
          </w:p>
        </w:tc>
        <w:tc>
          <w:tcPr>
            <w:tcW w:w="1045" w:type="dxa"/>
            <w:tcBorders>
              <w:top w:val="nil"/>
              <w:left w:val="nil"/>
              <w:bottom w:val="nil"/>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2.21</w:t>
            </w:r>
          </w:p>
        </w:tc>
        <w:tc>
          <w:tcPr>
            <w:tcW w:w="1065" w:type="dxa"/>
            <w:tcBorders>
              <w:top w:val="nil"/>
              <w:left w:val="nil"/>
              <w:bottom w:val="nil"/>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2.02</w:t>
            </w:r>
          </w:p>
        </w:tc>
      </w:tr>
      <w:tr w:rsidR="00F62F25" w:rsidRPr="00F62F25" w:rsidTr="00C46B20">
        <w:trPr>
          <w:trHeight w:val="315"/>
          <w:jc w:val="center"/>
        </w:trPr>
        <w:tc>
          <w:tcPr>
            <w:tcW w:w="1610" w:type="dxa"/>
            <w:tcBorders>
              <w:top w:val="nil"/>
              <w:left w:val="single" w:sz="8" w:space="0" w:color="auto"/>
              <w:bottom w:val="single" w:sz="8" w:space="0" w:color="auto"/>
              <w:right w:val="nil"/>
            </w:tcBorders>
            <w:shd w:val="clear" w:color="auto" w:fill="auto"/>
            <w:noWrap/>
            <w:vAlign w:val="bottom"/>
            <w:hideMark/>
          </w:tcPr>
          <w:p w:rsidR="00F62F25" w:rsidRPr="00F62F25" w:rsidRDefault="00F62F25" w:rsidP="00F62F25">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987" w:type="dxa"/>
            <w:tcBorders>
              <w:top w:val="nil"/>
              <w:left w:val="nil"/>
              <w:bottom w:val="single" w:sz="8"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Distant</w:t>
            </w:r>
          </w:p>
        </w:tc>
        <w:tc>
          <w:tcPr>
            <w:tcW w:w="775" w:type="dxa"/>
            <w:tcBorders>
              <w:top w:val="nil"/>
              <w:left w:val="single" w:sz="4" w:space="0" w:color="auto"/>
              <w:bottom w:val="single" w:sz="8"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0.57</w:t>
            </w:r>
          </w:p>
        </w:tc>
        <w:tc>
          <w:tcPr>
            <w:tcW w:w="718" w:type="dxa"/>
            <w:tcBorders>
              <w:top w:val="nil"/>
              <w:left w:val="nil"/>
              <w:bottom w:val="single" w:sz="8" w:space="0" w:color="auto"/>
              <w:right w:val="nil"/>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0.95</w:t>
            </w:r>
          </w:p>
        </w:tc>
        <w:tc>
          <w:tcPr>
            <w:tcW w:w="1045" w:type="dxa"/>
            <w:tcBorders>
              <w:top w:val="nil"/>
              <w:left w:val="nil"/>
              <w:bottom w:val="single" w:sz="8" w:space="0" w:color="auto"/>
              <w:right w:val="single" w:sz="4"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0.53</w:t>
            </w:r>
          </w:p>
        </w:tc>
        <w:tc>
          <w:tcPr>
            <w:tcW w:w="1065" w:type="dxa"/>
            <w:tcBorders>
              <w:top w:val="nil"/>
              <w:left w:val="nil"/>
              <w:bottom w:val="single" w:sz="8" w:space="0" w:color="auto"/>
              <w:right w:val="single" w:sz="8" w:space="0" w:color="auto"/>
            </w:tcBorders>
            <w:shd w:val="clear" w:color="auto" w:fill="auto"/>
            <w:noWrap/>
            <w:vAlign w:val="bottom"/>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0.59</w:t>
            </w:r>
          </w:p>
        </w:tc>
      </w:tr>
    </w:tbl>
    <w:p w:rsidR="001E73E4" w:rsidRDefault="001E73E4" w:rsidP="00664C98">
      <w:pPr>
        <w:spacing w:after="0" w:line="240" w:lineRule="auto"/>
        <w:contextualSpacing/>
        <w:rPr>
          <w:rFonts w:ascii="Calibri" w:eastAsia="Times New Roman" w:hAnsi="Calibri" w:cs="Times New Roman"/>
          <w:color w:val="000000"/>
        </w:rPr>
      </w:pPr>
      <w:r w:rsidRPr="00F62F25">
        <w:rPr>
          <w:rFonts w:ascii="Calibri" w:eastAsia="Times New Roman" w:hAnsi="Calibri" w:cs="Times New Roman"/>
          <w:color w:val="000000"/>
        </w:rPr>
        <w:t xml:space="preserve">*   Population-based registries meeting NAACCR quality criteria and high completeness of HR/HER2 data include: Alaska, California, Colorado, Connecticut, Delaware, District of Columbia, Florida, Georgia, Hawai'i, Idaho, Illinois, Indiana, Iowa, Kansas, Kentucky, Louisiana, Maine, Maryland, Massachusetts, Michigan, Mississippi, Missouri, Montana, Nebraska, New Hampshire, New Jersey, New Mexico, New York, North Carolina, North Dakota, Ohio, Oregon, Pennsylvania, Rhode Island, South Carolina, South Dakota, Utah, Vermont, Virginia, Washington, West Virginia, Wisconsin, Wyoming. </w:t>
      </w:r>
    </w:p>
    <w:p w:rsidR="001E73E4" w:rsidRDefault="001E73E4" w:rsidP="00664C98">
      <w:pPr>
        <w:spacing w:after="0" w:line="240" w:lineRule="auto"/>
        <w:contextualSpacing/>
        <w:rPr>
          <w:rFonts w:ascii="Calibri" w:eastAsia="Times New Roman" w:hAnsi="Calibri" w:cs="Times New Roman"/>
          <w:color w:val="000000"/>
        </w:rPr>
      </w:pPr>
    </w:p>
    <w:p w:rsidR="00F62F25" w:rsidRDefault="00ED7EA7" w:rsidP="00664C98">
      <w:pPr>
        <w:spacing w:after="0" w:line="240" w:lineRule="auto"/>
        <w:contextualSpacing/>
      </w:pPr>
      <w:r w:rsidRPr="00664C98">
        <w:rPr>
          <w:rFonts w:ascii="Calibri" w:eastAsia="Times New Roman" w:hAnsi="Calibri" w:cs="Times New Roman"/>
          <w:color w:val="000000"/>
        </w:rPr>
        <w:t>HR = h</w:t>
      </w:r>
      <w:r>
        <w:rPr>
          <w:rFonts w:ascii="Calibri" w:eastAsia="Times New Roman" w:hAnsi="Calibri" w:cs="Times New Roman"/>
          <w:color w:val="000000"/>
        </w:rPr>
        <w:t xml:space="preserve">ormone receptor; </w:t>
      </w:r>
      <w:r w:rsidRPr="00664C98">
        <w:rPr>
          <w:rFonts w:ascii="Calibri" w:eastAsia="Times New Roman" w:hAnsi="Calibri" w:cs="Times New Roman"/>
          <w:color w:val="000000"/>
        </w:rPr>
        <w:t>HER2 = human epidermal growth factor receptor 2</w:t>
      </w:r>
      <w:r w:rsidR="001E73E4" w:rsidRPr="00F62F25">
        <w:rPr>
          <w:rFonts w:ascii="Calibri" w:eastAsia="Times New Roman" w:hAnsi="Calibri" w:cs="Times New Roman"/>
          <w:color w:val="000000"/>
        </w:rPr>
        <w:t>; PI = Pacific Islander.</w:t>
      </w:r>
    </w:p>
    <w:p w:rsidR="00F62F25" w:rsidRDefault="00F62F25">
      <w:r>
        <w:br w:type="page"/>
      </w:r>
      <w:r w:rsidR="001E73E4">
        <w:rPr>
          <w:rFonts w:ascii="Calibri" w:eastAsia="Times New Roman" w:hAnsi="Calibri" w:cs="Times New Roman"/>
          <w:b/>
          <w:bCs/>
          <w:color w:val="000000"/>
        </w:rPr>
        <w:t>Supplementary Table 4.</w:t>
      </w:r>
      <w:r w:rsidR="001E73E4" w:rsidRPr="00F62F25">
        <w:rPr>
          <w:rFonts w:ascii="Calibri" w:eastAsia="Times New Roman" w:hAnsi="Calibri" w:cs="Times New Roman"/>
          <w:b/>
          <w:bCs/>
          <w:color w:val="000000"/>
        </w:rPr>
        <w:t xml:space="preserve"> </w:t>
      </w:r>
      <w:r w:rsidR="001E73E4" w:rsidRPr="00F62F25">
        <w:rPr>
          <w:rFonts w:ascii="Calibri" w:eastAsia="Times New Roman" w:hAnsi="Calibri" w:cs="Times New Roman"/>
          <w:color w:val="000000"/>
        </w:rPr>
        <w:t>Age-specific incidence rates of invasive breast cancer by subtype, grade race/ethnicity for diagnosis year 2011 and areas in the United States with high-quality incidence data*</w:t>
      </w:r>
    </w:p>
    <w:tbl>
      <w:tblPr>
        <w:tblW w:w="7501" w:type="dxa"/>
        <w:tblLook w:val="04A0" w:firstRow="1" w:lastRow="0" w:firstColumn="1" w:lastColumn="0" w:noHBand="0" w:noVBand="1"/>
      </w:tblPr>
      <w:tblGrid>
        <w:gridCol w:w="1610"/>
        <w:gridCol w:w="2371"/>
        <w:gridCol w:w="775"/>
        <w:gridCol w:w="830"/>
        <w:gridCol w:w="989"/>
        <w:gridCol w:w="988"/>
      </w:tblGrid>
      <w:tr w:rsidR="001E73E4" w:rsidRPr="00F62F25" w:rsidTr="00C46B20">
        <w:trPr>
          <w:trHeight w:val="300"/>
        </w:trPr>
        <w:tc>
          <w:tcPr>
            <w:tcW w:w="1610" w:type="dxa"/>
            <w:vMerge w:val="restart"/>
            <w:tcBorders>
              <w:top w:val="single" w:sz="4" w:space="0" w:color="auto"/>
              <w:left w:val="single" w:sz="8" w:space="0" w:color="auto"/>
              <w:right w:val="nil"/>
            </w:tcBorders>
            <w:shd w:val="clear" w:color="auto" w:fill="auto"/>
            <w:noWrap/>
            <w:vAlign w:val="center"/>
            <w:hideMark/>
          </w:tcPr>
          <w:p w:rsidR="001E73E4" w:rsidRPr="00F62F25" w:rsidRDefault="001E73E4" w:rsidP="001E73E4">
            <w:pPr>
              <w:spacing w:after="0" w:line="240" w:lineRule="auto"/>
              <w:rPr>
                <w:rFonts w:ascii="Calibri" w:eastAsia="Times New Roman" w:hAnsi="Calibri" w:cs="Times New Roman"/>
                <w:b/>
                <w:bCs/>
                <w:color w:val="000000"/>
              </w:rPr>
            </w:pPr>
            <w:r w:rsidRPr="00F62F25">
              <w:rPr>
                <w:rFonts w:ascii="Calibri" w:eastAsia="Times New Roman" w:hAnsi="Calibri" w:cs="Times New Roman"/>
                <w:b/>
                <w:bCs/>
                <w:color w:val="000000"/>
              </w:rPr>
              <w:t>Subtype</w:t>
            </w:r>
          </w:p>
        </w:tc>
        <w:tc>
          <w:tcPr>
            <w:tcW w:w="2309" w:type="dxa"/>
            <w:vMerge w:val="restart"/>
            <w:tcBorders>
              <w:top w:val="single" w:sz="4" w:space="0" w:color="auto"/>
              <w:left w:val="nil"/>
              <w:right w:val="nil"/>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Grade</w:t>
            </w:r>
          </w:p>
        </w:tc>
        <w:tc>
          <w:tcPr>
            <w:tcW w:w="259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Non-Hispanic</w:t>
            </w:r>
          </w:p>
        </w:tc>
        <w:tc>
          <w:tcPr>
            <w:tcW w:w="988" w:type="dxa"/>
            <w:vMerge w:val="restart"/>
            <w:tcBorders>
              <w:top w:val="single" w:sz="4" w:space="0" w:color="auto"/>
              <w:left w:val="nil"/>
              <w:right w:val="single" w:sz="8" w:space="0" w:color="auto"/>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Hispanic</w:t>
            </w:r>
          </w:p>
        </w:tc>
      </w:tr>
      <w:tr w:rsidR="001E73E4" w:rsidRPr="00F62F25" w:rsidTr="00C46B20">
        <w:trPr>
          <w:trHeight w:val="315"/>
        </w:trPr>
        <w:tc>
          <w:tcPr>
            <w:tcW w:w="1610" w:type="dxa"/>
            <w:vMerge/>
            <w:tcBorders>
              <w:left w:val="single" w:sz="8" w:space="0" w:color="auto"/>
              <w:bottom w:val="double" w:sz="6" w:space="0" w:color="auto"/>
              <w:right w:val="nil"/>
            </w:tcBorders>
            <w:shd w:val="clear" w:color="auto" w:fill="auto"/>
            <w:noWrap/>
            <w:vAlign w:val="center"/>
            <w:hideMark/>
          </w:tcPr>
          <w:p w:rsidR="001E73E4" w:rsidRPr="00F62F25" w:rsidRDefault="001E73E4" w:rsidP="001E73E4">
            <w:pPr>
              <w:spacing w:after="0" w:line="240" w:lineRule="auto"/>
              <w:rPr>
                <w:rFonts w:ascii="Calibri" w:eastAsia="Times New Roman" w:hAnsi="Calibri" w:cs="Times New Roman"/>
                <w:b/>
                <w:bCs/>
                <w:color w:val="000000"/>
              </w:rPr>
            </w:pPr>
          </w:p>
        </w:tc>
        <w:tc>
          <w:tcPr>
            <w:tcW w:w="2309" w:type="dxa"/>
            <w:vMerge/>
            <w:tcBorders>
              <w:left w:val="nil"/>
              <w:bottom w:val="double" w:sz="6" w:space="0" w:color="auto"/>
              <w:right w:val="nil"/>
            </w:tcBorders>
            <w:shd w:val="clear" w:color="auto" w:fill="auto"/>
            <w:noWrap/>
            <w:vAlign w:val="bottom"/>
            <w:hideMark/>
          </w:tcPr>
          <w:p w:rsidR="001E73E4" w:rsidRPr="00F62F25" w:rsidRDefault="001E73E4" w:rsidP="00F62F25">
            <w:pPr>
              <w:spacing w:after="0" w:line="240" w:lineRule="auto"/>
              <w:jc w:val="center"/>
              <w:rPr>
                <w:rFonts w:ascii="Calibri" w:eastAsia="Times New Roman" w:hAnsi="Calibri" w:cs="Times New Roman"/>
                <w:b/>
                <w:bCs/>
                <w:color w:val="000000"/>
              </w:rPr>
            </w:pPr>
          </w:p>
        </w:tc>
        <w:tc>
          <w:tcPr>
            <w:tcW w:w="775" w:type="dxa"/>
            <w:tcBorders>
              <w:top w:val="nil"/>
              <w:left w:val="single" w:sz="4" w:space="0" w:color="auto"/>
              <w:bottom w:val="double" w:sz="6" w:space="0" w:color="auto"/>
              <w:right w:val="nil"/>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White</w:t>
            </w:r>
          </w:p>
        </w:tc>
        <w:tc>
          <w:tcPr>
            <w:tcW w:w="830" w:type="dxa"/>
            <w:tcBorders>
              <w:top w:val="nil"/>
              <w:left w:val="nil"/>
              <w:bottom w:val="double" w:sz="6" w:space="0" w:color="auto"/>
              <w:right w:val="nil"/>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Black</w:t>
            </w:r>
          </w:p>
        </w:tc>
        <w:tc>
          <w:tcPr>
            <w:tcW w:w="989" w:type="dxa"/>
            <w:tcBorders>
              <w:top w:val="nil"/>
              <w:left w:val="nil"/>
              <w:bottom w:val="double" w:sz="6" w:space="0" w:color="auto"/>
              <w:right w:val="single" w:sz="4" w:space="0" w:color="auto"/>
            </w:tcBorders>
            <w:shd w:val="clear" w:color="auto" w:fill="auto"/>
            <w:noWrap/>
            <w:vAlign w:val="center"/>
            <w:hideMark/>
          </w:tcPr>
          <w:p w:rsidR="001E73E4" w:rsidRPr="00F62F25" w:rsidRDefault="001E73E4" w:rsidP="001E73E4">
            <w:pPr>
              <w:spacing w:after="0" w:line="240" w:lineRule="auto"/>
              <w:jc w:val="center"/>
              <w:rPr>
                <w:rFonts w:ascii="Calibri" w:eastAsia="Times New Roman" w:hAnsi="Calibri" w:cs="Times New Roman"/>
                <w:b/>
                <w:bCs/>
                <w:color w:val="000000"/>
              </w:rPr>
            </w:pPr>
            <w:r w:rsidRPr="00F62F25">
              <w:rPr>
                <w:rFonts w:ascii="Calibri" w:eastAsia="Times New Roman" w:hAnsi="Calibri" w:cs="Times New Roman"/>
                <w:b/>
                <w:bCs/>
                <w:color w:val="000000"/>
              </w:rPr>
              <w:t>Asian/PI</w:t>
            </w:r>
          </w:p>
        </w:tc>
        <w:tc>
          <w:tcPr>
            <w:tcW w:w="988" w:type="dxa"/>
            <w:vMerge/>
            <w:tcBorders>
              <w:left w:val="nil"/>
              <w:bottom w:val="double" w:sz="6" w:space="0" w:color="auto"/>
              <w:right w:val="single" w:sz="8" w:space="0" w:color="auto"/>
            </w:tcBorders>
            <w:shd w:val="clear" w:color="auto" w:fill="auto"/>
            <w:noWrap/>
            <w:vAlign w:val="bottom"/>
            <w:hideMark/>
          </w:tcPr>
          <w:p w:rsidR="001E73E4" w:rsidRPr="00F62F25" w:rsidRDefault="001E73E4" w:rsidP="00F62F25">
            <w:pPr>
              <w:spacing w:after="0" w:line="240" w:lineRule="auto"/>
              <w:jc w:val="center"/>
              <w:rPr>
                <w:rFonts w:ascii="Calibri" w:eastAsia="Times New Roman" w:hAnsi="Calibri" w:cs="Times New Roman"/>
                <w:b/>
                <w:bCs/>
                <w:color w:val="000000"/>
              </w:rPr>
            </w:pPr>
          </w:p>
        </w:tc>
      </w:tr>
      <w:tr w:rsidR="00F62F25" w:rsidRPr="00F62F25" w:rsidTr="00C46B20">
        <w:trPr>
          <w:trHeight w:val="315"/>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HR+/HER2-</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Well</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28.15</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16.83</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16.12</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17.18</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Moderately</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46.88</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35.47</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32.94</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32.33</w:t>
            </w:r>
          </w:p>
        </w:tc>
      </w:tr>
      <w:tr w:rsidR="00F62F25" w:rsidRPr="00F62F25" w:rsidTr="00C46B20">
        <w:trPr>
          <w:trHeight w:val="300"/>
        </w:trPr>
        <w:tc>
          <w:tcPr>
            <w:tcW w:w="1610" w:type="dxa"/>
            <w:tcBorders>
              <w:top w:val="nil"/>
              <w:left w:val="single" w:sz="8" w:space="0" w:color="auto"/>
              <w:bottom w:val="single" w:sz="4" w:space="0" w:color="auto"/>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Poorly/Undifferentiated</w:t>
            </w:r>
          </w:p>
        </w:tc>
        <w:tc>
          <w:tcPr>
            <w:tcW w:w="775" w:type="dxa"/>
            <w:tcBorders>
              <w:top w:val="nil"/>
              <w:left w:val="single" w:sz="4" w:space="0" w:color="auto"/>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17.90</w:t>
            </w:r>
          </w:p>
        </w:tc>
        <w:tc>
          <w:tcPr>
            <w:tcW w:w="830" w:type="dxa"/>
            <w:tcBorders>
              <w:top w:val="nil"/>
              <w:left w:val="nil"/>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22.13</w:t>
            </w:r>
          </w:p>
        </w:tc>
        <w:tc>
          <w:tcPr>
            <w:tcW w:w="989" w:type="dxa"/>
            <w:tcBorders>
              <w:top w:val="nil"/>
              <w:left w:val="nil"/>
              <w:bottom w:val="single" w:sz="4" w:space="0" w:color="auto"/>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15.13</w:t>
            </w:r>
          </w:p>
        </w:tc>
        <w:tc>
          <w:tcPr>
            <w:tcW w:w="988" w:type="dxa"/>
            <w:tcBorders>
              <w:top w:val="nil"/>
              <w:left w:val="nil"/>
              <w:bottom w:val="single" w:sz="4" w:space="0" w:color="auto"/>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14.35</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Triple Neg</w:t>
            </w:r>
            <w:r w:rsidR="00ED7EA7">
              <w:rPr>
                <w:rFonts w:ascii="Calibri" w:eastAsia="Times New Roman" w:hAnsi="Calibri" w:cs="Times New Roman"/>
                <w:color w:val="000000"/>
              </w:rPr>
              <w:t>ative</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Well</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0.309</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0.480</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0.396</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0.185</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Moderately</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2.143</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3.985</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2.765</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1.872</w:t>
            </w:r>
          </w:p>
        </w:tc>
      </w:tr>
      <w:tr w:rsidR="00F62F25" w:rsidRPr="00F62F25" w:rsidTr="00C46B20">
        <w:trPr>
          <w:trHeight w:val="300"/>
        </w:trPr>
        <w:tc>
          <w:tcPr>
            <w:tcW w:w="1610" w:type="dxa"/>
            <w:tcBorders>
              <w:top w:val="nil"/>
              <w:left w:val="single" w:sz="8" w:space="0" w:color="auto"/>
              <w:bottom w:val="single" w:sz="4" w:space="0" w:color="auto"/>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Poorly/Undifferentiated</w:t>
            </w:r>
          </w:p>
        </w:tc>
        <w:tc>
          <w:tcPr>
            <w:tcW w:w="775" w:type="dxa"/>
            <w:tcBorders>
              <w:top w:val="nil"/>
              <w:left w:val="single" w:sz="4" w:space="0" w:color="auto"/>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7.936</w:t>
            </w:r>
          </w:p>
        </w:tc>
        <w:tc>
          <w:tcPr>
            <w:tcW w:w="830" w:type="dxa"/>
            <w:tcBorders>
              <w:top w:val="nil"/>
              <w:left w:val="nil"/>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22.758</w:t>
            </w:r>
          </w:p>
        </w:tc>
        <w:tc>
          <w:tcPr>
            <w:tcW w:w="989" w:type="dxa"/>
            <w:tcBorders>
              <w:top w:val="nil"/>
              <w:left w:val="nil"/>
              <w:bottom w:val="single" w:sz="4" w:space="0" w:color="auto"/>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11.345</w:t>
            </w:r>
          </w:p>
        </w:tc>
        <w:tc>
          <w:tcPr>
            <w:tcW w:w="988" w:type="dxa"/>
            <w:tcBorders>
              <w:top w:val="nil"/>
              <w:left w:val="nil"/>
              <w:bottom w:val="single" w:sz="4" w:space="0" w:color="auto"/>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9.680</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HR+/HER2+</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Well</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1.00</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0.79</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0.64</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0.73</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Moderately</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5.46</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5.13</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4.37</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4.21</w:t>
            </w:r>
          </w:p>
        </w:tc>
      </w:tr>
      <w:tr w:rsidR="00F62F25" w:rsidRPr="00F62F25" w:rsidTr="00C46B20">
        <w:trPr>
          <w:trHeight w:val="300"/>
        </w:trPr>
        <w:tc>
          <w:tcPr>
            <w:tcW w:w="1610" w:type="dxa"/>
            <w:tcBorders>
              <w:top w:val="nil"/>
              <w:left w:val="single" w:sz="8" w:space="0" w:color="auto"/>
              <w:bottom w:val="single" w:sz="4" w:space="0" w:color="auto"/>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Poorly/Undifferentiated</w:t>
            </w:r>
          </w:p>
        </w:tc>
        <w:tc>
          <w:tcPr>
            <w:tcW w:w="775" w:type="dxa"/>
            <w:tcBorders>
              <w:top w:val="nil"/>
              <w:left w:val="single" w:sz="4" w:space="0" w:color="auto"/>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6.36</w:t>
            </w:r>
          </w:p>
        </w:tc>
        <w:tc>
          <w:tcPr>
            <w:tcW w:w="830" w:type="dxa"/>
            <w:tcBorders>
              <w:top w:val="nil"/>
              <w:left w:val="nil"/>
              <w:bottom w:val="single" w:sz="4"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6.99</w:t>
            </w:r>
          </w:p>
        </w:tc>
        <w:tc>
          <w:tcPr>
            <w:tcW w:w="989" w:type="dxa"/>
            <w:tcBorders>
              <w:top w:val="nil"/>
              <w:left w:val="nil"/>
              <w:bottom w:val="single" w:sz="4" w:space="0" w:color="auto"/>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5.89</w:t>
            </w:r>
          </w:p>
        </w:tc>
        <w:tc>
          <w:tcPr>
            <w:tcW w:w="988" w:type="dxa"/>
            <w:tcBorders>
              <w:top w:val="nil"/>
              <w:left w:val="nil"/>
              <w:bottom w:val="single" w:sz="4" w:space="0" w:color="auto"/>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5.30</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HR-/HER2+</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Well</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0.09</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0.05</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0.05</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0.05</w:t>
            </w:r>
          </w:p>
        </w:tc>
      </w:tr>
      <w:tr w:rsidR="00F62F25" w:rsidRPr="00F62F25" w:rsidTr="00C46B20">
        <w:trPr>
          <w:trHeight w:val="300"/>
        </w:trPr>
        <w:tc>
          <w:tcPr>
            <w:tcW w:w="1610" w:type="dxa"/>
            <w:tcBorders>
              <w:top w:val="nil"/>
              <w:left w:val="single" w:sz="8" w:space="0" w:color="auto"/>
              <w:bottom w:val="nil"/>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Moderately</w:t>
            </w:r>
          </w:p>
        </w:tc>
        <w:tc>
          <w:tcPr>
            <w:tcW w:w="775" w:type="dxa"/>
            <w:tcBorders>
              <w:top w:val="nil"/>
              <w:left w:val="single" w:sz="4" w:space="0" w:color="auto"/>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1.22</w:t>
            </w:r>
          </w:p>
        </w:tc>
        <w:tc>
          <w:tcPr>
            <w:tcW w:w="830" w:type="dxa"/>
            <w:tcBorders>
              <w:top w:val="nil"/>
              <w:left w:val="nil"/>
              <w:bottom w:val="nil"/>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1.35</w:t>
            </w:r>
          </w:p>
        </w:tc>
        <w:tc>
          <w:tcPr>
            <w:tcW w:w="989" w:type="dxa"/>
            <w:tcBorders>
              <w:top w:val="nil"/>
              <w:left w:val="nil"/>
              <w:bottom w:val="nil"/>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1.15</w:t>
            </w:r>
          </w:p>
        </w:tc>
        <w:tc>
          <w:tcPr>
            <w:tcW w:w="988" w:type="dxa"/>
            <w:tcBorders>
              <w:top w:val="nil"/>
              <w:left w:val="nil"/>
              <w:bottom w:val="nil"/>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1.00</w:t>
            </w:r>
          </w:p>
        </w:tc>
      </w:tr>
      <w:tr w:rsidR="00F62F25" w:rsidRPr="00F62F25" w:rsidTr="00C46B20">
        <w:trPr>
          <w:trHeight w:val="315"/>
        </w:trPr>
        <w:tc>
          <w:tcPr>
            <w:tcW w:w="1610" w:type="dxa"/>
            <w:tcBorders>
              <w:top w:val="nil"/>
              <w:left w:val="single" w:sz="8" w:space="0" w:color="auto"/>
              <w:bottom w:val="single" w:sz="8" w:space="0" w:color="auto"/>
              <w:right w:val="nil"/>
            </w:tcBorders>
            <w:shd w:val="clear" w:color="auto" w:fill="auto"/>
            <w:noWrap/>
            <w:hideMark/>
          </w:tcPr>
          <w:p w:rsidR="00F62F25" w:rsidRPr="00F62F25" w:rsidRDefault="00F62F25" w:rsidP="001E73E4">
            <w:pPr>
              <w:spacing w:after="0" w:line="240" w:lineRule="auto"/>
              <w:rPr>
                <w:rFonts w:ascii="Calibri" w:eastAsia="Times New Roman" w:hAnsi="Calibri" w:cs="Times New Roman"/>
                <w:color w:val="000000"/>
              </w:rPr>
            </w:pPr>
            <w:r w:rsidRPr="00F62F25">
              <w:rPr>
                <w:rFonts w:ascii="Calibri" w:eastAsia="Times New Roman" w:hAnsi="Calibri" w:cs="Times New Roman"/>
                <w:color w:val="000000"/>
              </w:rPr>
              <w:t> </w:t>
            </w:r>
          </w:p>
        </w:tc>
        <w:tc>
          <w:tcPr>
            <w:tcW w:w="2309" w:type="dxa"/>
            <w:tcBorders>
              <w:top w:val="nil"/>
              <w:left w:val="nil"/>
              <w:bottom w:val="single" w:sz="8"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Poorly/Undifferentiated</w:t>
            </w:r>
          </w:p>
        </w:tc>
        <w:tc>
          <w:tcPr>
            <w:tcW w:w="775" w:type="dxa"/>
            <w:tcBorders>
              <w:top w:val="nil"/>
              <w:left w:val="single" w:sz="4" w:space="0" w:color="auto"/>
              <w:bottom w:val="single" w:sz="8"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4.09</w:t>
            </w:r>
          </w:p>
        </w:tc>
        <w:tc>
          <w:tcPr>
            <w:tcW w:w="830" w:type="dxa"/>
            <w:tcBorders>
              <w:top w:val="nil"/>
              <w:left w:val="nil"/>
              <w:bottom w:val="single" w:sz="8" w:space="0" w:color="auto"/>
              <w:right w:val="nil"/>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5.32</w:t>
            </w:r>
          </w:p>
        </w:tc>
        <w:tc>
          <w:tcPr>
            <w:tcW w:w="989" w:type="dxa"/>
            <w:tcBorders>
              <w:top w:val="nil"/>
              <w:left w:val="nil"/>
              <w:bottom w:val="single" w:sz="8" w:space="0" w:color="auto"/>
              <w:right w:val="single" w:sz="4"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4.75</w:t>
            </w:r>
          </w:p>
        </w:tc>
        <w:tc>
          <w:tcPr>
            <w:tcW w:w="988" w:type="dxa"/>
            <w:tcBorders>
              <w:top w:val="nil"/>
              <w:left w:val="nil"/>
              <w:bottom w:val="single" w:sz="8" w:space="0" w:color="auto"/>
              <w:right w:val="single" w:sz="8" w:space="0" w:color="auto"/>
            </w:tcBorders>
            <w:shd w:val="clear" w:color="auto" w:fill="auto"/>
            <w:noWrap/>
            <w:vAlign w:val="center"/>
            <w:hideMark/>
          </w:tcPr>
          <w:p w:rsidR="00F62F25" w:rsidRPr="00F62F25" w:rsidRDefault="00F62F25" w:rsidP="001E73E4">
            <w:pPr>
              <w:spacing w:after="0" w:line="240" w:lineRule="auto"/>
              <w:jc w:val="center"/>
              <w:rPr>
                <w:rFonts w:ascii="Calibri" w:eastAsia="Times New Roman" w:hAnsi="Calibri" w:cs="Times New Roman"/>
                <w:color w:val="000000"/>
              </w:rPr>
            </w:pPr>
            <w:r w:rsidRPr="00F62F25">
              <w:rPr>
                <w:rFonts w:ascii="Calibri" w:eastAsia="Times New Roman" w:hAnsi="Calibri" w:cs="Times New Roman"/>
                <w:color w:val="000000"/>
              </w:rPr>
              <w:t>4.01</w:t>
            </w:r>
          </w:p>
        </w:tc>
      </w:tr>
    </w:tbl>
    <w:p w:rsidR="001E73E4" w:rsidRDefault="001E73E4" w:rsidP="00664C98">
      <w:pPr>
        <w:spacing w:after="0" w:line="240" w:lineRule="auto"/>
        <w:contextualSpacing/>
        <w:rPr>
          <w:rFonts w:ascii="Calibri" w:eastAsia="Times New Roman" w:hAnsi="Calibri" w:cs="Times New Roman"/>
          <w:color w:val="000000"/>
        </w:rPr>
      </w:pPr>
      <w:r w:rsidRPr="00F62F25">
        <w:rPr>
          <w:rFonts w:ascii="Calibri" w:eastAsia="Times New Roman" w:hAnsi="Calibri" w:cs="Times New Roman"/>
          <w:color w:val="000000"/>
        </w:rPr>
        <w:t xml:space="preserve">*   Population-based registries meeting NAACCR quality criteria and high completeness of HR/HER2 data include: Alaska, California, Colorado, Connecticut, Delaware, District of Columbia, Florida, Georgia, Hawai'i, Idaho, Illinois, Indiana, Iowa, Kansas, Kentucky, Louisiana, Maine, Maryland, Massachusetts, Michigan, Mississippi, Missouri, Montana, Nebraska, New Hampshire, New Jersey, New Mexico, New York, North Carolina, North Dakota, Ohio, Oregon, Pennsylvania, Rhode Island, South Carolina, South Dakota, Utah, Vermont, Virginia, Washington, West Virginia, Wisconsin, Wyoming. </w:t>
      </w:r>
    </w:p>
    <w:p w:rsidR="001E73E4" w:rsidRDefault="001E73E4" w:rsidP="00664C98">
      <w:pPr>
        <w:spacing w:after="0" w:line="240" w:lineRule="auto"/>
        <w:contextualSpacing/>
        <w:rPr>
          <w:rFonts w:ascii="Calibri" w:eastAsia="Times New Roman" w:hAnsi="Calibri" w:cs="Times New Roman"/>
          <w:color w:val="000000"/>
        </w:rPr>
      </w:pPr>
    </w:p>
    <w:p w:rsidR="00F62F25" w:rsidRDefault="00ED7EA7" w:rsidP="00664C98">
      <w:pPr>
        <w:spacing w:after="0" w:line="240" w:lineRule="auto"/>
        <w:contextualSpacing/>
      </w:pPr>
      <w:r w:rsidRPr="00664C98">
        <w:rPr>
          <w:rFonts w:ascii="Calibri" w:eastAsia="Times New Roman" w:hAnsi="Calibri" w:cs="Times New Roman"/>
          <w:color w:val="000000"/>
        </w:rPr>
        <w:t>HR = h</w:t>
      </w:r>
      <w:r>
        <w:rPr>
          <w:rFonts w:ascii="Calibri" w:eastAsia="Times New Roman" w:hAnsi="Calibri" w:cs="Times New Roman"/>
          <w:color w:val="000000"/>
        </w:rPr>
        <w:t xml:space="preserve">ormone receptor; </w:t>
      </w:r>
      <w:r w:rsidRPr="00664C98">
        <w:rPr>
          <w:rFonts w:ascii="Calibri" w:eastAsia="Times New Roman" w:hAnsi="Calibri" w:cs="Times New Roman"/>
          <w:color w:val="000000"/>
        </w:rPr>
        <w:t>HER2 = human epidermal growth factor receptor 2</w:t>
      </w:r>
      <w:r w:rsidRPr="00F62F25">
        <w:rPr>
          <w:rFonts w:ascii="Calibri" w:eastAsia="Times New Roman" w:hAnsi="Calibri" w:cs="Times New Roman"/>
          <w:color w:val="000000"/>
        </w:rPr>
        <w:t>;</w:t>
      </w:r>
      <w:r w:rsidR="001E73E4" w:rsidRPr="00F62F25">
        <w:rPr>
          <w:rFonts w:ascii="Calibri" w:eastAsia="Times New Roman" w:hAnsi="Calibri" w:cs="Times New Roman"/>
          <w:color w:val="000000"/>
        </w:rPr>
        <w:t xml:space="preserve"> PI = Pacific Islander.</w:t>
      </w:r>
    </w:p>
    <w:p w:rsidR="00F62F25" w:rsidRDefault="00F62F25">
      <w:r>
        <w:br w:type="page"/>
      </w:r>
      <w:r w:rsidR="001E73E4">
        <w:rPr>
          <w:rFonts w:ascii="Calibri" w:eastAsia="Times New Roman" w:hAnsi="Calibri" w:cs="Times New Roman"/>
          <w:b/>
          <w:bCs/>
          <w:color w:val="000000"/>
        </w:rPr>
        <w:t>Supplementary Table 5.</w:t>
      </w:r>
      <w:r w:rsidR="001E73E4" w:rsidRPr="00245E46">
        <w:rPr>
          <w:rFonts w:ascii="Calibri" w:eastAsia="Times New Roman" w:hAnsi="Calibri" w:cs="Times New Roman"/>
          <w:b/>
          <w:bCs/>
          <w:color w:val="000000"/>
        </w:rPr>
        <w:t xml:space="preserve"> </w:t>
      </w:r>
      <w:r w:rsidR="001E73E4" w:rsidRPr="00245E46">
        <w:rPr>
          <w:rFonts w:ascii="Calibri" w:eastAsia="Times New Roman" w:hAnsi="Calibri" w:cs="Times New Roman"/>
          <w:color w:val="000000"/>
        </w:rPr>
        <w:t>Age-specific incidence rates of invasive breast cancer by subtype, census tract poverty, race/ethnicity for diagnosis year 2011 and areas in the United States with high-quality incidence data reporting census tract-based poverty measure*</w:t>
      </w:r>
    </w:p>
    <w:tbl>
      <w:tblPr>
        <w:tblW w:w="7398" w:type="dxa"/>
        <w:tblLook w:val="04A0" w:firstRow="1" w:lastRow="0" w:firstColumn="1" w:lastColumn="0" w:noHBand="0" w:noVBand="1"/>
      </w:tblPr>
      <w:tblGrid>
        <w:gridCol w:w="1366"/>
        <w:gridCol w:w="334"/>
        <w:gridCol w:w="2151"/>
        <w:gridCol w:w="775"/>
        <w:gridCol w:w="718"/>
        <w:gridCol w:w="1028"/>
        <w:gridCol w:w="1026"/>
      </w:tblGrid>
      <w:tr w:rsidR="001E73E4" w:rsidRPr="00245E46" w:rsidTr="001E73E4">
        <w:trPr>
          <w:trHeight w:val="300"/>
        </w:trPr>
        <w:tc>
          <w:tcPr>
            <w:tcW w:w="1366" w:type="dxa"/>
            <w:vMerge w:val="restart"/>
            <w:tcBorders>
              <w:top w:val="single" w:sz="4" w:space="0" w:color="auto"/>
              <w:left w:val="single" w:sz="8" w:space="0" w:color="auto"/>
              <w:right w:val="nil"/>
            </w:tcBorders>
            <w:shd w:val="clear" w:color="auto" w:fill="auto"/>
            <w:noWrap/>
            <w:vAlign w:val="center"/>
            <w:hideMark/>
          </w:tcPr>
          <w:p w:rsidR="001E73E4" w:rsidRPr="00245E46" w:rsidRDefault="001E73E4" w:rsidP="001E73E4">
            <w:pPr>
              <w:spacing w:after="0" w:line="240" w:lineRule="auto"/>
              <w:rPr>
                <w:rFonts w:ascii="Calibri" w:eastAsia="Times New Roman" w:hAnsi="Calibri" w:cs="Times New Roman"/>
                <w:b/>
                <w:bCs/>
                <w:color w:val="000000"/>
              </w:rPr>
            </w:pPr>
            <w:r w:rsidRPr="00245E46">
              <w:rPr>
                <w:rFonts w:ascii="Calibri" w:eastAsia="Times New Roman" w:hAnsi="Calibri" w:cs="Times New Roman"/>
                <w:b/>
                <w:bCs/>
                <w:color w:val="000000"/>
              </w:rPr>
              <w:t>Subtype</w:t>
            </w:r>
          </w:p>
        </w:tc>
        <w:tc>
          <w:tcPr>
            <w:tcW w:w="2485" w:type="dxa"/>
            <w:gridSpan w:val="2"/>
            <w:vMerge w:val="restart"/>
            <w:tcBorders>
              <w:top w:val="single" w:sz="4" w:space="0" w:color="auto"/>
              <w:left w:val="nil"/>
              <w:right w:val="nil"/>
            </w:tcBorders>
            <w:shd w:val="clear" w:color="auto" w:fill="auto"/>
            <w:noWrap/>
            <w:vAlign w:val="center"/>
            <w:hideMark/>
          </w:tcPr>
          <w:p w:rsidR="001E73E4" w:rsidRPr="00245E46" w:rsidRDefault="001E73E4" w:rsidP="001E73E4">
            <w:pPr>
              <w:spacing w:after="0" w:line="240" w:lineRule="auto"/>
              <w:jc w:val="center"/>
              <w:rPr>
                <w:rFonts w:ascii="Calibri" w:eastAsia="Times New Roman" w:hAnsi="Calibri" w:cs="Times New Roman"/>
                <w:b/>
                <w:bCs/>
                <w:color w:val="000000"/>
              </w:rPr>
            </w:pPr>
            <w:r w:rsidRPr="00245E46">
              <w:rPr>
                <w:rFonts w:ascii="Calibri" w:eastAsia="Times New Roman" w:hAnsi="Calibri" w:cs="Times New Roman"/>
                <w:b/>
                <w:bCs/>
                <w:color w:val="000000"/>
              </w:rPr>
              <w:t>Census Tract Poverty</w:t>
            </w:r>
          </w:p>
        </w:tc>
        <w:tc>
          <w:tcPr>
            <w:tcW w:w="252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1E73E4" w:rsidRPr="00245E46" w:rsidRDefault="001E73E4" w:rsidP="001E73E4">
            <w:pPr>
              <w:spacing w:after="0" w:line="240" w:lineRule="auto"/>
              <w:jc w:val="center"/>
              <w:rPr>
                <w:rFonts w:ascii="Calibri" w:eastAsia="Times New Roman" w:hAnsi="Calibri" w:cs="Times New Roman"/>
                <w:b/>
                <w:bCs/>
                <w:color w:val="000000"/>
              </w:rPr>
            </w:pPr>
            <w:r w:rsidRPr="00245E46">
              <w:rPr>
                <w:rFonts w:ascii="Calibri" w:eastAsia="Times New Roman" w:hAnsi="Calibri" w:cs="Times New Roman"/>
                <w:b/>
                <w:bCs/>
                <w:color w:val="000000"/>
              </w:rPr>
              <w:t>Non-Hispanic</w:t>
            </w:r>
          </w:p>
        </w:tc>
        <w:tc>
          <w:tcPr>
            <w:tcW w:w="1026" w:type="dxa"/>
            <w:vMerge w:val="restart"/>
            <w:tcBorders>
              <w:top w:val="single" w:sz="4" w:space="0" w:color="auto"/>
              <w:left w:val="nil"/>
              <w:right w:val="single" w:sz="8" w:space="0" w:color="auto"/>
            </w:tcBorders>
            <w:shd w:val="clear" w:color="auto" w:fill="auto"/>
            <w:noWrap/>
            <w:vAlign w:val="center"/>
            <w:hideMark/>
          </w:tcPr>
          <w:p w:rsidR="001E73E4" w:rsidRPr="00245E46" w:rsidRDefault="001E73E4" w:rsidP="001E73E4">
            <w:pPr>
              <w:spacing w:after="0" w:line="240" w:lineRule="auto"/>
              <w:jc w:val="center"/>
              <w:rPr>
                <w:rFonts w:ascii="Calibri" w:eastAsia="Times New Roman" w:hAnsi="Calibri" w:cs="Times New Roman"/>
                <w:b/>
                <w:bCs/>
                <w:color w:val="000000"/>
              </w:rPr>
            </w:pPr>
            <w:r w:rsidRPr="00245E46">
              <w:rPr>
                <w:rFonts w:ascii="Calibri" w:eastAsia="Times New Roman" w:hAnsi="Calibri" w:cs="Times New Roman"/>
                <w:b/>
                <w:bCs/>
                <w:color w:val="000000"/>
              </w:rPr>
              <w:t>Hispanic</w:t>
            </w:r>
          </w:p>
        </w:tc>
      </w:tr>
      <w:tr w:rsidR="001E73E4" w:rsidRPr="00245E46" w:rsidTr="001E73E4">
        <w:trPr>
          <w:trHeight w:val="315"/>
        </w:trPr>
        <w:tc>
          <w:tcPr>
            <w:tcW w:w="1366" w:type="dxa"/>
            <w:vMerge/>
            <w:tcBorders>
              <w:left w:val="single" w:sz="8" w:space="0" w:color="auto"/>
              <w:bottom w:val="double" w:sz="6" w:space="0" w:color="auto"/>
              <w:right w:val="nil"/>
            </w:tcBorders>
            <w:shd w:val="clear" w:color="auto" w:fill="auto"/>
            <w:noWrap/>
            <w:vAlign w:val="bottom"/>
            <w:hideMark/>
          </w:tcPr>
          <w:p w:rsidR="001E73E4" w:rsidRPr="00245E46" w:rsidRDefault="001E73E4" w:rsidP="00245E46">
            <w:pPr>
              <w:spacing w:after="0" w:line="240" w:lineRule="auto"/>
              <w:jc w:val="center"/>
              <w:rPr>
                <w:rFonts w:ascii="Calibri" w:eastAsia="Times New Roman" w:hAnsi="Calibri" w:cs="Times New Roman"/>
                <w:b/>
                <w:bCs/>
                <w:color w:val="000000"/>
              </w:rPr>
            </w:pPr>
          </w:p>
        </w:tc>
        <w:tc>
          <w:tcPr>
            <w:tcW w:w="2485" w:type="dxa"/>
            <w:gridSpan w:val="2"/>
            <w:vMerge/>
            <w:tcBorders>
              <w:left w:val="nil"/>
              <w:bottom w:val="double" w:sz="6" w:space="0" w:color="auto"/>
              <w:right w:val="nil"/>
            </w:tcBorders>
            <w:shd w:val="clear" w:color="auto" w:fill="auto"/>
            <w:noWrap/>
            <w:vAlign w:val="bottom"/>
            <w:hideMark/>
          </w:tcPr>
          <w:p w:rsidR="001E73E4" w:rsidRPr="00245E46" w:rsidRDefault="001E73E4" w:rsidP="00245E46">
            <w:pPr>
              <w:spacing w:after="0" w:line="240" w:lineRule="auto"/>
              <w:jc w:val="center"/>
              <w:rPr>
                <w:rFonts w:ascii="Calibri" w:eastAsia="Times New Roman" w:hAnsi="Calibri" w:cs="Times New Roman"/>
                <w:b/>
                <w:bCs/>
                <w:color w:val="000000"/>
              </w:rPr>
            </w:pPr>
          </w:p>
        </w:tc>
        <w:tc>
          <w:tcPr>
            <w:tcW w:w="775" w:type="dxa"/>
            <w:tcBorders>
              <w:top w:val="nil"/>
              <w:left w:val="single" w:sz="4" w:space="0" w:color="auto"/>
              <w:bottom w:val="double" w:sz="6" w:space="0" w:color="auto"/>
              <w:right w:val="nil"/>
            </w:tcBorders>
            <w:shd w:val="clear" w:color="auto" w:fill="auto"/>
            <w:noWrap/>
            <w:vAlign w:val="center"/>
            <w:hideMark/>
          </w:tcPr>
          <w:p w:rsidR="001E73E4" w:rsidRPr="00245E46" w:rsidRDefault="001E73E4" w:rsidP="001E73E4">
            <w:pPr>
              <w:spacing w:after="0" w:line="240" w:lineRule="auto"/>
              <w:jc w:val="center"/>
              <w:rPr>
                <w:rFonts w:ascii="Calibri" w:eastAsia="Times New Roman" w:hAnsi="Calibri" w:cs="Times New Roman"/>
                <w:b/>
                <w:bCs/>
                <w:color w:val="000000"/>
              </w:rPr>
            </w:pPr>
            <w:r w:rsidRPr="00245E46">
              <w:rPr>
                <w:rFonts w:ascii="Calibri" w:eastAsia="Times New Roman" w:hAnsi="Calibri" w:cs="Times New Roman"/>
                <w:b/>
                <w:bCs/>
                <w:color w:val="000000"/>
              </w:rPr>
              <w:t>White</w:t>
            </w:r>
          </w:p>
        </w:tc>
        <w:tc>
          <w:tcPr>
            <w:tcW w:w="718" w:type="dxa"/>
            <w:tcBorders>
              <w:top w:val="nil"/>
              <w:left w:val="nil"/>
              <w:bottom w:val="double" w:sz="6" w:space="0" w:color="auto"/>
              <w:right w:val="nil"/>
            </w:tcBorders>
            <w:shd w:val="clear" w:color="auto" w:fill="auto"/>
            <w:noWrap/>
            <w:vAlign w:val="center"/>
            <w:hideMark/>
          </w:tcPr>
          <w:p w:rsidR="001E73E4" w:rsidRPr="00245E46" w:rsidRDefault="001E73E4" w:rsidP="001E73E4">
            <w:pPr>
              <w:spacing w:after="0" w:line="240" w:lineRule="auto"/>
              <w:jc w:val="center"/>
              <w:rPr>
                <w:rFonts w:ascii="Calibri" w:eastAsia="Times New Roman" w:hAnsi="Calibri" w:cs="Times New Roman"/>
                <w:b/>
                <w:bCs/>
                <w:color w:val="000000"/>
              </w:rPr>
            </w:pPr>
            <w:r w:rsidRPr="00245E46">
              <w:rPr>
                <w:rFonts w:ascii="Calibri" w:eastAsia="Times New Roman" w:hAnsi="Calibri" w:cs="Times New Roman"/>
                <w:b/>
                <w:bCs/>
                <w:color w:val="000000"/>
              </w:rPr>
              <w:t>Black</w:t>
            </w:r>
          </w:p>
        </w:tc>
        <w:tc>
          <w:tcPr>
            <w:tcW w:w="1028" w:type="dxa"/>
            <w:tcBorders>
              <w:top w:val="nil"/>
              <w:left w:val="nil"/>
              <w:bottom w:val="double" w:sz="6" w:space="0" w:color="auto"/>
              <w:right w:val="single" w:sz="4" w:space="0" w:color="auto"/>
            </w:tcBorders>
            <w:shd w:val="clear" w:color="auto" w:fill="auto"/>
            <w:noWrap/>
            <w:vAlign w:val="center"/>
            <w:hideMark/>
          </w:tcPr>
          <w:p w:rsidR="001E73E4" w:rsidRPr="00245E46" w:rsidRDefault="001E73E4" w:rsidP="001E73E4">
            <w:pPr>
              <w:spacing w:after="0" w:line="240" w:lineRule="auto"/>
              <w:jc w:val="center"/>
              <w:rPr>
                <w:rFonts w:ascii="Calibri" w:eastAsia="Times New Roman" w:hAnsi="Calibri" w:cs="Times New Roman"/>
                <w:b/>
                <w:bCs/>
                <w:color w:val="000000"/>
              </w:rPr>
            </w:pPr>
            <w:r w:rsidRPr="00245E46">
              <w:rPr>
                <w:rFonts w:ascii="Calibri" w:eastAsia="Times New Roman" w:hAnsi="Calibri" w:cs="Times New Roman"/>
                <w:b/>
                <w:bCs/>
                <w:color w:val="000000"/>
              </w:rPr>
              <w:t>Asian/PI</w:t>
            </w:r>
          </w:p>
        </w:tc>
        <w:tc>
          <w:tcPr>
            <w:tcW w:w="1026" w:type="dxa"/>
            <w:vMerge/>
            <w:tcBorders>
              <w:left w:val="nil"/>
              <w:bottom w:val="double" w:sz="6" w:space="0" w:color="auto"/>
              <w:right w:val="single" w:sz="8" w:space="0" w:color="auto"/>
            </w:tcBorders>
            <w:shd w:val="clear" w:color="auto" w:fill="auto"/>
            <w:noWrap/>
            <w:vAlign w:val="bottom"/>
            <w:hideMark/>
          </w:tcPr>
          <w:p w:rsidR="001E73E4" w:rsidRPr="00245E46" w:rsidRDefault="001E73E4" w:rsidP="00245E46">
            <w:pPr>
              <w:spacing w:after="0" w:line="240" w:lineRule="auto"/>
              <w:jc w:val="center"/>
              <w:rPr>
                <w:rFonts w:ascii="Calibri" w:eastAsia="Times New Roman" w:hAnsi="Calibri" w:cs="Times New Roman"/>
                <w:b/>
                <w:bCs/>
                <w:color w:val="000000"/>
              </w:rPr>
            </w:pPr>
          </w:p>
        </w:tc>
      </w:tr>
      <w:tr w:rsidR="00245E46" w:rsidRPr="00245E46" w:rsidTr="00C46B20">
        <w:trPr>
          <w:trHeight w:val="315"/>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HR+/HER2-</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Lowest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98.39</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83.7</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71.94</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77.54</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Middle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85.67</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77.07</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64.8</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65.55</w:t>
            </w:r>
          </w:p>
        </w:tc>
      </w:tr>
      <w:tr w:rsidR="00245E46" w:rsidRPr="00245E46" w:rsidTr="00C46B20">
        <w:trPr>
          <w:trHeight w:val="300"/>
        </w:trPr>
        <w:tc>
          <w:tcPr>
            <w:tcW w:w="1700" w:type="dxa"/>
            <w:gridSpan w:val="2"/>
            <w:tcBorders>
              <w:top w:val="nil"/>
              <w:left w:val="single" w:sz="8" w:space="0" w:color="auto"/>
              <w:bottom w:val="single" w:sz="4" w:space="0" w:color="auto"/>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single" w:sz="4"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Highest Poverty</w:t>
            </w:r>
          </w:p>
        </w:tc>
        <w:tc>
          <w:tcPr>
            <w:tcW w:w="775" w:type="dxa"/>
            <w:tcBorders>
              <w:top w:val="nil"/>
              <w:left w:val="nil"/>
              <w:bottom w:val="single" w:sz="4" w:space="0" w:color="auto"/>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83.76</w:t>
            </w:r>
          </w:p>
        </w:tc>
        <w:tc>
          <w:tcPr>
            <w:tcW w:w="718" w:type="dxa"/>
            <w:tcBorders>
              <w:top w:val="nil"/>
              <w:left w:val="nil"/>
              <w:bottom w:val="single" w:sz="4" w:space="0" w:color="auto"/>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69.81</w:t>
            </w:r>
          </w:p>
        </w:tc>
        <w:tc>
          <w:tcPr>
            <w:tcW w:w="1028" w:type="dxa"/>
            <w:tcBorders>
              <w:top w:val="nil"/>
              <w:left w:val="nil"/>
              <w:bottom w:val="single" w:sz="4"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55.87</w:t>
            </w:r>
          </w:p>
        </w:tc>
        <w:tc>
          <w:tcPr>
            <w:tcW w:w="1026" w:type="dxa"/>
            <w:tcBorders>
              <w:top w:val="nil"/>
              <w:left w:val="nil"/>
              <w:bottom w:val="single" w:sz="4" w:space="0" w:color="auto"/>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59.36</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Triple Neg</w:t>
            </w:r>
            <w:r w:rsidR="00ED7EA7">
              <w:rPr>
                <w:rFonts w:ascii="Calibri" w:eastAsia="Times New Roman" w:hAnsi="Calibri" w:cs="Times New Roman"/>
                <w:color w:val="000000"/>
              </w:rPr>
              <w:t>ative</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Lowest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14.41</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29.13</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11.61</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13.17</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Middle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14.16</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27.12</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9.33</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12.19</w:t>
            </w:r>
          </w:p>
        </w:tc>
      </w:tr>
      <w:tr w:rsidR="00245E46" w:rsidRPr="00245E46" w:rsidTr="00C46B20">
        <w:trPr>
          <w:trHeight w:val="300"/>
        </w:trPr>
        <w:tc>
          <w:tcPr>
            <w:tcW w:w="1700" w:type="dxa"/>
            <w:gridSpan w:val="2"/>
            <w:tcBorders>
              <w:top w:val="nil"/>
              <w:left w:val="single" w:sz="8" w:space="0" w:color="auto"/>
              <w:bottom w:val="single" w:sz="4" w:space="0" w:color="auto"/>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single" w:sz="4"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Highest Poverty</w:t>
            </w:r>
          </w:p>
        </w:tc>
        <w:tc>
          <w:tcPr>
            <w:tcW w:w="775" w:type="dxa"/>
            <w:tcBorders>
              <w:top w:val="nil"/>
              <w:left w:val="nil"/>
              <w:bottom w:val="single" w:sz="4" w:space="0" w:color="auto"/>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14.44</w:t>
            </w:r>
          </w:p>
        </w:tc>
        <w:tc>
          <w:tcPr>
            <w:tcW w:w="718" w:type="dxa"/>
            <w:tcBorders>
              <w:top w:val="nil"/>
              <w:left w:val="nil"/>
              <w:bottom w:val="single" w:sz="4" w:space="0" w:color="auto"/>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26.21</w:t>
            </w:r>
          </w:p>
        </w:tc>
        <w:tc>
          <w:tcPr>
            <w:tcW w:w="1028" w:type="dxa"/>
            <w:tcBorders>
              <w:top w:val="nil"/>
              <w:left w:val="nil"/>
              <w:bottom w:val="single" w:sz="4"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10.11</w:t>
            </w:r>
          </w:p>
        </w:tc>
        <w:tc>
          <w:tcPr>
            <w:tcW w:w="1026" w:type="dxa"/>
            <w:tcBorders>
              <w:top w:val="nil"/>
              <w:left w:val="nil"/>
              <w:bottom w:val="single" w:sz="4" w:space="0" w:color="auto"/>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11.69</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HR+/HER2+</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Lowest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12.94</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14.75</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11.41</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10.92</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Middle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12.44</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13.36</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11.39</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11.2</w:t>
            </w:r>
          </w:p>
        </w:tc>
      </w:tr>
      <w:tr w:rsidR="00245E46" w:rsidRPr="00245E46" w:rsidTr="00C46B20">
        <w:trPr>
          <w:trHeight w:val="300"/>
        </w:trPr>
        <w:tc>
          <w:tcPr>
            <w:tcW w:w="1700" w:type="dxa"/>
            <w:gridSpan w:val="2"/>
            <w:tcBorders>
              <w:top w:val="nil"/>
              <w:left w:val="single" w:sz="8" w:space="0" w:color="auto"/>
              <w:bottom w:val="single" w:sz="4" w:space="0" w:color="auto"/>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single" w:sz="4"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Highest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11.97</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11.89</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12.21</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10.15</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HR-/HER2+</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Lowest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5.37</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6.79</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5.78</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5.77</w:t>
            </w:r>
          </w:p>
        </w:tc>
      </w:tr>
      <w:tr w:rsidR="00245E46" w:rsidRPr="00245E46" w:rsidTr="00C46B20">
        <w:trPr>
          <w:trHeight w:val="300"/>
        </w:trPr>
        <w:tc>
          <w:tcPr>
            <w:tcW w:w="1700" w:type="dxa"/>
            <w:gridSpan w:val="2"/>
            <w:tcBorders>
              <w:top w:val="nil"/>
              <w:left w:val="single" w:sz="8" w:space="0" w:color="auto"/>
              <w:bottom w:val="nil"/>
              <w:right w:val="nil"/>
            </w:tcBorders>
            <w:shd w:val="clear" w:color="auto" w:fill="auto"/>
            <w:noWrap/>
            <w:hideMark/>
          </w:tcPr>
          <w:p w:rsidR="00245E46" w:rsidRPr="00245E46" w:rsidRDefault="00245E46" w:rsidP="001E73E4">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Middle Poverty</w:t>
            </w:r>
          </w:p>
        </w:tc>
        <w:tc>
          <w:tcPr>
            <w:tcW w:w="775"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5.25</w:t>
            </w:r>
          </w:p>
        </w:tc>
        <w:tc>
          <w:tcPr>
            <w:tcW w:w="718" w:type="dxa"/>
            <w:tcBorders>
              <w:top w:val="nil"/>
              <w:left w:val="nil"/>
              <w:bottom w:val="nil"/>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6.57</w:t>
            </w:r>
          </w:p>
        </w:tc>
        <w:tc>
          <w:tcPr>
            <w:tcW w:w="1028" w:type="dxa"/>
            <w:tcBorders>
              <w:top w:val="nil"/>
              <w:left w:val="nil"/>
              <w:bottom w:val="nil"/>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7.01</w:t>
            </w:r>
          </w:p>
        </w:tc>
        <w:tc>
          <w:tcPr>
            <w:tcW w:w="1026" w:type="dxa"/>
            <w:tcBorders>
              <w:top w:val="nil"/>
              <w:left w:val="nil"/>
              <w:bottom w:val="nil"/>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5.1</w:t>
            </w:r>
          </w:p>
        </w:tc>
      </w:tr>
      <w:tr w:rsidR="00245E46" w:rsidRPr="00245E46" w:rsidTr="00C46B20">
        <w:trPr>
          <w:trHeight w:val="315"/>
        </w:trPr>
        <w:tc>
          <w:tcPr>
            <w:tcW w:w="1700" w:type="dxa"/>
            <w:gridSpan w:val="2"/>
            <w:tcBorders>
              <w:top w:val="nil"/>
              <w:left w:val="single" w:sz="8" w:space="0" w:color="auto"/>
              <w:bottom w:val="single" w:sz="8" w:space="0" w:color="auto"/>
              <w:right w:val="nil"/>
            </w:tcBorders>
            <w:shd w:val="clear" w:color="auto" w:fill="auto"/>
            <w:noWrap/>
            <w:vAlign w:val="bottom"/>
            <w:hideMark/>
          </w:tcPr>
          <w:p w:rsidR="00245E46" w:rsidRPr="00245E46" w:rsidRDefault="00245E46" w:rsidP="00245E46">
            <w:pPr>
              <w:spacing w:after="0" w:line="240" w:lineRule="auto"/>
              <w:rPr>
                <w:rFonts w:ascii="Calibri" w:eastAsia="Times New Roman" w:hAnsi="Calibri" w:cs="Times New Roman"/>
                <w:color w:val="000000"/>
              </w:rPr>
            </w:pPr>
            <w:r w:rsidRPr="00245E46">
              <w:rPr>
                <w:rFonts w:ascii="Calibri" w:eastAsia="Times New Roman" w:hAnsi="Calibri" w:cs="Times New Roman"/>
                <w:color w:val="000000"/>
              </w:rPr>
              <w:t> </w:t>
            </w:r>
          </w:p>
        </w:tc>
        <w:tc>
          <w:tcPr>
            <w:tcW w:w="2151" w:type="dxa"/>
            <w:tcBorders>
              <w:top w:val="nil"/>
              <w:left w:val="nil"/>
              <w:bottom w:val="single" w:sz="8"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Highest Poverty</w:t>
            </w:r>
          </w:p>
        </w:tc>
        <w:tc>
          <w:tcPr>
            <w:tcW w:w="775" w:type="dxa"/>
            <w:tcBorders>
              <w:top w:val="nil"/>
              <w:left w:val="nil"/>
              <w:bottom w:val="single" w:sz="8" w:space="0" w:color="auto"/>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5.04</w:t>
            </w:r>
          </w:p>
        </w:tc>
        <w:tc>
          <w:tcPr>
            <w:tcW w:w="718" w:type="dxa"/>
            <w:tcBorders>
              <w:top w:val="nil"/>
              <w:left w:val="nil"/>
              <w:bottom w:val="single" w:sz="8" w:space="0" w:color="auto"/>
              <w:right w:val="nil"/>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6.92</w:t>
            </w:r>
          </w:p>
        </w:tc>
        <w:tc>
          <w:tcPr>
            <w:tcW w:w="1028" w:type="dxa"/>
            <w:tcBorders>
              <w:top w:val="nil"/>
              <w:left w:val="nil"/>
              <w:bottom w:val="single" w:sz="8" w:space="0" w:color="auto"/>
              <w:right w:val="single" w:sz="4"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6.96</w:t>
            </w:r>
          </w:p>
        </w:tc>
        <w:tc>
          <w:tcPr>
            <w:tcW w:w="1026" w:type="dxa"/>
            <w:tcBorders>
              <w:top w:val="nil"/>
              <w:left w:val="nil"/>
              <w:bottom w:val="single" w:sz="8" w:space="0" w:color="auto"/>
              <w:right w:val="single" w:sz="8" w:space="0" w:color="auto"/>
            </w:tcBorders>
            <w:shd w:val="clear" w:color="auto" w:fill="auto"/>
            <w:noWrap/>
            <w:hideMark/>
          </w:tcPr>
          <w:p w:rsidR="00245E46" w:rsidRPr="00245E46" w:rsidRDefault="00245E46" w:rsidP="001E73E4">
            <w:pPr>
              <w:spacing w:after="0" w:line="240" w:lineRule="auto"/>
              <w:jc w:val="center"/>
              <w:rPr>
                <w:rFonts w:ascii="Calibri" w:eastAsia="Times New Roman" w:hAnsi="Calibri" w:cs="Times New Roman"/>
                <w:color w:val="000000"/>
              </w:rPr>
            </w:pPr>
            <w:r w:rsidRPr="00245E46">
              <w:rPr>
                <w:rFonts w:ascii="Calibri" w:eastAsia="Times New Roman" w:hAnsi="Calibri" w:cs="Times New Roman"/>
                <w:color w:val="000000"/>
              </w:rPr>
              <w:t>4.86</w:t>
            </w:r>
          </w:p>
        </w:tc>
      </w:tr>
    </w:tbl>
    <w:p w:rsidR="001E73E4" w:rsidRDefault="001E73E4" w:rsidP="00664C98">
      <w:pPr>
        <w:spacing w:after="0" w:line="240" w:lineRule="auto"/>
        <w:contextualSpacing/>
        <w:rPr>
          <w:rFonts w:ascii="Calibri" w:eastAsia="Times New Roman" w:hAnsi="Calibri" w:cs="Times New Roman"/>
          <w:color w:val="000000"/>
        </w:rPr>
      </w:pPr>
      <w:r w:rsidRPr="00245E46">
        <w:rPr>
          <w:rFonts w:ascii="Calibri" w:eastAsia="Times New Roman" w:hAnsi="Calibri" w:cs="Times New Roman"/>
          <w:color w:val="000000"/>
        </w:rPr>
        <w:t xml:space="preserve">*   Database with census tract-level poverty is a subset of the high quality registries who report tract-level poverty category: Alaska, California, Colorado, Connecticut, Delaware, District of Columbia, Florida, Georgia, Hawai'i, Idaho, Illinois, Indiana, Iowa, Kentucky, Louisiana, Maryland, Detroit, New Hampshire, New Jersey, New Mexico, New York, North Carolina, Ohio, Pennsylvania, Rhode Island, South Carolina, South Dakota, Utah, Vermont, Washington, West Virginia, Wisconsin, Wyoming. </w:t>
      </w:r>
    </w:p>
    <w:p w:rsidR="001E73E4" w:rsidRDefault="001E73E4" w:rsidP="00664C98">
      <w:pPr>
        <w:spacing w:after="0" w:line="240" w:lineRule="auto"/>
        <w:contextualSpacing/>
        <w:rPr>
          <w:rFonts w:ascii="Calibri" w:eastAsia="Times New Roman" w:hAnsi="Calibri" w:cs="Times New Roman"/>
          <w:color w:val="000000"/>
        </w:rPr>
      </w:pPr>
    </w:p>
    <w:p w:rsidR="001E73E4" w:rsidRDefault="00ED7EA7" w:rsidP="00664C98">
      <w:pPr>
        <w:spacing w:after="0" w:line="240" w:lineRule="auto"/>
        <w:contextualSpacing/>
        <w:rPr>
          <w:rFonts w:ascii="Calibri" w:eastAsia="Times New Roman" w:hAnsi="Calibri" w:cs="Times New Roman"/>
          <w:color w:val="000000"/>
        </w:rPr>
      </w:pPr>
      <w:r w:rsidRPr="00664C98">
        <w:rPr>
          <w:rFonts w:ascii="Calibri" w:eastAsia="Times New Roman" w:hAnsi="Calibri" w:cs="Times New Roman"/>
          <w:color w:val="000000"/>
        </w:rPr>
        <w:t>HR = h</w:t>
      </w:r>
      <w:r>
        <w:rPr>
          <w:rFonts w:ascii="Calibri" w:eastAsia="Times New Roman" w:hAnsi="Calibri" w:cs="Times New Roman"/>
          <w:color w:val="000000"/>
        </w:rPr>
        <w:t xml:space="preserve">ormone receptor; </w:t>
      </w:r>
      <w:r w:rsidRPr="00664C98">
        <w:rPr>
          <w:rFonts w:ascii="Calibri" w:eastAsia="Times New Roman" w:hAnsi="Calibri" w:cs="Times New Roman"/>
          <w:color w:val="000000"/>
        </w:rPr>
        <w:t>HER2 = human epidermal growth factor receptor 2</w:t>
      </w:r>
      <w:r w:rsidR="001E73E4" w:rsidRPr="00245E46">
        <w:rPr>
          <w:rFonts w:ascii="Calibri" w:eastAsia="Times New Roman" w:hAnsi="Calibri" w:cs="Times New Roman"/>
          <w:color w:val="000000"/>
        </w:rPr>
        <w:t>; PI = Pacific Islander.</w:t>
      </w:r>
    </w:p>
    <w:p w:rsidR="001E73E4" w:rsidRDefault="001E73E4">
      <w:pPr>
        <w:rPr>
          <w:rFonts w:ascii="Calibri" w:eastAsia="Times New Roman" w:hAnsi="Calibri" w:cs="Times New Roman"/>
          <w:color w:val="000000"/>
        </w:rPr>
      </w:pPr>
      <w:r>
        <w:rPr>
          <w:rFonts w:ascii="Calibri" w:eastAsia="Times New Roman" w:hAnsi="Calibri" w:cs="Times New Roman"/>
          <w:color w:val="000000"/>
        </w:rPr>
        <w:br w:type="page"/>
      </w:r>
    </w:p>
    <w:p w:rsidR="00F62F25" w:rsidRDefault="00F62F25" w:rsidP="00664C98">
      <w:pPr>
        <w:spacing w:after="0" w:line="240" w:lineRule="auto"/>
        <w:contextualSpacing/>
      </w:pPr>
    </w:p>
    <w:p w:rsidR="007852F8" w:rsidRPr="00C46B20" w:rsidRDefault="001C6B45" w:rsidP="00664C98">
      <w:pPr>
        <w:spacing w:after="0" w:line="240" w:lineRule="auto"/>
        <w:contextualSpacing/>
      </w:pPr>
      <w:r>
        <w:rPr>
          <w:b/>
          <w:noProof/>
        </w:rPr>
        <w:drawing>
          <wp:inline distT="0" distB="0" distL="0" distR="0" wp14:anchorId="1E81298A" wp14:editId="5C236328">
            <wp:extent cx="5943600" cy="7101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Figure1newrevised.jpg"/>
                    <pic:cNvPicPr/>
                  </pic:nvPicPr>
                  <pic:blipFill rotWithShape="1">
                    <a:blip r:embed="rId4" cstate="print">
                      <a:extLst>
                        <a:ext uri="{28A0092B-C50C-407E-A947-70E740481C1C}">
                          <a14:useLocalDpi xmlns:a14="http://schemas.microsoft.com/office/drawing/2010/main" val="0"/>
                        </a:ext>
                      </a:extLst>
                    </a:blip>
                    <a:srcRect t="7678"/>
                    <a:stretch/>
                  </pic:blipFill>
                  <pic:spPr bwMode="auto">
                    <a:xfrm>
                      <a:off x="0" y="0"/>
                      <a:ext cx="5943600" cy="7101205"/>
                    </a:xfrm>
                    <a:prstGeom prst="rect">
                      <a:avLst/>
                    </a:prstGeom>
                    <a:ln>
                      <a:noFill/>
                    </a:ln>
                    <a:extLst>
                      <a:ext uri="{53640926-AAD7-44D8-BBD7-CCE9431645EC}">
                        <a14:shadowObscured xmlns:a14="http://schemas.microsoft.com/office/drawing/2010/main"/>
                      </a:ext>
                    </a:extLst>
                  </pic:spPr>
                </pic:pic>
              </a:graphicData>
            </a:graphic>
          </wp:inline>
        </w:drawing>
      </w:r>
      <w:r w:rsidR="001E73E4">
        <w:rPr>
          <w:b/>
        </w:rPr>
        <w:t xml:space="preserve">Supplementary Figure 1. </w:t>
      </w:r>
      <w:r w:rsidR="00AC6351">
        <w:rPr>
          <w:b/>
        </w:rPr>
        <w:t>Scatterplot of state-level breast cancer rates versus correlated state-level risk factors.</w:t>
      </w:r>
      <w:r w:rsidR="004B34E7">
        <w:rPr>
          <w:b/>
        </w:rPr>
        <w:t xml:space="preserve"> </w:t>
      </w:r>
      <w:r w:rsidR="004B34E7" w:rsidRPr="00C46B20">
        <w:t xml:space="preserve">A. Scatterplot of state-level, age-adjusted invasive HR+/HER2- breast cancer rates for non-Hispanic white women plotted against state-level, reported mammography use which shows increasing rates of HR+/HER2- </w:t>
      </w:r>
      <w:r w:rsidR="00674DC9" w:rsidRPr="00C46B20">
        <w:t xml:space="preserve">cancers </w:t>
      </w:r>
      <w:r w:rsidR="004B34E7" w:rsidRPr="00C46B20">
        <w:t xml:space="preserve">correlated with increasing mammography use (Pearson &lt;.001). B. Scatterplot of state-level, age adjusted invasive triple negative breast cancer rates plotted against the percent of </w:t>
      </w:r>
      <w:r w:rsidR="00674DC9" w:rsidRPr="00C46B20">
        <w:t>state-level black population which shows increasing rates of triple negative cancers correlated with increasing percent black population (Pearson &lt;.001).</w:t>
      </w:r>
      <w:r w:rsidR="00C46B20">
        <w:t xml:space="preserve"> All statistical tests were two-sided.</w:t>
      </w:r>
    </w:p>
    <w:sectPr w:rsidR="007852F8" w:rsidRPr="00C46B20" w:rsidSect="0024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98"/>
    <w:rsid w:val="00104925"/>
    <w:rsid w:val="001C6B45"/>
    <w:rsid w:val="001E73E4"/>
    <w:rsid w:val="00245E46"/>
    <w:rsid w:val="003013EC"/>
    <w:rsid w:val="003B3110"/>
    <w:rsid w:val="0049204C"/>
    <w:rsid w:val="004B34E7"/>
    <w:rsid w:val="005A2947"/>
    <w:rsid w:val="00664C98"/>
    <w:rsid w:val="00674DC9"/>
    <w:rsid w:val="00683010"/>
    <w:rsid w:val="007852F8"/>
    <w:rsid w:val="0079110B"/>
    <w:rsid w:val="007D2368"/>
    <w:rsid w:val="00AC6351"/>
    <w:rsid w:val="00AE4D47"/>
    <w:rsid w:val="00B20899"/>
    <w:rsid w:val="00BC7969"/>
    <w:rsid w:val="00C31F22"/>
    <w:rsid w:val="00C46B20"/>
    <w:rsid w:val="00E256CE"/>
    <w:rsid w:val="00E85F0F"/>
    <w:rsid w:val="00ED7EA7"/>
    <w:rsid w:val="00F031BB"/>
    <w:rsid w:val="00F55379"/>
    <w:rsid w:val="00F6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5EA90-E966-4BBC-9E4F-3F1EAB2F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969"/>
    <w:rPr>
      <w:color w:val="0000FF"/>
      <w:u w:val="single"/>
    </w:rPr>
  </w:style>
  <w:style w:type="character" w:styleId="FollowedHyperlink">
    <w:name w:val="FollowedHyperlink"/>
    <w:basedOn w:val="DefaultParagraphFont"/>
    <w:uiPriority w:val="99"/>
    <w:semiHidden/>
    <w:unhideWhenUsed/>
    <w:rsid w:val="00BC7969"/>
    <w:rPr>
      <w:color w:val="800080"/>
      <w:u w:val="single"/>
    </w:rPr>
  </w:style>
  <w:style w:type="paragraph" w:customStyle="1" w:styleId="font5">
    <w:name w:val="font5"/>
    <w:basedOn w:val="Normal"/>
    <w:rsid w:val="00BC7969"/>
    <w:pPr>
      <w:spacing w:before="100" w:beforeAutospacing="1" w:after="100" w:afterAutospacing="1" w:line="240" w:lineRule="auto"/>
    </w:pPr>
    <w:rPr>
      <w:rFonts w:ascii="Arial" w:eastAsia="Times New Roman" w:hAnsi="Arial" w:cs="Arial"/>
      <w:color w:val="000000"/>
      <w:sz w:val="12"/>
      <w:szCs w:val="12"/>
    </w:rPr>
  </w:style>
  <w:style w:type="paragraph" w:customStyle="1" w:styleId="font6">
    <w:name w:val="font6"/>
    <w:basedOn w:val="Normal"/>
    <w:rsid w:val="00BC7969"/>
    <w:pPr>
      <w:spacing w:before="100" w:beforeAutospacing="1" w:after="100" w:afterAutospacing="1" w:line="240" w:lineRule="auto"/>
    </w:pPr>
    <w:rPr>
      <w:rFonts w:ascii="Arial" w:eastAsia="Times New Roman" w:hAnsi="Arial" w:cs="Arial"/>
      <w:color w:val="000000"/>
      <w:sz w:val="12"/>
      <w:szCs w:val="12"/>
    </w:rPr>
  </w:style>
  <w:style w:type="paragraph" w:customStyle="1" w:styleId="xl65">
    <w:name w:val="xl65"/>
    <w:basedOn w:val="Normal"/>
    <w:rsid w:val="00BC7969"/>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Normal"/>
    <w:rsid w:val="00BC7969"/>
    <w:pPr>
      <w:spacing w:before="100" w:beforeAutospacing="1" w:after="100" w:afterAutospacing="1" w:line="240" w:lineRule="auto"/>
    </w:pPr>
    <w:rPr>
      <w:rFonts w:ascii="Arial" w:eastAsia="Times New Roman" w:hAnsi="Arial" w:cs="Arial"/>
      <w:b/>
      <w:bCs/>
      <w:sz w:val="16"/>
      <w:szCs w:val="16"/>
    </w:rPr>
  </w:style>
  <w:style w:type="paragraph" w:customStyle="1" w:styleId="xl67">
    <w:name w:val="xl67"/>
    <w:basedOn w:val="Normal"/>
    <w:rsid w:val="00BC7969"/>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BC7969"/>
    <w:pPr>
      <w:spacing w:before="100" w:beforeAutospacing="1" w:after="100" w:afterAutospacing="1" w:line="240" w:lineRule="auto"/>
      <w:jc w:val="right"/>
    </w:pPr>
    <w:rPr>
      <w:rFonts w:ascii="Arial" w:eastAsia="Times New Roman" w:hAnsi="Arial" w:cs="Arial"/>
      <w:sz w:val="16"/>
      <w:szCs w:val="16"/>
    </w:rPr>
  </w:style>
  <w:style w:type="paragraph" w:customStyle="1" w:styleId="xl69">
    <w:name w:val="xl69"/>
    <w:basedOn w:val="Normal"/>
    <w:rsid w:val="00BC7969"/>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2"/>
      <w:szCs w:val="12"/>
    </w:rPr>
  </w:style>
  <w:style w:type="paragraph" w:customStyle="1" w:styleId="xl70">
    <w:name w:val="xl70"/>
    <w:basedOn w:val="Normal"/>
    <w:rsid w:val="00BC7969"/>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12"/>
      <w:szCs w:val="12"/>
    </w:rPr>
  </w:style>
  <w:style w:type="paragraph" w:customStyle="1" w:styleId="xl71">
    <w:name w:val="xl71"/>
    <w:basedOn w:val="Normal"/>
    <w:rsid w:val="00BC7969"/>
    <w:pPr>
      <w:pBdr>
        <w:top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2"/>
      <w:szCs w:val="12"/>
    </w:rPr>
  </w:style>
  <w:style w:type="paragraph" w:customStyle="1" w:styleId="xl72">
    <w:name w:val="xl72"/>
    <w:basedOn w:val="Normal"/>
    <w:rsid w:val="00BC796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73">
    <w:name w:val="xl73"/>
    <w:basedOn w:val="Normal"/>
    <w:rsid w:val="00BC796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rPr>
  </w:style>
  <w:style w:type="paragraph" w:customStyle="1" w:styleId="xl74">
    <w:name w:val="xl74"/>
    <w:basedOn w:val="Normal"/>
    <w:rsid w:val="00BC796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75">
    <w:name w:val="xl75"/>
    <w:basedOn w:val="Normal"/>
    <w:rsid w:val="00BC7969"/>
    <w:pPr>
      <w:pBdr>
        <w:top w:val="single" w:sz="4"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76">
    <w:name w:val="xl76"/>
    <w:basedOn w:val="Normal"/>
    <w:rsid w:val="00BC7969"/>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77">
    <w:name w:val="xl77"/>
    <w:basedOn w:val="Normal"/>
    <w:rsid w:val="00BC7969"/>
    <w:pPr>
      <w:pBdr>
        <w:left w:val="single" w:sz="8"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78">
    <w:name w:val="xl78"/>
    <w:basedOn w:val="Normal"/>
    <w:rsid w:val="00BC7969"/>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79">
    <w:name w:val="xl79"/>
    <w:basedOn w:val="Normal"/>
    <w:rsid w:val="00BC7969"/>
    <w:pPr>
      <w:pBdr>
        <w:bottom w:val="double" w:sz="6"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80">
    <w:name w:val="xl80"/>
    <w:basedOn w:val="Normal"/>
    <w:rsid w:val="00BC7969"/>
    <w:pPr>
      <w:pBdr>
        <w:bottom w:val="double" w:sz="6" w:space="0" w:color="auto"/>
        <w:right w:val="single" w:sz="8"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81">
    <w:name w:val="xl81"/>
    <w:basedOn w:val="Normal"/>
    <w:rsid w:val="00BC796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82">
    <w:name w:val="xl82"/>
    <w:basedOn w:val="Normal"/>
    <w:rsid w:val="00BC7969"/>
    <w:pPr>
      <w:spacing w:before="100" w:beforeAutospacing="1" w:after="100" w:afterAutospacing="1" w:line="240" w:lineRule="auto"/>
      <w:jc w:val="center"/>
    </w:pPr>
    <w:rPr>
      <w:rFonts w:ascii="Arial" w:eastAsia="Times New Roman" w:hAnsi="Arial" w:cs="Arial"/>
      <w:b/>
      <w:bCs/>
      <w:sz w:val="12"/>
      <w:szCs w:val="12"/>
    </w:rPr>
  </w:style>
  <w:style w:type="paragraph" w:customStyle="1" w:styleId="xl83">
    <w:name w:val="xl83"/>
    <w:basedOn w:val="Normal"/>
    <w:rsid w:val="00BC7969"/>
    <w:pPr>
      <w:pBdr>
        <w:right w:val="single" w:sz="8" w:space="0" w:color="auto"/>
      </w:pBdr>
      <w:spacing w:before="100" w:beforeAutospacing="1" w:after="100" w:afterAutospacing="1" w:line="240" w:lineRule="auto"/>
      <w:jc w:val="center"/>
    </w:pPr>
    <w:rPr>
      <w:rFonts w:ascii="Arial" w:eastAsia="Times New Roman" w:hAnsi="Arial" w:cs="Arial"/>
      <w:b/>
      <w:bCs/>
      <w:sz w:val="12"/>
      <w:szCs w:val="12"/>
    </w:rPr>
  </w:style>
  <w:style w:type="paragraph" w:customStyle="1" w:styleId="xl84">
    <w:name w:val="xl84"/>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12"/>
      <w:szCs w:val="12"/>
    </w:rPr>
  </w:style>
  <w:style w:type="paragraph" w:customStyle="1" w:styleId="xl85">
    <w:name w:val="xl85"/>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sz w:val="12"/>
      <w:szCs w:val="12"/>
    </w:rPr>
  </w:style>
  <w:style w:type="paragraph" w:customStyle="1" w:styleId="xl86">
    <w:name w:val="xl86"/>
    <w:basedOn w:val="Normal"/>
    <w:rsid w:val="00BC7969"/>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rPr>
  </w:style>
  <w:style w:type="paragraph" w:customStyle="1" w:styleId="xl87">
    <w:name w:val="xl87"/>
    <w:basedOn w:val="Normal"/>
    <w:rsid w:val="00BC7969"/>
    <w:pPr>
      <w:spacing w:before="100" w:beforeAutospacing="1" w:after="100" w:afterAutospacing="1" w:line="240" w:lineRule="auto"/>
      <w:jc w:val="center"/>
    </w:pPr>
    <w:rPr>
      <w:rFonts w:ascii="Arial" w:eastAsia="Times New Roman" w:hAnsi="Arial" w:cs="Arial"/>
      <w:sz w:val="12"/>
      <w:szCs w:val="12"/>
    </w:rPr>
  </w:style>
  <w:style w:type="paragraph" w:customStyle="1" w:styleId="xl88">
    <w:name w:val="xl88"/>
    <w:basedOn w:val="Normal"/>
    <w:rsid w:val="00BC7969"/>
    <w:pPr>
      <w:pBdr>
        <w:right w:val="single" w:sz="8"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89">
    <w:name w:val="xl89"/>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i/>
      <w:iCs/>
      <w:sz w:val="12"/>
      <w:szCs w:val="12"/>
    </w:rPr>
  </w:style>
  <w:style w:type="paragraph" w:customStyle="1" w:styleId="xl90">
    <w:name w:val="xl90"/>
    <w:basedOn w:val="Normal"/>
    <w:rsid w:val="00BC796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2"/>
      <w:szCs w:val="12"/>
    </w:rPr>
  </w:style>
  <w:style w:type="paragraph" w:customStyle="1" w:styleId="xl91">
    <w:name w:val="xl91"/>
    <w:basedOn w:val="Normal"/>
    <w:rsid w:val="00BC7969"/>
    <w:pPr>
      <w:spacing w:before="100" w:beforeAutospacing="1" w:after="100" w:afterAutospacing="1" w:line="240" w:lineRule="auto"/>
    </w:pPr>
    <w:rPr>
      <w:rFonts w:ascii="Arial" w:eastAsia="Times New Roman" w:hAnsi="Arial" w:cs="Arial"/>
      <w:sz w:val="12"/>
      <w:szCs w:val="12"/>
    </w:rPr>
  </w:style>
  <w:style w:type="paragraph" w:customStyle="1" w:styleId="xl92">
    <w:name w:val="xl92"/>
    <w:basedOn w:val="Normal"/>
    <w:rsid w:val="00BC7969"/>
    <w:pPr>
      <w:pBdr>
        <w:righ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93">
    <w:name w:val="xl93"/>
    <w:basedOn w:val="Normal"/>
    <w:rsid w:val="00BC7969"/>
    <w:pPr>
      <w:pBdr>
        <w:righ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94">
    <w:name w:val="xl94"/>
    <w:basedOn w:val="Normal"/>
    <w:rsid w:val="00BC7969"/>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2"/>
      <w:szCs w:val="12"/>
    </w:rPr>
  </w:style>
  <w:style w:type="paragraph" w:customStyle="1" w:styleId="xl95">
    <w:name w:val="xl95"/>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sz w:val="12"/>
      <w:szCs w:val="12"/>
    </w:rPr>
  </w:style>
  <w:style w:type="paragraph" w:customStyle="1" w:styleId="xl96">
    <w:name w:val="xl96"/>
    <w:basedOn w:val="Normal"/>
    <w:rsid w:val="00BC7969"/>
    <w:pPr>
      <w:spacing w:before="100" w:beforeAutospacing="1" w:after="100" w:afterAutospacing="1" w:line="240" w:lineRule="auto"/>
    </w:pPr>
    <w:rPr>
      <w:rFonts w:ascii="Arial" w:eastAsia="Times New Roman" w:hAnsi="Arial" w:cs="Arial"/>
      <w:sz w:val="12"/>
      <w:szCs w:val="12"/>
    </w:rPr>
  </w:style>
  <w:style w:type="paragraph" w:customStyle="1" w:styleId="xl97">
    <w:name w:val="xl97"/>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sz w:val="12"/>
      <w:szCs w:val="12"/>
    </w:rPr>
  </w:style>
  <w:style w:type="paragraph" w:customStyle="1" w:styleId="xl98">
    <w:name w:val="xl98"/>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12"/>
      <w:szCs w:val="12"/>
    </w:rPr>
  </w:style>
  <w:style w:type="paragraph" w:customStyle="1" w:styleId="xl99">
    <w:name w:val="xl99"/>
    <w:basedOn w:val="Normal"/>
    <w:rsid w:val="00BC7969"/>
    <w:pPr>
      <w:pBdr>
        <w:left w:val="single" w:sz="4" w:space="0" w:color="auto"/>
        <w:right w:val="single" w:sz="4" w:space="0" w:color="auto"/>
      </w:pBdr>
      <w:spacing w:before="100" w:beforeAutospacing="1" w:after="100" w:afterAutospacing="1" w:line="240" w:lineRule="auto"/>
    </w:pPr>
    <w:rPr>
      <w:rFonts w:ascii="Arial" w:eastAsia="Times New Roman" w:hAnsi="Arial" w:cs="Arial"/>
      <w:sz w:val="12"/>
      <w:szCs w:val="12"/>
    </w:rPr>
  </w:style>
  <w:style w:type="paragraph" w:customStyle="1" w:styleId="xl100">
    <w:name w:val="xl100"/>
    <w:basedOn w:val="Normal"/>
    <w:rsid w:val="00BC7969"/>
    <w:pPr>
      <w:spacing w:before="100" w:beforeAutospacing="1" w:after="100" w:afterAutospacing="1" w:line="240" w:lineRule="auto"/>
      <w:jc w:val="right"/>
    </w:pPr>
    <w:rPr>
      <w:rFonts w:ascii="Arial" w:eastAsia="Times New Roman" w:hAnsi="Arial" w:cs="Arial"/>
      <w:sz w:val="12"/>
      <w:szCs w:val="12"/>
    </w:rPr>
  </w:style>
  <w:style w:type="paragraph" w:customStyle="1" w:styleId="xl101">
    <w:name w:val="xl101"/>
    <w:basedOn w:val="Normal"/>
    <w:rsid w:val="00BC7969"/>
    <w:pPr>
      <w:pBdr>
        <w:left w:val="single" w:sz="4" w:space="0" w:color="auto"/>
        <w:right w:val="single" w:sz="4" w:space="0" w:color="auto"/>
      </w:pBdr>
      <w:spacing w:before="100" w:beforeAutospacing="1" w:after="100" w:afterAutospacing="1" w:line="240" w:lineRule="auto"/>
    </w:pPr>
    <w:rPr>
      <w:rFonts w:ascii="Arial" w:eastAsia="Times New Roman" w:hAnsi="Arial" w:cs="Arial"/>
      <w:i/>
      <w:iCs/>
      <w:sz w:val="12"/>
      <w:szCs w:val="12"/>
    </w:rPr>
  </w:style>
  <w:style w:type="paragraph" w:customStyle="1" w:styleId="xl102">
    <w:name w:val="xl102"/>
    <w:basedOn w:val="Normal"/>
    <w:rsid w:val="00BC7969"/>
    <w:pPr>
      <w:pBdr>
        <w:left w:val="single" w:sz="8" w:space="0" w:color="auto"/>
        <w:right w:val="single" w:sz="4" w:space="0" w:color="auto"/>
      </w:pBdr>
      <w:spacing w:before="100" w:beforeAutospacing="1" w:after="100" w:afterAutospacing="1" w:line="240" w:lineRule="auto"/>
      <w:jc w:val="right"/>
    </w:pPr>
    <w:rPr>
      <w:rFonts w:ascii="Arial" w:eastAsia="Times New Roman" w:hAnsi="Arial" w:cs="Arial"/>
      <w:sz w:val="12"/>
      <w:szCs w:val="12"/>
    </w:rPr>
  </w:style>
  <w:style w:type="paragraph" w:customStyle="1" w:styleId="xl103">
    <w:name w:val="xl103"/>
    <w:basedOn w:val="Normal"/>
    <w:rsid w:val="00BC7969"/>
    <w:pPr>
      <w:pBdr>
        <w:left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2"/>
      <w:szCs w:val="12"/>
    </w:rPr>
  </w:style>
  <w:style w:type="paragraph" w:customStyle="1" w:styleId="xl104">
    <w:name w:val="xl104"/>
    <w:basedOn w:val="Normal"/>
    <w:rsid w:val="00BC7969"/>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2"/>
      <w:szCs w:val="12"/>
    </w:rPr>
  </w:style>
  <w:style w:type="paragraph" w:customStyle="1" w:styleId="xl105">
    <w:name w:val="xl105"/>
    <w:basedOn w:val="Normal"/>
    <w:rsid w:val="00BC7969"/>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2"/>
      <w:szCs w:val="12"/>
    </w:rPr>
  </w:style>
  <w:style w:type="paragraph" w:customStyle="1" w:styleId="xl106">
    <w:name w:val="xl106"/>
    <w:basedOn w:val="Normal"/>
    <w:rsid w:val="00BC7969"/>
    <w:pPr>
      <w:pBdr>
        <w:bottom w:val="single" w:sz="8"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107">
    <w:name w:val="xl107"/>
    <w:basedOn w:val="Normal"/>
    <w:rsid w:val="00BC796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108">
    <w:name w:val="xl108"/>
    <w:basedOn w:val="Normal"/>
    <w:rsid w:val="00BC7969"/>
    <w:pPr>
      <w:pBdr>
        <w:top w:val="single" w:sz="8" w:space="0" w:color="auto"/>
        <w:lef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09">
    <w:name w:val="xl109"/>
    <w:basedOn w:val="Normal"/>
    <w:rsid w:val="00BC7969"/>
    <w:pPr>
      <w:pBdr>
        <w:top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0">
    <w:name w:val="xl110"/>
    <w:basedOn w:val="Normal"/>
    <w:rsid w:val="00BC7969"/>
    <w:pPr>
      <w:pBdr>
        <w:top w:val="single" w:sz="8" w:space="0" w:color="auto"/>
        <w:righ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1">
    <w:name w:val="xl111"/>
    <w:basedOn w:val="Normal"/>
    <w:rsid w:val="00BC7969"/>
    <w:pPr>
      <w:pBdr>
        <w:lef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2">
    <w:name w:val="xl112"/>
    <w:basedOn w:val="Normal"/>
    <w:rsid w:val="00BC7969"/>
    <w:pPr>
      <w:spacing w:before="100" w:beforeAutospacing="1" w:after="100" w:afterAutospacing="1" w:line="240" w:lineRule="auto"/>
    </w:pPr>
    <w:rPr>
      <w:rFonts w:ascii="Arial" w:eastAsia="Times New Roman" w:hAnsi="Arial" w:cs="Arial"/>
      <w:sz w:val="12"/>
      <w:szCs w:val="12"/>
    </w:rPr>
  </w:style>
  <w:style w:type="paragraph" w:customStyle="1" w:styleId="xl113">
    <w:name w:val="xl113"/>
    <w:basedOn w:val="Normal"/>
    <w:rsid w:val="00BC7969"/>
    <w:pPr>
      <w:pBdr>
        <w:righ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4">
    <w:name w:val="xl114"/>
    <w:basedOn w:val="Normal"/>
    <w:rsid w:val="00BC796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5">
    <w:name w:val="xl115"/>
    <w:basedOn w:val="Normal"/>
    <w:rsid w:val="00BC7969"/>
    <w:pPr>
      <w:pBdr>
        <w:bottom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6">
    <w:name w:val="xl116"/>
    <w:basedOn w:val="Normal"/>
    <w:rsid w:val="00BC7969"/>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17">
    <w:name w:val="xl117"/>
    <w:basedOn w:val="Normal"/>
    <w:rsid w:val="00BC7969"/>
    <w:pPr>
      <w:pBdr>
        <w:left w:val="single" w:sz="4" w:space="0" w:color="auto"/>
      </w:pBdr>
      <w:spacing w:before="100" w:beforeAutospacing="1" w:after="100" w:afterAutospacing="1" w:line="240" w:lineRule="auto"/>
    </w:pPr>
    <w:rPr>
      <w:rFonts w:ascii="Arial" w:eastAsia="Times New Roman" w:hAnsi="Arial" w:cs="Arial"/>
      <w:sz w:val="12"/>
      <w:szCs w:val="12"/>
    </w:rPr>
  </w:style>
  <w:style w:type="paragraph" w:customStyle="1" w:styleId="xl118">
    <w:name w:val="xl118"/>
    <w:basedOn w:val="Normal"/>
    <w:rsid w:val="00BC7969"/>
    <w:pPr>
      <w:pBdr>
        <w:left w:val="single" w:sz="4" w:space="0" w:color="auto"/>
      </w:pBdr>
      <w:spacing w:before="100" w:beforeAutospacing="1" w:after="100" w:afterAutospacing="1" w:line="240" w:lineRule="auto"/>
    </w:pPr>
    <w:rPr>
      <w:rFonts w:ascii="Arial" w:eastAsia="Times New Roman" w:hAnsi="Arial" w:cs="Arial"/>
      <w:i/>
      <w:iCs/>
      <w:sz w:val="12"/>
      <w:szCs w:val="12"/>
    </w:rPr>
  </w:style>
  <w:style w:type="paragraph" w:customStyle="1" w:styleId="xl119">
    <w:name w:val="xl119"/>
    <w:basedOn w:val="Normal"/>
    <w:rsid w:val="00BC7969"/>
    <w:pPr>
      <w:pBdr>
        <w:left w:val="single" w:sz="4" w:space="0" w:color="auto"/>
        <w:right w:val="single" w:sz="8" w:space="0" w:color="auto"/>
      </w:pBdr>
      <w:spacing w:before="100" w:beforeAutospacing="1" w:after="100" w:afterAutospacing="1" w:line="240" w:lineRule="auto"/>
    </w:pPr>
    <w:rPr>
      <w:rFonts w:ascii="Arial" w:eastAsia="Times New Roman" w:hAnsi="Arial" w:cs="Arial"/>
      <w:sz w:val="12"/>
      <w:szCs w:val="12"/>
    </w:rPr>
  </w:style>
  <w:style w:type="paragraph" w:customStyle="1" w:styleId="xl120">
    <w:name w:val="xl120"/>
    <w:basedOn w:val="Normal"/>
    <w:rsid w:val="00BC7969"/>
    <w:pPr>
      <w:pBdr>
        <w:right w:val="single" w:sz="8" w:space="0" w:color="auto"/>
      </w:pBdr>
      <w:spacing w:before="100" w:beforeAutospacing="1" w:after="100" w:afterAutospacing="1" w:line="240" w:lineRule="auto"/>
    </w:pPr>
    <w:rPr>
      <w:rFonts w:ascii="Arial" w:eastAsia="Times New Roman" w:hAnsi="Arial" w:cs="Arial"/>
      <w:i/>
      <w:iCs/>
      <w:sz w:val="12"/>
      <w:szCs w:val="12"/>
    </w:rPr>
  </w:style>
  <w:style w:type="paragraph" w:customStyle="1" w:styleId="xl121">
    <w:name w:val="xl121"/>
    <w:basedOn w:val="Normal"/>
    <w:rsid w:val="00BC7969"/>
    <w:pPr>
      <w:spacing w:before="100" w:beforeAutospacing="1" w:after="100" w:afterAutospacing="1" w:line="240" w:lineRule="auto"/>
    </w:pPr>
    <w:rPr>
      <w:rFonts w:ascii="Arial" w:eastAsia="Times New Roman" w:hAnsi="Arial" w:cs="Arial"/>
      <w:i/>
      <w:iCs/>
      <w:sz w:val="12"/>
      <w:szCs w:val="12"/>
    </w:rPr>
  </w:style>
  <w:style w:type="paragraph" w:styleId="BalloonText">
    <w:name w:val="Balloon Text"/>
    <w:basedOn w:val="Normal"/>
    <w:link w:val="BalloonTextChar"/>
    <w:uiPriority w:val="99"/>
    <w:semiHidden/>
    <w:unhideWhenUsed/>
    <w:rsid w:val="001E7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1019">
      <w:bodyDiv w:val="1"/>
      <w:marLeft w:val="0"/>
      <w:marRight w:val="0"/>
      <w:marTop w:val="0"/>
      <w:marBottom w:val="0"/>
      <w:divBdr>
        <w:top w:val="none" w:sz="0" w:space="0" w:color="auto"/>
        <w:left w:val="none" w:sz="0" w:space="0" w:color="auto"/>
        <w:bottom w:val="none" w:sz="0" w:space="0" w:color="auto"/>
        <w:right w:val="none" w:sz="0" w:space="0" w:color="auto"/>
      </w:divBdr>
    </w:div>
    <w:div w:id="732042255">
      <w:bodyDiv w:val="1"/>
      <w:marLeft w:val="0"/>
      <w:marRight w:val="0"/>
      <w:marTop w:val="0"/>
      <w:marBottom w:val="0"/>
      <w:divBdr>
        <w:top w:val="none" w:sz="0" w:space="0" w:color="auto"/>
        <w:left w:val="none" w:sz="0" w:space="0" w:color="auto"/>
        <w:bottom w:val="none" w:sz="0" w:space="0" w:color="auto"/>
        <w:right w:val="none" w:sz="0" w:space="0" w:color="auto"/>
      </w:divBdr>
    </w:div>
    <w:div w:id="809445641">
      <w:bodyDiv w:val="1"/>
      <w:marLeft w:val="0"/>
      <w:marRight w:val="0"/>
      <w:marTop w:val="0"/>
      <w:marBottom w:val="0"/>
      <w:divBdr>
        <w:top w:val="none" w:sz="0" w:space="0" w:color="auto"/>
        <w:left w:val="none" w:sz="0" w:space="0" w:color="auto"/>
        <w:bottom w:val="none" w:sz="0" w:space="0" w:color="auto"/>
        <w:right w:val="none" w:sz="0" w:space="0" w:color="auto"/>
      </w:divBdr>
    </w:div>
    <w:div w:id="1158574588">
      <w:bodyDiv w:val="1"/>
      <w:marLeft w:val="0"/>
      <w:marRight w:val="0"/>
      <w:marTop w:val="0"/>
      <w:marBottom w:val="0"/>
      <w:divBdr>
        <w:top w:val="none" w:sz="0" w:space="0" w:color="auto"/>
        <w:left w:val="none" w:sz="0" w:space="0" w:color="auto"/>
        <w:bottom w:val="none" w:sz="0" w:space="0" w:color="auto"/>
        <w:right w:val="none" w:sz="0" w:space="0" w:color="auto"/>
      </w:divBdr>
    </w:div>
    <w:div w:id="12796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Recinda Sherman</dc:creator>
  <cp:lastModifiedBy>Ryerson, A. Blythe (CDC/ONDIEH/NCCDPHP)</cp:lastModifiedBy>
  <cp:revision>2</cp:revision>
  <dcterms:created xsi:type="dcterms:W3CDTF">2015-09-23T18:27:00Z</dcterms:created>
  <dcterms:modified xsi:type="dcterms:W3CDTF">2015-09-23T18:27:00Z</dcterms:modified>
</cp:coreProperties>
</file>