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F2456" w14:textId="77777777" w:rsidR="0098513F" w:rsidRPr="00DA381D" w:rsidRDefault="0098513F" w:rsidP="0098513F">
      <w:pPr>
        <w:spacing w:line="480" w:lineRule="auto"/>
        <w:rPr>
          <w:rFonts w:ascii="Arial" w:hAnsi="Arial" w:cs="Arial"/>
          <w:b/>
        </w:rPr>
      </w:pPr>
      <w:proofErr w:type="gramStart"/>
      <w:r w:rsidRPr="00DA381D">
        <w:rPr>
          <w:rFonts w:ascii="Arial" w:hAnsi="Arial" w:cs="Arial"/>
          <w:b/>
        </w:rPr>
        <w:t>Web Appendix 2.</w:t>
      </w:r>
      <w:proofErr w:type="gramEnd"/>
      <w:r w:rsidRPr="00DA381D">
        <w:rPr>
          <w:rFonts w:ascii="Arial" w:hAnsi="Arial" w:cs="Arial"/>
          <w:b/>
        </w:rPr>
        <w:t xml:space="preserve"> </w:t>
      </w:r>
      <w:proofErr w:type="gramStart"/>
      <w:r w:rsidRPr="00DA381D">
        <w:rPr>
          <w:rFonts w:ascii="Arial" w:hAnsi="Arial" w:cs="Arial"/>
        </w:rPr>
        <w:t>Descriptions of sensitivity analyses</w:t>
      </w:r>
      <w:r>
        <w:rPr>
          <w:rFonts w:ascii="Arial" w:hAnsi="Arial" w:cs="Arial"/>
        </w:rPr>
        <w:t>.</w:t>
      </w:r>
      <w:proofErr w:type="gramEnd"/>
    </w:p>
    <w:p w14:paraId="1F61F74C" w14:textId="6FF241C0" w:rsidR="0098513F" w:rsidRPr="00DA381D" w:rsidRDefault="0098513F" w:rsidP="0098513F">
      <w:pPr>
        <w:spacing w:line="480" w:lineRule="auto"/>
        <w:rPr>
          <w:rFonts w:ascii="Arial" w:hAnsi="Arial" w:cs="Arial"/>
        </w:rPr>
      </w:pPr>
      <w:r w:rsidRPr="00DA381D">
        <w:rPr>
          <w:rFonts w:ascii="Arial" w:hAnsi="Arial" w:cs="Arial"/>
        </w:rPr>
        <w:t xml:space="preserve">We conducted </w:t>
      </w:r>
      <w:r w:rsidR="00EB4B47">
        <w:rPr>
          <w:rFonts w:ascii="Arial" w:hAnsi="Arial" w:cs="Arial"/>
        </w:rPr>
        <w:t>eight</w:t>
      </w:r>
      <w:r w:rsidR="00EB4B47" w:rsidRPr="00DA381D">
        <w:rPr>
          <w:rFonts w:ascii="Arial" w:hAnsi="Arial" w:cs="Arial"/>
        </w:rPr>
        <w:t xml:space="preserve"> </w:t>
      </w:r>
      <w:r w:rsidRPr="00DA381D">
        <w:rPr>
          <w:rFonts w:ascii="Arial" w:hAnsi="Arial" w:cs="Arial"/>
        </w:rPr>
        <w:t xml:space="preserve">sensitivity analyses in which we varied the outcome definition to require: </w:t>
      </w:r>
    </w:p>
    <w:p w14:paraId="0C58E259" w14:textId="3BD146A1" w:rsidR="0098513F" w:rsidRPr="0007757B" w:rsidRDefault="00EB4B47" w:rsidP="00EB4B47">
      <w:pPr>
        <w:spacing w:line="480" w:lineRule="auto"/>
        <w:ind w:left="720"/>
        <w:rPr>
          <w:rFonts w:ascii="Arial" w:hAnsi="Arial" w:cs="Arial"/>
        </w:rPr>
      </w:pPr>
      <w:r w:rsidRPr="00EB4B47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proofErr w:type="gramStart"/>
      <w:r w:rsidR="0098513F" w:rsidRPr="0007757B">
        <w:rPr>
          <w:rFonts w:ascii="Arial" w:hAnsi="Arial" w:cs="Arial"/>
        </w:rPr>
        <w:t>two</w:t>
      </w:r>
      <w:proofErr w:type="gramEnd"/>
      <w:r w:rsidR="0098513F" w:rsidRPr="0007757B">
        <w:rPr>
          <w:rFonts w:ascii="Arial" w:hAnsi="Arial" w:cs="Arial"/>
        </w:rPr>
        <w:t xml:space="preserve"> pelvic-pain diagnoses (no prescription requirement), </w:t>
      </w:r>
    </w:p>
    <w:p w14:paraId="48F02B9A" w14:textId="77777777" w:rsidR="00EB4B47" w:rsidRDefault="00EB4B47" w:rsidP="00EB4B47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proofErr w:type="gramStart"/>
      <w:r>
        <w:rPr>
          <w:rFonts w:ascii="Arial" w:hAnsi="Arial" w:cs="Arial"/>
        </w:rPr>
        <w:t>two</w:t>
      </w:r>
      <w:proofErr w:type="gramEnd"/>
      <w:r>
        <w:rPr>
          <w:rFonts w:ascii="Arial" w:hAnsi="Arial" w:cs="Arial"/>
        </w:rPr>
        <w:t xml:space="preserve"> opioid prescription fills (no diagnosis requirement),</w:t>
      </w:r>
    </w:p>
    <w:p w14:paraId="40C5806C" w14:textId="77777777" w:rsidR="00EB4B47" w:rsidRPr="00EB4B47" w:rsidRDefault="00EB4B47" w:rsidP="00EB4B47">
      <w:pPr>
        <w:spacing w:line="480" w:lineRule="auto"/>
        <w:ind w:left="720"/>
      </w:pPr>
      <w:r>
        <w:rPr>
          <w:rFonts w:ascii="Arial" w:hAnsi="Arial" w:cs="Arial"/>
        </w:rPr>
        <w:t xml:space="preserve">3) </w:t>
      </w:r>
      <w:proofErr w:type="gramStart"/>
      <w:r>
        <w:rPr>
          <w:rFonts w:ascii="Arial" w:hAnsi="Arial" w:cs="Arial"/>
        </w:rPr>
        <w:t>two</w:t>
      </w:r>
      <w:proofErr w:type="gramEnd"/>
      <w:r>
        <w:rPr>
          <w:rFonts w:ascii="Arial" w:hAnsi="Arial" w:cs="Arial"/>
        </w:rPr>
        <w:t xml:space="preserve"> instances of a pelvic pain diagnosis occurring within a week before an opioid prescription fill, </w:t>
      </w:r>
    </w:p>
    <w:p w14:paraId="73DC8207" w14:textId="668F6D45" w:rsidR="0098513F" w:rsidRPr="00DA381D" w:rsidRDefault="00EB4B47" w:rsidP="00EB4B47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8513F" w:rsidRPr="00DA381D">
        <w:rPr>
          <w:rFonts w:ascii="Arial" w:hAnsi="Arial" w:cs="Arial"/>
        </w:rPr>
        <w:t xml:space="preserve">) </w:t>
      </w:r>
      <w:proofErr w:type="gramStart"/>
      <w:r w:rsidR="0098513F" w:rsidRPr="00DA381D">
        <w:rPr>
          <w:rFonts w:ascii="Arial" w:hAnsi="Arial" w:cs="Arial"/>
        </w:rPr>
        <w:t>two</w:t>
      </w:r>
      <w:proofErr w:type="gramEnd"/>
      <w:r w:rsidR="0098513F" w:rsidRPr="00DA381D">
        <w:rPr>
          <w:rFonts w:ascii="Arial" w:hAnsi="Arial" w:cs="Arial"/>
        </w:rPr>
        <w:t xml:space="preserve"> pelvic pain diagnoses and a cumulative 30 days supply of opioids, </w:t>
      </w:r>
    </w:p>
    <w:p w14:paraId="6D753BBA" w14:textId="275FE7A7" w:rsidR="0098513F" w:rsidRPr="00DA381D" w:rsidRDefault="00EB4B47" w:rsidP="0098513F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8513F" w:rsidRPr="00DA381D">
        <w:rPr>
          <w:rFonts w:ascii="Arial" w:hAnsi="Arial" w:cs="Arial"/>
        </w:rPr>
        <w:t xml:space="preserve">) </w:t>
      </w:r>
      <w:proofErr w:type="gramStart"/>
      <w:r w:rsidR="0098513F" w:rsidRPr="00DA381D">
        <w:rPr>
          <w:rFonts w:ascii="Arial" w:hAnsi="Arial" w:cs="Arial"/>
        </w:rPr>
        <w:t>one</w:t>
      </w:r>
      <w:proofErr w:type="gramEnd"/>
      <w:r w:rsidR="0098513F" w:rsidRPr="00DA381D">
        <w:rPr>
          <w:rFonts w:ascii="Arial" w:hAnsi="Arial" w:cs="Arial"/>
        </w:rPr>
        <w:t xml:space="preserve"> pelvic-pain diagnosis and a cumulative 30 days supply of opioids, </w:t>
      </w:r>
    </w:p>
    <w:p w14:paraId="45815212" w14:textId="2546C79D" w:rsidR="0098513F" w:rsidRPr="00DA381D" w:rsidRDefault="00EB4B47" w:rsidP="0098513F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8513F" w:rsidRPr="00DA381D">
        <w:rPr>
          <w:rFonts w:ascii="Arial" w:hAnsi="Arial" w:cs="Arial"/>
        </w:rPr>
        <w:t xml:space="preserve">) </w:t>
      </w:r>
      <w:proofErr w:type="gramStart"/>
      <w:r w:rsidR="0098513F" w:rsidRPr="00DA381D">
        <w:rPr>
          <w:rFonts w:ascii="Arial" w:hAnsi="Arial" w:cs="Arial"/>
        </w:rPr>
        <w:t>one</w:t>
      </w:r>
      <w:proofErr w:type="gramEnd"/>
      <w:r w:rsidR="0098513F" w:rsidRPr="00DA381D">
        <w:rPr>
          <w:rFonts w:ascii="Arial" w:hAnsi="Arial" w:cs="Arial"/>
        </w:rPr>
        <w:t xml:space="preserve"> inpatient or ED pelvic-pain diagnosis, </w:t>
      </w:r>
    </w:p>
    <w:p w14:paraId="0D364DFD" w14:textId="276492A0" w:rsidR="0098513F" w:rsidRPr="00DA381D" w:rsidRDefault="00EB4B47" w:rsidP="0098513F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8513F" w:rsidRPr="00DA381D">
        <w:rPr>
          <w:rFonts w:ascii="Arial" w:hAnsi="Arial" w:cs="Arial"/>
        </w:rPr>
        <w:t xml:space="preserve">) </w:t>
      </w:r>
      <w:proofErr w:type="gramStart"/>
      <w:r w:rsidR="0098513F" w:rsidRPr="00DA381D">
        <w:rPr>
          <w:rFonts w:ascii="Arial" w:hAnsi="Arial" w:cs="Arial"/>
        </w:rPr>
        <w:t>one</w:t>
      </w:r>
      <w:proofErr w:type="gramEnd"/>
      <w:r w:rsidR="0098513F" w:rsidRPr="00DA381D">
        <w:rPr>
          <w:rFonts w:ascii="Arial" w:hAnsi="Arial" w:cs="Arial"/>
        </w:rPr>
        <w:t xml:space="preserve"> inpatient or ED pelvic-pain diagnosis and two opioid prescription fills, and</w:t>
      </w:r>
    </w:p>
    <w:p w14:paraId="775AA764" w14:textId="08327A99" w:rsidR="0098513F" w:rsidRPr="00DA381D" w:rsidRDefault="00EB4B47" w:rsidP="0098513F">
      <w:pPr>
        <w:spacing w:line="48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8513F" w:rsidRPr="00DA381D">
        <w:rPr>
          <w:rFonts w:ascii="Arial" w:hAnsi="Arial" w:cs="Arial"/>
        </w:rPr>
        <w:t xml:space="preserve">) </w:t>
      </w:r>
      <w:proofErr w:type="gramStart"/>
      <w:r w:rsidR="0098513F" w:rsidRPr="00DA381D">
        <w:rPr>
          <w:rFonts w:ascii="Arial" w:hAnsi="Arial" w:cs="Arial"/>
        </w:rPr>
        <w:t>diagnosis</w:t>
      </w:r>
      <w:proofErr w:type="gramEnd"/>
      <w:r w:rsidR="0098513F" w:rsidRPr="00DA381D">
        <w:rPr>
          <w:rFonts w:ascii="Arial" w:hAnsi="Arial" w:cs="Arial"/>
        </w:rPr>
        <w:t xml:space="preserve"> codes for abdominal pain or dysmenorrhea only (ICD-9: 625.3 and 789.0x)</w:t>
      </w:r>
      <w:r>
        <w:rPr>
          <w:rFonts w:ascii="Arial" w:hAnsi="Arial" w:cs="Arial"/>
        </w:rPr>
        <w:t>,</w:t>
      </w:r>
    </w:p>
    <w:p w14:paraId="6BD4A847" w14:textId="139602A5" w:rsidR="0098513F" w:rsidRPr="00DA381D" w:rsidRDefault="0098513F" w:rsidP="0098513F">
      <w:pPr>
        <w:spacing w:line="480" w:lineRule="auto"/>
        <w:rPr>
          <w:rFonts w:ascii="Arial" w:hAnsi="Arial" w:cs="Arial"/>
        </w:rPr>
      </w:pPr>
      <w:r w:rsidRPr="00DA381D">
        <w:rPr>
          <w:rFonts w:ascii="Arial" w:hAnsi="Arial" w:cs="Arial"/>
        </w:rPr>
        <w:t xml:space="preserve">We conducted </w:t>
      </w:r>
      <w:r w:rsidR="00EB4B47">
        <w:rPr>
          <w:rFonts w:ascii="Arial" w:hAnsi="Arial" w:cs="Arial"/>
        </w:rPr>
        <w:t>nine</w:t>
      </w:r>
      <w:r w:rsidR="00EB4B47" w:rsidRPr="00DA381D">
        <w:rPr>
          <w:rFonts w:ascii="Arial" w:hAnsi="Arial" w:cs="Arial"/>
        </w:rPr>
        <w:t xml:space="preserve"> </w:t>
      </w:r>
      <w:r w:rsidRPr="00DA381D">
        <w:rPr>
          <w:rFonts w:ascii="Arial" w:hAnsi="Arial" w:cs="Arial"/>
        </w:rPr>
        <w:t>additional sensitivity analyses in which we:</w:t>
      </w:r>
    </w:p>
    <w:p w14:paraId="58489CDC" w14:textId="7CF03D38" w:rsidR="0098513F" w:rsidRDefault="00EB4B47" w:rsidP="0098513F">
      <w:pPr>
        <w:tabs>
          <w:tab w:val="left" w:pos="1080"/>
        </w:tabs>
        <w:spacing w:line="48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8513F" w:rsidRPr="00DA381D">
        <w:rPr>
          <w:rFonts w:ascii="Arial" w:hAnsi="Arial" w:cs="Arial"/>
        </w:rPr>
        <w:t>)</w:t>
      </w:r>
      <w:r w:rsidR="0098513F" w:rsidRPr="00DA381D">
        <w:rPr>
          <w:rFonts w:ascii="Arial" w:hAnsi="Arial" w:cs="Arial"/>
        </w:rPr>
        <w:tab/>
      </w:r>
      <w:proofErr w:type="gramStart"/>
      <w:r w:rsidR="0098513F" w:rsidRPr="00DA381D">
        <w:rPr>
          <w:rFonts w:ascii="Arial" w:hAnsi="Arial" w:cs="Arial"/>
        </w:rPr>
        <w:t>reduced</w:t>
      </w:r>
      <w:proofErr w:type="gramEnd"/>
      <w:r w:rsidR="0098513F" w:rsidRPr="00DA381D">
        <w:rPr>
          <w:rFonts w:ascii="Arial" w:hAnsi="Arial" w:cs="Arial"/>
        </w:rPr>
        <w:t xml:space="preserve"> the perioperative period for procedure-related opioids to seven days after sterilization thus counting toward the outcome opioid prescriptions between eight and 14 days after the sterilization procedure,</w:t>
      </w:r>
    </w:p>
    <w:p w14:paraId="74B68181" w14:textId="77777777" w:rsidR="00EB4B47" w:rsidRPr="00DA381D" w:rsidRDefault="00EB4B47" w:rsidP="0098513F">
      <w:pPr>
        <w:tabs>
          <w:tab w:val="left" w:pos="1080"/>
        </w:tabs>
        <w:spacing w:line="48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proofErr w:type="gramStart"/>
      <w:r>
        <w:rPr>
          <w:rFonts w:ascii="Arial" w:hAnsi="Arial" w:cs="Arial"/>
        </w:rPr>
        <w:t>reduced</w:t>
      </w:r>
      <w:proofErr w:type="gramEnd"/>
      <w:r>
        <w:rPr>
          <w:rFonts w:ascii="Arial" w:hAnsi="Arial" w:cs="Arial"/>
        </w:rPr>
        <w:t xml:space="preserve"> the perioperative </w:t>
      </w:r>
      <w:r w:rsidRPr="00DA381D">
        <w:rPr>
          <w:rFonts w:ascii="Arial" w:hAnsi="Arial" w:cs="Arial"/>
        </w:rPr>
        <w:t>period for procedure-related opioids</w:t>
      </w:r>
      <w:r>
        <w:rPr>
          <w:rFonts w:ascii="Arial" w:hAnsi="Arial" w:cs="Arial"/>
        </w:rPr>
        <w:t xml:space="preserve"> to only include opioids before sterilization, thus counting toward the outcome opioid prescriptions between 0 and 14 days after the sterilization procedure,</w:t>
      </w:r>
    </w:p>
    <w:p w14:paraId="18932D0C" w14:textId="2D1C1603" w:rsidR="0098513F" w:rsidRPr="00DA381D" w:rsidRDefault="00EB4B47" w:rsidP="0098513F">
      <w:pPr>
        <w:tabs>
          <w:tab w:val="left" w:pos="1080"/>
        </w:tabs>
        <w:spacing w:line="48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8513F" w:rsidRPr="00DA381D">
        <w:rPr>
          <w:rFonts w:ascii="Arial" w:hAnsi="Arial" w:cs="Arial"/>
        </w:rPr>
        <w:t>)</w:t>
      </w:r>
      <w:r w:rsidR="0098513F" w:rsidRPr="00DA381D">
        <w:rPr>
          <w:rFonts w:ascii="Arial" w:hAnsi="Arial" w:cs="Arial"/>
        </w:rPr>
        <w:tab/>
      </w:r>
      <w:proofErr w:type="gramStart"/>
      <w:r w:rsidR="0098513F" w:rsidRPr="00DA381D">
        <w:rPr>
          <w:rFonts w:ascii="Arial" w:hAnsi="Arial" w:cs="Arial"/>
        </w:rPr>
        <w:t>eliminated</w:t>
      </w:r>
      <w:proofErr w:type="gramEnd"/>
      <w:r w:rsidR="0098513F" w:rsidRPr="00DA381D">
        <w:rPr>
          <w:rFonts w:ascii="Arial" w:hAnsi="Arial" w:cs="Arial"/>
        </w:rPr>
        <w:t xml:space="preserve"> the perioperative period for procedure-related pain diagnoses, </w:t>
      </w:r>
    </w:p>
    <w:p w14:paraId="6133F083" w14:textId="298541B7" w:rsidR="0098513F" w:rsidRPr="00DA381D" w:rsidRDefault="00EB4B47" w:rsidP="0098513F">
      <w:pPr>
        <w:tabs>
          <w:tab w:val="left" w:pos="1080"/>
        </w:tabs>
        <w:spacing w:line="48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98513F" w:rsidRPr="00DA381D">
        <w:rPr>
          <w:rFonts w:ascii="Arial" w:hAnsi="Arial" w:cs="Arial"/>
        </w:rPr>
        <w:t>)</w:t>
      </w:r>
      <w:r w:rsidR="0098513F" w:rsidRPr="00DA381D">
        <w:rPr>
          <w:rFonts w:ascii="Arial" w:hAnsi="Arial" w:cs="Arial"/>
        </w:rPr>
        <w:tab/>
      </w:r>
      <w:proofErr w:type="gramStart"/>
      <w:r w:rsidR="0098513F" w:rsidRPr="00DA381D">
        <w:rPr>
          <w:rFonts w:ascii="Arial" w:hAnsi="Arial" w:cs="Arial"/>
        </w:rPr>
        <w:t>excluded</w:t>
      </w:r>
      <w:proofErr w:type="gramEnd"/>
      <w:r w:rsidR="0098513F" w:rsidRPr="00DA381D">
        <w:rPr>
          <w:rFonts w:ascii="Arial" w:hAnsi="Arial" w:cs="Arial"/>
        </w:rPr>
        <w:t xml:space="preserve"> all patients with opioid fills before sterilization (even during the perioperative period), </w:t>
      </w:r>
    </w:p>
    <w:p w14:paraId="209EB28D" w14:textId="29E7650B" w:rsidR="0098513F" w:rsidRPr="00DA381D" w:rsidRDefault="0098513F" w:rsidP="0098513F">
      <w:pPr>
        <w:tabs>
          <w:tab w:val="left" w:pos="1080"/>
        </w:tabs>
        <w:spacing w:line="480" w:lineRule="auto"/>
        <w:ind w:left="1080" w:hanging="360"/>
        <w:rPr>
          <w:rFonts w:ascii="Arial" w:hAnsi="Arial" w:cs="Arial"/>
        </w:rPr>
      </w:pPr>
      <w:r w:rsidRPr="00DA381D">
        <w:rPr>
          <w:rFonts w:ascii="Arial" w:hAnsi="Arial" w:cs="Arial"/>
        </w:rPr>
        <w:lastRenderedPageBreak/>
        <w:t>1</w:t>
      </w:r>
      <w:r w:rsidR="00EB4B47">
        <w:rPr>
          <w:rFonts w:ascii="Arial" w:hAnsi="Arial" w:cs="Arial"/>
        </w:rPr>
        <w:t>3</w:t>
      </w:r>
      <w:r w:rsidRPr="00DA381D">
        <w:rPr>
          <w:rFonts w:ascii="Arial" w:hAnsi="Arial" w:cs="Arial"/>
        </w:rPr>
        <w:t>)</w:t>
      </w:r>
      <w:r w:rsidRPr="00DA38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gramStart"/>
      <w:r w:rsidRPr="00DA381D">
        <w:rPr>
          <w:rFonts w:ascii="Arial" w:hAnsi="Arial" w:cs="Arial"/>
        </w:rPr>
        <w:t>included</w:t>
      </w:r>
      <w:proofErr w:type="gramEnd"/>
      <w:r w:rsidRPr="00DA381D">
        <w:rPr>
          <w:rFonts w:ascii="Arial" w:hAnsi="Arial" w:cs="Arial"/>
        </w:rPr>
        <w:t xml:space="preserve"> a term for region-of-service in propensity score models, </w:t>
      </w:r>
    </w:p>
    <w:p w14:paraId="0334805A" w14:textId="623BC452" w:rsidR="0098513F" w:rsidRPr="00DA381D" w:rsidRDefault="0098513F" w:rsidP="0098513F">
      <w:pPr>
        <w:tabs>
          <w:tab w:val="left" w:pos="1080"/>
        </w:tabs>
        <w:spacing w:line="480" w:lineRule="auto"/>
        <w:ind w:left="1080" w:hanging="360"/>
        <w:rPr>
          <w:rFonts w:ascii="Arial" w:hAnsi="Arial" w:cs="Arial"/>
        </w:rPr>
      </w:pPr>
      <w:r w:rsidRPr="00DA381D">
        <w:rPr>
          <w:rFonts w:ascii="Arial" w:hAnsi="Arial" w:cs="Arial"/>
        </w:rPr>
        <w:t>1</w:t>
      </w:r>
      <w:r w:rsidR="00EB4B47">
        <w:rPr>
          <w:rFonts w:ascii="Arial" w:hAnsi="Arial" w:cs="Arial"/>
        </w:rPr>
        <w:t>4</w:t>
      </w:r>
      <w:r w:rsidRPr="00DA381D">
        <w:rPr>
          <w:rFonts w:ascii="Arial" w:hAnsi="Arial" w:cs="Arial"/>
        </w:rPr>
        <w:t>)</w:t>
      </w:r>
      <w:r w:rsidRPr="00DA38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gramStart"/>
      <w:r w:rsidRPr="00DA381D">
        <w:rPr>
          <w:rFonts w:ascii="Arial" w:hAnsi="Arial" w:cs="Arial"/>
        </w:rPr>
        <w:t>required</w:t>
      </w:r>
      <w:proofErr w:type="gramEnd"/>
      <w:r w:rsidRPr="00DA381D">
        <w:rPr>
          <w:rFonts w:ascii="Arial" w:hAnsi="Arial" w:cs="Arial"/>
        </w:rPr>
        <w:t xml:space="preserve"> 12 months of continuous enrollment prior to sterilization (instead of six) to assess of eligibility criteria and baseline covariates, </w:t>
      </w:r>
    </w:p>
    <w:p w14:paraId="102CA7DB" w14:textId="269CA391" w:rsidR="0098513F" w:rsidRPr="00DA381D" w:rsidRDefault="0098513F" w:rsidP="0098513F">
      <w:pPr>
        <w:tabs>
          <w:tab w:val="left" w:pos="1080"/>
        </w:tabs>
        <w:spacing w:line="480" w:lineRule="auto"/>
        <w:ind w:left="1080" w:hanging="360"/>
        <w:rPr>
          <w:rFonts w:ascii="Arial" w:hAnsi="Arial" w:cs="Arial"/>
        </w:rPr>
      </w:pPr>
      <w:r w:rsidRPr="00DA381D">
        <w:rPr>
          <w:rFonts w:ascii="Arial" w:hAnsi="Arial" w:cs="Arial"/>
        </w:rPr>
        <w:t>1</w:t>
      </w:r>
      <w:r w:rsidR="00EB4B47">
        <w:rPr>
          <w:rFonts w:ascii="Arial" w:hAnsi="Arial" w:cs="Arial"/>
        </w:rPr>
        <w:t>5</w:t>
      </w:r>
      <w:r w:rsidRPr="00DA381D">
        <w:rPr>
          <w:rFonts w:ascii="Arial" w:hAnsi="Arial" w:cs="Arial"/>
        </w:rPr>
        <w:t>)</w:t>
      </w:r>
      <w:r w:rsidRPr="00DA38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proofErr w:type="gramStart"/>
      <w:r w:rsidRPr="00DA381D">
        <w:rPr>
          <w:rFonts w:ascii="Arial" w:hAnsi="Arial" w:cs="Arial"/>
        </w:rPr>
        <w:t>required</w:t>
      </w:r>
      <w:proofErr w:type="gramEnd"/>
      <w:r w:rsidRPr="00DA381D">
        <w:rPr>
          <w:rFonts w:ascii="Arial" w:hAnsi="Arial" w:cs="Arial"/>
        </w:rPr>
        <w:t xml:space="preserve"> six months of continuous enrollment prior to sterilization but allowed up to five years (whenever available) of pre-exposure covariate information (henceforth, look-back) to assess eligibility criteria and baseline covariates,</w:t>
      </w:r>
    </w:p>
    <w:p w14:paraId="1C304804" w14:textId="155CDD25" w:rsidR="0098513F" w:rsidRDefault="0098513F" w:rsidP="0098513F">
      <w:pPr>
        <w:tabs>
          <w:tab w:val="left" w:pos="1080"/>
        </w:tabs>
        <w:spacing w:line="480" w:lineRule="auto"/>
        <w:ind w:left="1080" w:hanging="360"/>
        <w:rPr>
          <w:rFonts w:ascii="Arial" w:hAnsi="Arial" w:cs="Arial"/>
        </w:rPr>
      </w:pPr>
      <w:r w:rsidRPr="00DA381D">
        <w:rPr>
          <w:rFonts w:ascii="Arial" w:hAnsi="Arial" w:cs="Arial"/>
        </w:rPr>
        <w:t>1</w:t>
      </w:r>
      <w:r w:rsidR="00EB4B47">
        <w:rPr>
          <w:rFonts w:ascii="Arial" w:hAnsi="Arial" w:cs="Arial"/>
        </w:rPr>
        <w:t>6</w:t>
      </w:r>
      <w:r w:rsidRPr="00DA381D">
        <w:rPr>
          <w:rFonts w:ascii="Arial" w:hAnsi="Arial" w:cs="Arial"/>
        </w:rPr>
        <w:t xml:space="preserve">) </w:t>
      </w:r>
      <w:proofErr w:type="gramStart"/>
      <w:r w:rsidRPr="00DA381D">
        <w:rPr>
          <w:rFonts w:ascii="Arial" w:hAnsi="Arial" w:cs="Arial"/>
        </w:rPr>
        <w:t>restricted</w:t>
      </w:r>
      <w:proofErr w:type="gramEnd"/>
      <w:r w:rsidRPr="00DA381D">
        <w:rPr>
          <w:rFonts w:ascii="Arial" w:hAnsi="Arial" w:cs="Arial"/>
        </w:rPr>
        <w:t xml:space="preserve"> the cohort to years where only the </w:t>
      </w:r>
      <w:proofErr w:type="spellStart"/>
      <w:r w:rsidRPr="00DA381D">
        <w:rPr>
          <w:rFonts w:ascii="Arial" w:hAnsi="Arial" w:cs="Arial"/>
        </w:rPr>
        <w:t>Essure</w:t>
      </w:r>
      <w:proofErr w:type="spellEnd"/>
      <w:r w:rsidRPr="00DA381D">
        <w:rPr>
          <w:rFonts w:ascii="Arial" w:hAnsi="Arial" w:cs="Arial"/>
        </w:rPr>
        <w:t xml:space="preserve">® device was on the market (i.e. 2005-2008), thereby excluding data during the period when both </w:t>
      </w:r>
      <w:proofErr w:type="spellStart"/>
      <w:r w:rsidRPr="00DA381D">
        <w:rPr>
          <w:rFonts w:ascii="Arial" w:hAnsi="Arial" w:cs="Arial"/>
        </w:rPr>
        <w:t>Essure</w:t>
      </w:r>
      <w:proofErr w:type="spellEnd"/>
      <w:r w:rsidRPr="00DA381D">
        <w:rPr>
          <w:rFonts w:ascii="Arial" w:hAnsi="Arial" w:cs="Arial"/>
        </w:rPr>
        <w:t xml:space="preserve">® and </w:t>
      </w:r>
      <w:proofErr w:type="spellStart"/>
      <w:r w:rsidRPr="00DA381D">
        <w:rPr>
          <w:rFonts w:ascii="Arial" w:hAnsi="Arial" w:cs="Arial"/>
        </w:rPr>
        <w:t>Adiana</w:t>
      </w:r>
      <w:proofErr w:type="spellEnd"/>
      <w:r w:rsidRPr="00DA381D">
        <w:rPr>
          <w:rFonts w:ascii="Arial" w:hAnsi="Arial" w:cs="Arial"/>
        </w:rPr>
        <w:t>® (</w:t>
      </w:r>
      <w:proofErr w:type="spellStart"/>
      <w:r w:rsidRPr="00DA381D">
        <w:rPr>
          <w:rFonts w:ascii="Arial" w:hAnsi="Arial" w:cs="Arial"/>
        </w:rPr>
        <w:t>Hologic</w:t>
      </w:r>
      <w:proofErr w:type="spellEnd"/>
      <w:r w:rsidRPr="00DA381D">
        <w:rPr>
          <w:rFonts w:ascii="Arial" w:hAnsi="Arial" w:cs="Arial"/>
        </w:rPr>
        <w:t>, Bedford, MA) were on the market (2009-2012), and</w:t>
      </w:r>
    </w:p>
    <w:p w14:paraId="03478890" w14:textId="698B3730" w:rsidR="000B4117" w:rsidRPr="0098513F" w:rsidRDefault="0098513F" w:rsidP="0098513F">
      <w:pPr>
        <w:tabs>
          <w:tab w:val="left" w:pos="1080"/>
        </w:tabs>
        <w:spacing w:line="480" w:lineRule="auto"/>
        <w:ind w:left="1080" w:hanging="360"/>
        <w:rPr>
          <w:rFonts w:ascii="Arial" w:hAnsi="Arial" w:cs="Arial"/>
        </w:rPr>
      </w:pPr>
      <w:r w:rsidRPr="00DA381D">
        <w:rPr>
          <w:rFonts w:ascii="Arial" w:hAnsi="Arial" w:cs="Arial"/>
        </w:rPr>
        <w:t>1</w:t>
      </w:r>
      <w:r w:rsidR="00EB4B47">
        <w:rPr>
          <w:rFonts w:ascii="Arial" w:hAnsi="Arial" w:cs="Arial"/>
        </w:rPr>
        <w:t>7</w:t>
      </w:r>
      <w:r w:rsidRPr="00DA381D">
        <w:rPr>
          <w:rFonts w:ascii="Arial" w:hAnsi="Arial" w:cs="Arial"/>
        </w:rPr>
        <w:t xml:space="preserve">) </w:t>
      </w:r>
      <w:proofErr w:type="gramStart"/>
      <w:r w:rsidRPr="00DA381D">
        <w:rPr>
          <w:rFonts w:ascii="Arial" w:hAnsi="Arial" w:cs="Arial"/>
        </w:rPr>
        <w:t>allowed</w:t>
      </w:r>
      <w:proofErr w:type="gramEnd"/>
      <w:r w:rsidRPr="00DA381D">
        <w:rPr>
          <w:rFonts w:ascii="Arial" w:hAnsi="Arial" w:cs="Arial"/>
        </w:rPr>
        <w:t xml:space="preserve"> up to five years of look-back and required a 30-day supply of opioids for the prescription component of the opioid-managed pelvic pain outcome (combining SA </w:t>
      </w:r>
      <w:r w:rsidR="00EB4B47">
        <w:rPr>
          <w:rFonts w:ascii="Arial" w:hAnsi="Arial" w:cs="Arial"/>
        </w:rPr>
        <w:t>4</w:t>
      </w:r>
      <w:r w:rsidRPr="00DA381D">
        <w:rPr>
          <w:rFonts w:ascii="Arial" w:hAnsi="Arial" w:cs="Arial"/>
        </w:rPr>
        <w:t xml:space="preserve"> and SA </w:t>
      </w:r>
      <w:bookmarkStart w:id="0" w:name="_GoBack"/>
      <w:r w:rsidR="00EB4B47">
        <w:rPr>
          <w:rFonts w:ascii="Arial" w:hAnsi="Arial" w:cs="Arial"/>
        </w:rPr>
        <w:t>15</w:t>
      </w:r>
      <w:bookmarkEnd w:id="0"/>
      <w:r w:rsidRPr="00DA381D">
        <w:rPr>
          <w:rFonts w:ascii="Arial" w:hAnsi="Arial" w:cs="Arial"/>
        </w:rPr>
        <w:t>).</w:t>
      </w:r>
    </w:p>
    <w:sectPr w:rsidR="000B4117" w:rsidRPr="0098513F" w:rsidSect="00985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A70F5"/>
    <w:multiLevelType w:val="hybridMultilevel"/>
    <w:tmpl w:val="5FACD74C"/>
    <w:lvl w:ilvl="0" w:tplc="1F2E6D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3F"/>
    <w:rsid w:val="0007757B"/>
    <w:rsid w:val="00092E7E"/>
    <w:rsid w:val="000B4117"/>
    <w:rsid w:val="007F64F6"/>
    <w:rsid w:val="0098513F"/>
    <w:rsid w:val="00EB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E571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4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F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4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F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B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343</Words>
  <Characters>1961</Characters>
  <Application>Microsoft Macintosh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UNC Student</cp:lastModifiedBy>
  <cp:revision>3</cp:revision>
  <dcterms:created xsi:type="dcterms:W3CDTF">2014-08-20T14:27:00Z</dcterms:created>
  <dcterms:modified xsi:type="dcterms:W3CDTF">2014-12-17T06:18:00Z</dcterms:modified>
</cp:coreProperties>
</file>