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charts/chart11.xml" ContentType="application/vnd.openxmlformats-officedocument.drawingml.chart+xml"/>
  <Override PartName="/word/theme/themeOverride11.xml" ContentType="application/vnd.openxmlformats-officedocument.themeOverride+xml"/>
  <Override PartName="/word/charts/chart12.xml" ContentType="application/vnd.openxmlformats-officedocument.drawingml.chart+xml"/>
  <Override PartName="/word/theme/themeOverride12.xml" ContentType="application/vnd.openxmlformats-officedocument.themeOverride+xml"/>
  <Override PartName="/word/charts/chart13.xml" ContentType="application/vnd.openxmlformats-officedocument.drawingml.chart+xml"/>
  <Override PartName="/word/theme/themeOverride13.xml" ContentType="application/vnd.openxmlformats-officedocument.themeOverride+xml"/>
  <Override PartName="/word/charts/chart14.xml" ContentType="application/vnd.openxmlformats-officedocument.drawingml.chart+xml"/>
  <Override PartName="/word/theme/themeOverride14.xml" ContentType="application/vnd.openxmlformats-officedocument.themeOverride+xml"/>
  <Override PartName="/word/charts/chart15.xml" ContentType="application/vnd.openxmlformats-officedocument.drawingml.chart+xml"/>
  <Override PartName="/word/theme/themeOverride15.xml" ContentType="application/vnd.openxmlformats-officedocument.themeOverride+xml"/>
  <Override PartName="/word/charts/chart16.xml" ContentType="application/vnd.openxmlformats-officedocument.drawingml.chart+xml"/>
  <Override PartName="/word/charts/chart17.xml" ContentType="application/vnd.openxmlformats-officedocument.drawingml.chart+xml"/>
  <Override PartName="/word/theme/themeOverride16.xml" ContentType="application/vnd.openxmlformats-officedocument.themeOverride+xml"/>
  <Override PartName="/word/charts/chart18.xml" ContentType="application/vnd.openxmlformats-officedocument.drawingml.chart+xml"/>
  <Override PartName="/word/theme/themeOverride17.xml" ContentType="application/vnd.openxmlformats-officedocument.themeOverride+xml"/>
  <Override PartName="/word/charts/chart19.xml" ContentType="application/vnd.openxmlformats-officedocument.drawingml.chart+xml"/>
  <Override PartName="/word/theme/themeOverride18.xml" ContentType="application/vnd.openxmlformats-officedocument.themeOverride+xml"/>
  <Override PartName="/word/charts/chart20.xml" ContentType="application/vnd.openxmlformats-officedocument.drawingml.chart+xml"/>
  <Override PartName="/word/theme/themeOverride19.xml" ContentType="application/vnd.openxmlformats-officedocument.themeOverride+xml"/>
  <Override PartName="/word/charts/chart21.xml" ContentType="application/vnd.openxmlformats-officedocument.drawingml.chart+xml"/>
  <Override PartName="/word/theme/themeOverride20.xml" ContentType="application/vnd.openxmlformats-officedocument.themeOverride+xml"/>
  <Override PartName="/word/charts/chart22.xml" ContentType="application/vnd.openxmlformats-officedocument.drawingml.chart+xml"/>
  <Override PartName="/word/charts/chart23.xml" ContentType="application/vnd.openxmlformats-officedocument.drawingml.chart+xml"/>
  <Override PartName="/word/theme/themeOverride21.xml" ContentType="application/vnd.openxmlformats-officedocument.themeOverride+xml"/>
  <Override PartName="/word/charts/chart24.xml" ContentType="application/vnd.openxmlformats-officedocument.drawingml.chart+xml"/>
  <Override PartName="/word/theme/themeOverride22.xml" ContentType="application/vnd.openxmlformats-officedocument.themeOverride+xml"/>
  <Override PartName="/word/charts/chart25.xml" ContentType="application/vnd.openxmlformats-officedocument.drawingml.chart+xml"/>
  <Override PartName="/word/theme/themeOverride23.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557B" w:rsidRDefault="00DE557B" w:rsidP="004C6593">
      <w:pPr>
        <w:tabs>
          <w:tab w:val="left" w:pos="8730"/>
        </w:tabs>
        <w:ind w:right="1350"/>
        <w:jc w:val="center"/>
        <w:rPr>
          <w:rFonts w:ascii="Arial" w:hAnsi="Arial" w:cs="Arial"/>
          <w:sz w:val="32"/>
          <w:szCs w:val="32"/>
        </w:rPr>
      </w:pPr>
      <w:r w:rsidRPr="00DE557B">
        <w:rPr>
          <w:rFonts w:ascii="Arial" w:hAnsi="Arial" w:cs="Arial"/>
          <w:sz w:val="32"/>
          <w:szCs w:val="32"/>
        </w:rPr>
        <w:t xml:space="preserve">Potential Explosion Hazard of </w:t>
      </w:r>
      <w:r>
        <w:rPr>
          <w:rFonts w:ascii="Arial" w:hAnsi="Arial" w:cs="Arial"/>
          <w:sz w:val="32"/>
          <w:szCs w:val="32"/>
        </w:rPr>
        <w:t xml:space="preserve">Carbonaceous </w:t>
      </w:r>
      <w:r w:rsidRPr="00DE557B">
        <w:rPr>
          <w:rFonts w:ascii="Arial" w:hAnsi="Arial" w:cs="Arial"/>
          <w:sz w:val="32"/>
          <w:szCs w:val="32"/>
        </w:rPr>
        <w:t>Nanoparticles</w:t>
      </w:r>
      <w:r w:rsidR="000C5479">
        <w:rPr>
          <w:rFonts w:ascii="Arial" w:hAnsi="Arial" w:cs="Arial"/>
          <w:sz w:val="32"/>
          <w:szCs w:val="32"/>
        </w:rPr>
        <w:t>:</w:t>
      </w:r>
    </w:p>
    <w:p w:rsidR="00241BDF" w:rsidRDefault="00241BDF" w:rsidP="004C6593">
      <w:pPr>
        <w:tabs>
          <w:tab w:val="left" w:pos="8640"/>
        </w:tabs>
        <w:ind w:right="1350"/>
        <w:jc w:val="center"/>
        <w:rPr>
          <w:rFonts w:ascii="Arial" w:hAnsi="Arial" w:cs="Arial"/>
          <w:sz w:val="32"/>
          <w:szCs w:val="32"/>
        </w:rPr>
      </w:pPr>
      <w:bookmarkStart w:id="0" w:name="_GoBack"/>
      <w:bookmarkEnd w:id="0"/>
      <w:r>
        <w:rPr>
          <w:rFonts w:ascii="Arial" w:hAnsi="Arial" w:cs="Arial"/>
          <w:sz w:val="32"/>
          <w:szCs w:val="32"/>
        </w:rPr>
        <w:t>Explosion Parameters of Selected Materials</w:t>
      </w:r>
    </w:p>
    <w:p w:rsidR="00DE557B" w:rsidRPr="00DE557B" w:rsidRDefault="00DE557B" w:rsidP="004C6593">
      <w:pPr>
        <w:tabs>
          <w:tab w:val="left" w:pos="8640"/>
        </w:tabs>
        <w:ind w:right="1350"/>
        <w:jc w:val="center"/>
        <w:rPr>
          <w:rFonts w:ascii="Arial" w:hAnsi="Arial" w:cs="Arial"/>
          <w:sz w:val="32"/>
          <w:szCs w:val="32"/>
        </w:rPr>
      </w:pPr>
      <w:r w:rsidRPr="00DE557B">
        <w:rPr>
          <w:rFonts w:ascii="Arial" w:hAnsi="Arial" w:cs="Arial"/>
          <w:sz w:val="32"/>
          <w:szCs w:val="32"/>
        </w:rPr>
        <w:t>Supplemental Material</w:t>
      </w:r>
    </w:p>
    <w:p w:rsidR="00DE557B" w:rsidRDefault="00DE557B" w:rsidP="004C6593">
      <w:pPr>
        <w:tabs>
          <w:tab w:val="left" w:pos="8640"/>
        </w:tabs>
        <w:ind w:right="1350"/>
      </w:pPr>
    </w:p>
    <w:p w:rsidR="00DE557B" w:rsidRDefault="00DE557B" w:rsidP="004C6593">
      <w:pPr>
        <w:tabs>
          <w:tab w:val="left" w:pos="8640"/>
        </w:tabs>
        <w:ind w:right="1350"/>
        <w:jc w:val="center"/>
      </w:pPr>
    </w:p>
    <w:p w:rsidR="00DE557B" w:rsidRDefault="00474BA7" w:rsidP="004C6593">
      <w:pPr>
        <w:pStyle w:val="mySingleSpace"/>
        <w:tabs>
          <w:tab w:val="left" w:pos="8640"/>
        </w:tabs>
        <w:ind w:right="1350"/>
        <w:rPr>
          <w:lang w:val="en-GB"/>
        </w:rPr>
      </w:pPr>
      <w:r>
        <w:rPr>
          <w:lang w:val="en-GB"/>
        </w:rPr>
        <w:t>S</w:t>
      </w:r>
      <w:r w:rsidR="00DE557B">
        <w:rPr>
          <w:lang w:val="en-GB"/>
        </w:rPr>
        <w:t xml:space="preserve">ubmitted to </w:t>
      </w:r>
    </w:p>
    <w:p w:rsidR="00DE557B" w:rsidRDefault="00DE557B" w:rsidP="004C6593">
      <w:pPr>
        <w:pStyle w:val="mySingleSpace"/>
        <w:tabs>
          <w:tab w:val="left" w:pos="8640"/>
        </w:tabs>
        <w:ind w:right="1350"/>
        <w:rPr>
          <w:lang w:val="en-GB"/>
        </w:rPr>
      </w:pPr>
    </w:p>
    <w:p w:rsidR="00DE557B" w:rsidRDefault="00DE557B" w:rsidP="004C6593">
      <w:pPr>
        <w:pStyle w:val="mySingleSpace"/>
        <w:tabs>
          <w:tab w:val="left" w:pos="8640"/>
        </w:tabs>
        <w:ind w:right="1350"/>
        <w:rPr>
          <w:b/>
          <w:lang w:val="en-GB"/>
        </w:rPr>
      </w:pPr>
      <w:r>
        <w:rPr>
          <w:i/>
          <w:lang w:val="en-GB"/>
        </w:rPr>
        <w:t>Journal of Hazardous Materials</w:t>
      </w:r>
    </w:p>
    <w:p w:rsidR="00DE557B" w:rsidRDefault="00DE557B" w:rsidP="004C6593">
      <w:pPr>
        <w:pStyle w:val="mySingleSpace"/>
        <w:tabs>
          <w:tab w:val="left" w:pos="8640"/>
        </w:tabs>
        <w:ind w:right="1350"/>
        <w:rPr>
          <w:lang w:val="en-GB"/>
        </w:rPr>
      </w:pPr>
    </w:p>
    <w:p w:rsidR="00DE557B" w:rsidRDefault="00DE557B" w:rsidP="004C6593">
      <w:pPr>
        <w:pStyle w:val="mySingleSpace"/>
        <w:tabs>
          <w:tab w:val="left" w:pos="8640"/>
        </w:tabs>
        <w:ind w:right="1350"/>
        <w:rPr>
          <w:lang w:val="en-GB"/>
        </w:rPr>
      </w:pPr>
    </w:p>
    <w:p w:rsidR="00DE557B" w:rsidRDefault="00DE557B" w:rsidP="004C6593">
      <w:pPr>
        <w:pStyle w:val="mySingleSpace"/>
        <w:tabs>
          <w:tab w:val="left" w:pos="8640"/>
        </w:tabs>
        <w:ind w:right="1350"/>
        <w:rPr>
          <w:lang w:val="en-GB"/>
        </w:rPr>
      </w:pPr>
    </w:p>
    <w:p w:rsidR="00DE557B" w:rsidRDefault="00DE557B" w:rsidP="004C6593">
      <w:pPr>
        <w:pStyle w:val="mySingleSpace"/>
        <w:tabs>
          <w:tab w:val="left" w:pos="8640"/>
        </w:tabs>
        <w:ind w:right="1350"/>
        <w:rPr>
          <w:lang w:val="en-GB"/>
        </w:rPr>
      </w:pPr>
      <w:r>
        <w:rPr>
          <w:lang w:val="en-GB"/>
        </w:rPr>
        <w:t>Leoni</w:t>
      </w:r>
      <w:r w:rsidR="00241BDF">
        <w:rPr>
          <w:lang w:val="en-GB"/>
        </w:rPr>
        <w:t>d A. Turkevich*</w:t>
      </w:r>
    </w:p>
    <w:p w:rsidR="00DE557B" w:rsidRDefault="00DE557B" w:rsidP="004C6593">
      <w:pPr>
        <w:pStyle w:val="mySingleSpace"/>
        <w:tabs>
          <w:tab w:val="left" w:pos="8640"/>
        </w:tabs>
        <w:ind w:right="1350" w:firstLine="0"/>
        <w:rPr>
          <w:lang w:val="en-GB"/>
        </w:rPr>
      </w:pPr>
    </w:p>
    <w:p w:rsidR="00EC059F" w:rsidRDefault="00EC059F" w:rsidP="004C6593">
      <w:pPr>
        <w:pStyle w:val="mySingleSpace"/>
        <w:tabs>
          <w:tab w:val="left" w:pos="8640"/>
        </w:tabs>
        <w:ind w:right="1350"/>
        <w:rPr>
          <w:sz w:val="20"/>
          <w:szCs w:val="20"/>
          <w:lang w:val="en-GB"/>
        </w:rPr>
      </w:pPr>
      <w:proofErr w:type="spellStart"/>
      <w:r>
        <w:rPr>
          <w:sz w:val="20"/>
          <w:szCs w:val="20"/>
          <w:lang w:val="en-GB"/>
        </w:rPr>
        <w:t>Centers</w:t>
      </w:r>
      <w:proofErr w:type="spellEnd"/>
      <w:r>
        <w:rPr>
          <w:sz w:val="20"/>
          <w:szCs w:val="20"/>
          <w:lang w:val="en-GB"/>
        </w:rPr>
        <w:t xml:space="preserve"> for Disease Control and Prevention</w:t>
      </w:r>
    </w:p>
    <w:p w:rsidR="00DE557B" w:rsidRDefault="00DE557B" w:rsidP="004C6593">
      <w:pPr>
        <w:pStyle w:val="mySingleSpace"/>
        <w:tabs>
          <w:tab w:val="left" w:pos="8640"/>
        </w:tabs>
        <w:ind w:right="1350"/>
        <w:rPr>
          <w:sz w:val="20"/>
          <w:szCs w:val="20"/>
          <w:lang w:val="en-GB"/>
        </w:rPr>
      </w:pPr>
      <w:r>
        <w:rPr>
          <w:sz w:val="20"/>
          <w:szCs w:val="20"/>
          <w:lang w:val="en-GB"/>
        </w:rPr>
        <w:t>National Institute for Occupational Safety and Health,</w:t>
      </w:r>
    </w:p>
    <w:p w:rsidR="00DE557B" w:rsidRDefault="00DE557B" w:rsidP="004C6593">
      <w:pPr>
        <w:pStyle w:val="mySingleSpace"/>
        <w:tabs>
          <w:tab w:val="left" w:pos="8640"/>
        </w:tabs>
        <w:ind w:right="1350"/>
        <w:rPr>
          <w:sz w:val="20"/>
          <w:szCs w:val="20"/>
          <w:lang w:val="en-GB"/>
        </w:rPr>
      </w:pPr>
      <w:r>
        <w:rPr>
          <w:sz w:val="20"/>
          <w:szCs w:val="20"/>
          <w:lang w:val="en-GB"/>
        </w:rPr>
        <w:t>Division of Applied Research and Technology,</w:t>
      </w:r>
    </w:p>
    <w:p w:rsidR="00DE557B" w:rsidRDefault="00CE2D6D" w:rsidP="004C6593">
      <w:pPr>
        <w:pStyle w:val="mySingleSpace"/>
        <w:tabs>
          <w:tab w:val="left" w:pos="8640"/>
        </w:tabs>
        <w:ind w:right="1350"/>
        <w:rPr>
          <w:sz w:val="20"/>
          <w:szCs w:val="20"/>
          <w:vertAlign w:val="superscript"/>
          <w:lang w:val="en-GB"/>
        </w:rPr>
      </w:pPr>
      <w:r>
        <w:rPr>
          <w:sz w:val="20"/>
          <w:szCs w:val="20"/>
          <w:lang w:val="en-GB"/>
        </w:rPr>
        <w:t>1090 Tusculum Avenue</w:t>
      </w:r>
      <w:r w:rsidR="00DE557B">
        <w:rPr>
          <w:sz w:val="20"/>
          <w:szCs w:val="20"/>
          <w:lang w:val="en-GB"/>
        </w:rPr>
        <w:t>, MS-R7, Cincinnati, OH 45226 USA</w:t>
      </w:r>
      <w:r w:rsidR="00DE557B">
        <w:rPr>
          <w:sz w:val="20"/>
          <w:szCs w:val="20"/>
          <w:vertAlign w:val="superscript"/>
          <w:lang w:val="en-GB"/>
        </w:rPr>
        <w:t xml:space="preserve"> </w:t>
      </w:r>
    </w:p>
    <w:p w:rsidR="00DE557B" w:rsidRDefault="00DE557B" w:rsidP="004C6593">
      <w:pPr>
        <w:tabs>
          <w:tab w:val="left" w:pos="8640"/>
        </w:tabs>
        <w:ind w:right="1350"/>
        <w:rPr>
          <w:rFonts w:ascii="Arial" w:hAnsi="Arial" w:cs="Arial"/>
          <w:sz w:val="20"/>
          <w:szCs w:val="20"/>
        </w:rPr>
      </w:pPr>
    </w:p>
    <w:p w:rsidR="00DE557B" w:rsidRDefault="00DE557B" w:rsidP="004C6593">
      <w:pPr>
        <w:tabs>
          <w:tab w:val="left" w:pos="8640"/>
        </w:tabs>
        <w:ind w:right="1350"/>
        <w:jc w:val="center"/>
        <w:rPr>
          <w:rFonts w:ascii="Arial" w:hAnsi="Arial" w:cs="Arial"/>
          <w:sz w:val="20"/>
          <w:szCs w:val="20"/>
        </w:rPr>
      </w:pPr>
      <w:proofErr w:type="gramStart"/>
      <w:r>
        <w:rPr>
          <w:rFonts w:ascii="Arial" w:hAnsi="Arial" w:cs="Arial"/>
          <w:sz w:val="24"/>
          <w:szCs w:val="24"/>
        </w:rPr>
        <w:t>and</w:t>
      </w:r>
      <w:proofErr w:type="gramEnd"/>
    </w:p>
    <w:p w:rsidR="00DE557B" w:rsidRDefault="00DE557B" w:rsidP="004C6593">
      <w:pPr>
        <w:tabs>
          <w:tab w:val="left" w:pos="8640"/>
        </w:tabs>
        <w:ind w:right="1350"/>
        <w:rPr>
          <w:rFonts w:ascii="Arial" w:hAnsi="Arial" w:cs="Arial"/>
          <w:sz w:val="20"/>
          <w:szCs w:val="20"/>
        </w:rPr>
      </w:pPr>
    </w:p>
    <w:p w:rsidR="00DE557B" w:rsidRDefault="00DE557B" w:rsidP="004C6593">
      <w:pPr>
        <w:tabs>
          <w:tab w:val="left" w:pos="8640"/>
        </w:tabs>
        <w:spacing w:after="0"/>
        <w:ind w:right="1350"/>
        <w:jc w:val="center"/>
        <w:rPr>
          <w:rFonts w:ascii="Arial" w:hAnsi="Arial" w:cs="Arial"/>
          <w:sz w:val="24"/>
          <w:szCs w:val="24"/>
        </w:rPr>
      </w:pPr>
      <w:r>
        <w:rPr>
          <w:rFonts w:ascii="Arial" w:hAnsi="Arial" w:cs="Arial"/>
          <w:sz w:val="24"/>
          <w:szCs w:val="24"/>
        </w:rPr>
        <w:t>Ashok G. Dastidar</w:t>
      </w:r>
      <w:r w:rsidR="00241BDF">
        <w:rPr>
          <w:rFonts w:ascii="Arial" w:hAnsi="Arial" w:cs="Arial"/>
          <w:sz w:val="24"/>
          <w:szCs w:val="24"/>
        </w:rPr>
        <w:t xml:space="preserve">, Zachary </w:t>
      </w:r>
      <w:proofErr w:type="spellStart"/>
      <w:r w:rsidR="00241BDF">
        <w:rPr>
          <w:rFonts w:ascii="Arial" w:hAnsi="Arial" w:cs="Arial"/>
          <w:sz w:val="24"/>
          <w:szCs w:val="24"/>
        </w:rPr>
        <w:t>Hachmeister</w:t>
      </w:r>
      <w:proofErr w:type="spellEnd"/>
      <w:r w:rsidR="00241BDF">
        <w:rPr>
          <w:rFonts w:ascii="Arial" w:hAnsi="Arial" w:cs="Arial"/>
          <w:sz w:val="24"/>
          <w:szCs w:val="24"/>
        </w:rPr>
        <w:t>, Michael Lim</w:t>
      </w:r>
    </w:p>
    <w:p w:rsidR="00DE557B" w:rsidRDefault="00DE557B" w:rsidP="004C6593">
      <w:pPr>
        <w:tabs>
          <w:tab w:val="left" w:pos="8640"/>
        </w:tabs>
        <w:spacing w:after="0" w:line="240" w:lineRule="auto"/>
        <w:ind w:right="1350" w:firstLine="360"/>
        <w:jc w:val="center"/>
        <w:rPr>
          <w:rFonts w:ascii="Arial" w:hAnsi="Arial" w:cs="Arial"/>
          <w:sz w:val="24"/>
          <w:szCs w:val="24"/>
        </w:rPr>
      </w:pPr>
    </w:p>
    <w:p w:rsidR="00DE557B" w:rsidRDefault="00DE557B" w:rsidP="004C6593">
      <w:pPr>
        <w:tabs>
          <w:tab w:val="left" w:pos="8640"/>
        </w:tabs>
        <w:spacing w:after="0" w:line="240" w:lineRule="auto"/>
        <w:ind w:right="1350" w:firstLine="360"/>
        <w:jc w:val="center"/>
        <w:rPr>
          <w:rFonts w:ascii="Arial" w:hAnsi="Arial" w:cs="Arial"/>
          <w:sz w:val="20"/>
          <w:szCs w:val="20"/>
        </w:rPr>
      </w:pPr>
      <w:proofErr w:type="spellStart"/>
      <w:r>
        <w:rPr>
          <w:rFonts w:ascii="Arial" w:hAnsi="Arial" w:cs="Arial"/>
          <w:sz w:val="20"/>
          <w:szCs w:val="20"/>
        </w:rPr>
        <w:t>Fauske</w:t>
      </w:r>
      <w:proofErr w:type="spellEnd"/>
      <w:r>
        <w:rPr>
          <w:rFonts w:ascii="Arial" w:hAnsi="Arial" w:cs="Arial"/>
          <w:sz w:val="20"/>
          <w:szCs w:val="20"/>
        </w:rPr>
        <w:t xml:space="preserve"> &amp; Associates, LLC</w:t>
      </w:r>
    </w:p>
    <w:p w:rsidR="00DE557B" w:rsidRDefault="00DE557B" w:rsidP="004C6593">
      <w:pPr>
        <w:tabs>
          <w:tab w:val="left" w:pos="8640"/>
        </w:tabs>
        <w:spacing w:after="0" w:line="240" w:lineRule="auto"/>
        <w:ind w:right="1350" w:firstLine="360"/>
        <w:jc w:val="center"/>
        <w:rPr>
          <w:rFonts w:ascii="Arial" w:hAnsi="Arial" w:cs="Arial"/>
          <w:sz w:val="20"/>
          <w:szCs w:val="20"/>
        </w:rPr>
      </w:pPr>
      <w:r>
        <w:rPr>
          <w:rFonts w:ascii="Arial" w:hAnsi="Arial" w:cs="Arial"/>
          <w:sz w:val="20"/>
          <w:szCs w:val="20"/>
        </w:rPr>
        <w:t>16W070 83</w:t>
      </w:r>
      <w:r>
        <w:rPr>
          <w:rFonts w:ascii="Arial" w:hAnsi="Arial" w:cs="Arial"/>
          <w:sz w:val="20"/>
          <w:szCs w:val="20"/>
          <w:vertAlign w:val="superscript"/>
        </w:rPr>
        <w:t>rd</w:t>
      </w:r>
      <w:r>
        <w:rPr>
          <w:rFonts w:ascii="Arial" w:hAnsi="Arial" w:cs="Arial"/>
          <w:sz w:val="20"/>
          <w:szCs w:val="20"/>
        </w:rPr>
        <w:t xml:space="preserve"> Street</w:t>
      </w:r>
    </w:p>
    <w:p w:rsidR="00DE557B" w:rsidRDefault="00DE557B" w:rsidP="004C6593">
      <w:pPr>
        <w:tabs>
          <w:tab w:val="left" w:pos="8640"/>
        </w:tabs>
        <w:spacing w:after="0" w:line="240" w:lineRule="auto"/>
        <w:ind w:right="1350" w:firstLine="360"/>
        <w:jc w:val="center"/>
        <w:rPr>
          <w:rFonts w:ascii="Arial" w:hAnsi="Arial" w:cs="Arial"/>
          <w:sz w:val="20"/>
          <w:szCs w:val="20"/>
        </w:rPr>
      </w:pPr>
      <w:r>
        <w:rPr>
          <w:rFonts w:ascii="Arial" w:hAnsi="Arial" w:cs="Arial"/>
          <w:sz w:val="20"/>
          <w:szCs w:val="20"/>
        </w:rPr>
        <w:t>Burr Ridge, IL 60527 USA</w:t>
      </w:r>
    </w:p>
    <w:p w:rsidR="00DE557B" w:rsidRDefault="00DE557B" w:rsidP="004C6593">
      <w:pPr>
        <w:tabs>
          <w:tab w:val="left" w:pos="8640"/>
        </w:tabs>
        <w:ind w:right="1350"/>
        <w:jc w:val="center"/>
        <w:rPr>
          <w:rFonts w:ascii="Arial" w:hAnsi="Arial" w:cs="Arial"/>
          <w:sz w:val="20"/>
          <w:szCs w:val="20"/>
        </w:rPr>
      </w:pPr>
    </w:p>
    <w:p w:rsidR="00DE557B" w:rsidRDefault="00DE557B" w:rsidP="004C6593">
      <w:pPr>
        <w:tabs>
          <w:tab w:val="left" w:pos="8640"/>
        </w:tabs>
        <w:ind w:right="1350"/>
        <w:jc w:val="center"/>
        <w:rPr>
          <w:rFonts w:ascii="Arial" w:hAnsi="Arial" w:cs="Arial"/>
          <w:sz w:val="20"/>
          <w:szCs w:val="20"/>
        </w:rPr>
      </w:pPr>
    </w:p>
    <w:p w:rsidR="00DE557B" w:rsidRDefault="00DE557B" w:rsidP="004C6593">
      <w:pPr>
        <w:tabs>
          <w:tab w:val="left" w:pos="8640"/>
        </w:tabs>
        <w:ind w:right="1350"/>
        <w:rPr>
          <w:rFonts w:ascii="Arial" w:hAnsi="Arial" w:cs="Arial"/>
          <w:sz w:val="20"/>
          <w:szCs w:val="20"/>
        </w:rPr>
      </w:pPr>
    </w:p>
    <w:p w:rsidR="00DE557B" w:rsidRDefault="00DE557B" w:rsidP="004C6593">
      <w:pPr>
        <w:tabs>
          <w:tab w:val="left" w:pos="8640"/>
        </w:tabs>
        <w:spacing w:line="240" w:lineRule="auto"/>
        <w:ind w:right="1350" w:firstLine="720"/>
        <w:jc w:val="center"/>
        <w:rPr>
          <w:rFonts w:ascii="Arial" w:hAnsi="Arial" w:cs="Arial"/>
          <w:sz w:val="20"/>
          <w:szCs w:val="20"/>
        </w:rPr>
      </w:pPr>
    </w:p>
    <w:p w:rsidR="00DE557B" w:rsidRDefault="00DE557B" w:rsidP="004C6593">
      <w:pPr>
        <w:pStyle w:val="mySingleSpace"/>
        <w:tabs>
          <w:tab w:val="left" w:pos="8640"/>
        </w:tabs>
        <w:ind w:right="1350" w:firstLine="720"/>
        <w:rPr>
          <w:lang w:val="en-GB"/>
        </w:rPr>
      </w:pPr>
      <w:r>
        <w:rPr>
          <w:lang w:val="en-GB"/>
        </w:rPr>
        <w:t xml:space="preserve">* </w:t>
      </w:r>
      <w:proofErr w:type="gramStart"/>
      <w:r>
        <w:rPr>
          <w:lang w:val="en-GB"/>
        </w:rPr>
        <w:t>corresponding</w:t>
      </w:r>
      <w:proofErr w:type="gramEnd"/>
      <w:r>
        <w:rPr>
          <w:lang w:val="en-GB"/>
        </w:rPr>
        <w:t xml:space="preserve"> author: </w:t>
      </w:r>
    </w:p>
    <w:p w:rsidR="00DE557B" w:rsidRDefault="00DE557B" w:rsidP="004C6593">
      <w:pPr>
        <w:pStyle w:val="mySingleSpace"/>
        <w:tabs>
          <w:tab w:val="left" w:pos="8640"/>
        </w:tabs>
        <w:ind w:right="1350" w:firstLine="720"/>
        <w:rPr>
          <w:lang w:val="en-GB"/>
        </w:rPr>
      </w:pPr>
    </w:p>
    <w:p w:rsidR="00DE557B" w:rsidRDefault="0096483D" w:rsidP="004C6593">
      <w:pPr>
        <w:pStyle w:val="mySingleSpace"/>
        <w:tabs>
          <w:tab w:val="left" w:pos="8640"/>
        </w:tabs>
        <w:ind w:right="1350" w:firstLine="720"/>
        <w:rPr>
          <w:lang w:val="en-GB"/>
        </w:rPr>
      </w:pPr>
      <w:hyperlink r:id="rId6" w:history="1">
        <w:r w:rsidR="00DE557B">
          <w:rPr>
            <w:rStyle w:val="Hyperlink"/>
            <w:lang w:val="en-GB"/>
          </w:rPr>
          <w:t>LLT0@cdc.gov</w:t>
        </w:r>
      </w:hyperlink>
    </w:p>
    <w:p w:rsidR="00DE557B" w:rsidRDefault="00DE557B" w:rsidP="004C6593">
      <w:pPr>
        <w:pStyle w:val="mySingleSpace"/>
        <w:tabs>
          <w:tab w:val="left" w:pos="8640"/>
        </w:tabs>
        <w:ind w:right="1350" w:firstLine="720"/>
        <w:rPr>
          <w:lang w:val="en-GB"/>
        </w:rPr>
      </w:pPr>
      <w:r>
        <w:rPr>
          <w:lang w:val="en-GB"/>
        </w:rPr>
        <w:t xml:space="preserve">Phone:   (513) 841 4518 </w:t>
      </w:r>
    </w:p>
    <w:p w:rsidR="00DE557B" w:rsidRDefault="00DE557B" w:rsidP="004C6593">
      <w:pPr>
        <w:pStyle w:val="mySingleSpace"/>
        <w:tabs>
          <w:tab w:val="left" w:pos="8640"/>
        </w:tabs>
        <w:ind w:right="1350" w:firstLine="720"/>
        <w:rPr>
          <w:lang w:val="en-GB"/>
        </w:rPr>
      </w:pPr>
      <w:r>
        <w:rPr>
          <w:lang w:val="en-GB"/>
        </w:rPr>
        <w:t>Fax:   (513) 841 4545</w:t>
      </w:r>
    </w:p>
    <w:p w:rsidR="00DE557B" w:rsidRDefault="00DE557B" w:rsidP="004C6593">
      <w:pPr>
        <w:pStyle w:val="mySingleSpace"/>
        <w:tabs>
          <w:tab w:val="left" w:pos="8640"/>
        </w:tabs>
        <w:ind w:right="1350" w:firstLine="0"/>
        <w:jc w:val="left"/>
        <w:rPr>
          <w:lang w:val="en-GB"/>
        </w:rPr>
      </w:pPr>
    </w:p>
    <w:p w:rsidR="00DE557B" w:rsidRDefault="00DE557B" w:rsidP="004C6593">
      <w:pPr>
        <w:pStyle w:val="mySingleSpace"/>
        <w:tabs>
          <w:tab w:val="left" w:pos="8640"/>
        </w:tabs>
        <w:ind w:right="1350" w:firstLine="0"/>
        <w:jc w:val="left"/>
        <w:rPr>
          <w:lang w:val="en-GB"/>
        </w:rPr>
      </w:pPr>
    </w:p>
    <w:p w:rsidR="00DE557B" w:rsidRDefault="00DE557B" w:rsidP="004C6593">
      <w:pPr>
        <w:pStyle w:val="mySingleSpace"/>
        <w:tabs>
          <w:tab w:val="left" w:pos="8640"/>
        </w:tabs>
        <w:ind w:right="1350"/>
        <w:rPr>
          <w:lang w:val="en-GB"/>
        </w:rPr>
      </w:pPr>
      <w:r>
        <w:rPr>
          <w:u w:val="single"/>
          <w:lang w:val="en-GB"/>
        </w:rPr>
        <w:t>Keywords:</w:t>
      </w:r>
      <w:r>
        <w:rPr>
          <w:lang w:val="en-GB"/>
        </w:rPr>
        <w:t xml:space="preserve"> explosion hazard, dust, carbon, nanoparticle, nanomaterials</w:t>
      </w:r>
    </w:p>
    <w:p w:rsidR="00D26D32" w:rsidRPr="00590EB0" w:rsidRDefault="00D26D32" w:rsidP="004C6593">
      <w:pPr>
        <w:tabs>
          <w:tab w:val="left" w:pos="8640"/>
        </w:tabs>
        <w:spacing w:line="360" w:lineRule="auto"/>
        <w:ind w:right="1350"/>
        <w:rPr>
          <w:b/>
          <w:sz w:val="24"/>
          <w:szCs w:val="24"/>
        </w:rPr>
      </w:pPr>
      <w:r w:rsidRPr="00590EB0">
        <w:rPr>
          <w:b/>
          <w:sz w:val="24"/>
          <w:szCs w:val="24"/>
        </w:rPr>
        <w:lastRenderedPageBreak/>
        <w:t>Statistical Correlations of the Explosion Parameters</w:t>
      </w:r>
    </w:p>
    <w:p w:rsidR="00D26D32" w:rsidRDefault="00D26D32" w:rsidP="004C6593">
      <w:pPr>
        <w:tabs>
          <w:tab w:val="left" w:pos="8640"/>
        </w:tabs>
        <w:spacing w:line="360" w:lineRule="auto"/>
        <w:ind w:right="1350"/>
      </w:pPr>
      <w:r>
        <w:t>As discussed in our first paper</w:t>
      </w:r>
      <w:r w:rsidR="001803B2">
        <w:t xml:space="preserve"> [Turkevich et al. 2014]</w:t>
      </w:r>
      <w:r>
        <w:t xml:space="preserve">, the explosion severity index, </w:t>
      </w:r>
      <w:proofErr w:type="gramStart"/>
      <w:r>
        <w:t>K(</w:t>
      </w:r>
      <w:proofErr w:type="gramEnd"/>
      <w:r>
        <w:t>500), is highly correlated with the maximum explosion overpressure, P</w:t>
      </w:r>
      <w:r w:rsidRPr="00D26D32">
        <w:rPr>
          <w:vertAlign w:val="subscript"/>
        </w:rPr>
        <w:t>m</w:t>
      </w:r>
      <w:r>
        <w:t>(500) [Figure 5 of Turkevich et al. 2014]; this high degree of correlation i</w:t>
      </w:r>
      <w:r w:rsidR="00F21254">
        <w:t xml:space="preserve">s confirmed </w:t>
      </w:r>
      <w:r>
        <w:t>(R</w:t>
      </w:r>
      <w:r>
        <w:rPr>
          <w:vertAlign w:val="superscript"/>
        </w:rPr>
        <w:t>2</w:t>
      </w:r>
      <w:r w:rsidR="00FB03B9">
        <w:t xml:space="preserve"> = 0.</w:t>
      </w:r>
      <w:r>
        <w:t xml:space="preserve">9) between the global explosion severity index, </w:t>
      </w:r>
      <w:proofErr w:type="spellStart"/>
      <w:r>
        <w:t>K</w:t>
      </w:r>
      <w:r>
        <w:rPr>
          <w:vertAlign w:val="subscript"/>
        </w:rPr>
        <w:t>St</w:t>
      </w:r>
      <w:proofErr w:type="spellEnd"/>
      <w:r>
        <w:t xml:space="preserve">, and the global maximum explosion pressure, </w:t>
      </w:r>
      <w:proofErr w:type="spellStart"/>
      <w:r>
        <w:t>P</w:t>
      </w:r>
      <w:r>
        <w:rPr>
          <w:vertAlign w:val="subscript"/>
        </w:rPr>
        <w:t>max</w:t>
      </w:r>
      <w:proofErr w:type="spellEnd"/>
    </w:p>
    <w:p w:rsidR="00D26D32" w:rsidRDefault="00281755" w:rsidP="00D26D32">
      <w:pPr>
        <w:spacing w:line="360" w:lineRule="auto"/>
      </w:pPr>
      <w:r>
        <w:rPr>
          <w:noProof/>
        </w:rPr>
        <w:drawing>
          <wp:inline distT="0" distB="0" distL="0" distR="0" wp14:anchorId="2F462F51" wp14:editId="27AC5C35">
            <wp:extent cx="4572000" cy="2743200"/>
            <wp:effectExtent l="0" t="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3214C5" w:rsidRDefault="00D26D32" w:rsidP="004C6593">
      <w:pPr>
        <w:spacing w:line="360" w:lineRule="auto"/>
        <w:ind w:right="1440"/>
      </w:pPr>
      <w:r>
        <w:t xml:space="preserve">The minimum explosive concentration, MEC, is also highly correlated with both </w:t>
      </w:r>
      <w:proofErr w:type="spellStart"/>
      <w:r>
        <w:t>P</w:t>
      </w:r>
      <w:r>
        <w:rPr>
          <w:vertAlign w:val="subscript"/>
        </w:rPr>
        <w:t>max</w:t>
      </w:r>
      <w:proofErr w:type="spellEnd"/>
      <w:r>
        <w:t xml:space="preserve"> </w:t>
      </w:r>
      <w:r w:rsidR="003214C5">
        <w:t>(R</w:t>
      </w:r>
      <w:r w:rsidR="003214C5">
        <w:rPr>
          <w:vertAlign w:val="superscript"/>
        </w:rPr>
        <w:t>2</w:t>
      </w:r>
      <w:r w:rsidR="00FB03B9">
        <w:t xml:space="preserve"> = 0.7</w:t>
      </w:r>
      <w:r w:rsidR="003214C5">
        <w:t xml:space="preserve">) and with </w:t>
      </w:r>
      <w:proofErr w:type="spellStart"/>
      <w:r w:rsidR="003214C5">
        <w:t>K</w:t>
      </w:r>
      <w:r w:rsidR="003214C5">
        <w:rPr>
          <w:vertAlign w:val="subscript"/>
        </w:rPr>
        <w:t>St</w:t>
      </w:r>
      <w:proofErr w:type="spellEnd"/>
      <w:r w:rsidR="003214C5">
        <w:t xml:space="preserve"> (R</w:t>
      </w:r>
      <w:r w:rsidR="003214C5">
        <w:rPr>
          <w:vertAlign w:val="superscript"/>
        </w:rPr>
        <w:t>2</w:t>
      </w:r>
      <w:r w:rsidR="00FB03B9">
        <w:t xml:space="preserve"> = 0.8</w:t>
      </w:r>
      <w:r w:rsidR="003214C5">
        <w:t>)</w:t>
      </w:r>
    </w:p>
    <w:p w:rsidR="00281755" w:rsidRDefault="00FB03B9" w:rsidP="00FB03B9">
      <w:pPr>
        <w:spacing w:line="360" w:lineRule="auto"/>
        <w:ind w:left="-1440" w:right="-1440"/>
      </w:pPr>
      <w:r>
        <w:t xml:space="preserve">   </w:t>
      </w:r>
      <w:r>
        <w:rPr>
          <w:noProof/>
        </w:rPr>
        <w:drawing>
          <wp:inline distT="0" distB="0" distL="0" distR="0" wp14:anchorId="7BF62C89" wp14:editId="2E176E8B">
            <wp:extent cx="3381375" cy="2314575"/>
            <wp:effectExtent l="0" t="0" r="9525"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t xml:space="preserve">   </w:t>
      </w:r>
      <w:r>
        <w:rPr>
          <w:noProof/>
        </w:rPr>
        <w:drawing>
          <wp:inline distT="0" distB="0" distL="0" distR="0" wp14:anchorId="2E1DB70E" wp14:editId="45046A2E">
            <wp:extent cx="3333750" cy="2305050"/>
            <wp:effectExtent l="0" t="0" r="19050" b="1905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81755" w:rsidRDefault="00352D9F" w:rsidP="004C6593">
      <w:pPr>
        <w:spacing w:line="360" w:lineRule="auto"/>
        <w:ind w:right="1440"/>
      </w:pPr>
      <w:r>
        <w:t xml:space="preserve">As expected, the more explosive powders (high </w:t>
      </w:r>
      <w:proofErr w:type="spellStart"/>
      <w:r>
        <w:t>P</w:t>
      </w:r>
      <w:r w:rsidRPr="00352D9F">
        <w:rPr>
          <w:vertAlign w:val="subscript"/>
        </w:rPr>
        <w:t>max</w:t>
      </w:r>
      <w:proofErr w:type="spellEnd"/>
      <w:r>
        <w:t xml:space="preserve">, high </w:t>
      </w:r>
      <w:proofErr w:type="spellStart"/>
      <w:r>
        <w:t>K</w:t>
      </w:r>
      <w:r w:rsidRPr="00352D9F">
        <w:rPr>
          <w:vertAlign w:val="subscript"/>
        </w:rPr>
        <w:t>St</w:t>
      </w:r>
      <w:proofErr w:type="spellEnd"/>
      <w:r>
        <w:t>) exhibit a lower concentration threshold (MEC) for explosion.</w:t>
      </w:r>
    </w:p>
    <w:p w:rsidR="00281755" w:rsidRDefault="001803B2" w:rsidP="004C6593">
      <w:pPr>
        <w:spacing w:line="360" w:lineRule="auto"/>
        <w:ind w:right="1440"/>
      </w:pPr>
      <w:r>
        <w:lastRenderedPageBreak/>
        <w:t>However, t</w:t>
      </w:r>
      <w:r w:rsidR="00D26D32">
        <w:t>he minimum ignition energy, MIE</w:t>
      </w:r>
      <w:r w:rsidR="00590EB0">
        <w:t>,</w:t>
      </w:r>
      <w:r w:rsidR="00D26D32">
        <w:t xml:space="preserve"> is poorly correlated with </w:t>
      </w:r>
      <w:r w:rsidR="00590EB0">
        <w:t xml:space="preserve">both </w:t>
      </w:r>
      <w:proofErr w:type="spellStart"/>
      <w:r w:rsidR="00D26D32">
        <w:t>P</w:t>
      </w:r>
      <w:r w:rsidR="00D26D32">
        <w:rPr>
          <w:vertAlign w:val="subscript"/>
        </w:rPr>
        <w:t>max</w:t>
      </w:r>
      <w:proofErr w:type="spellEnd"/>
      <w:r w:rsidR="00FB03B9">
        <w:t xml:space="preserve"> (R</w:t>
      </w:r>
      <w:r w:rsidR="00FB03B9">
        <w:rPr>
          <w:vertAlign w:val="superscript"/>
        </w:rPr>
        <w:t>2</w:t>
      </w:r>
      <w:r w:rsidR="00FB03B9">
        <w:t xml:space="preserve"> = 0.2)</w:t>
      </w:r>
      <w:r w:rsidR="00FB03B9" w:rsidRPr="00FB03B9">
        <w:t xml:space="preserve"> </w:t>
      </w:r>
      <w:r w:rsidR="00FB03B9">
        <w:t xml:space="preserve">and with </w:t>
      </w:r>
      <w:proofErr w:type="spellStart"/>
      <w:r w:rsidR="00FB03B9">
        <w:t>K</w:t>
      </w:r>
      <w:r w:rsidR="00FB03B9">
        <w:rPr>
          <w:vertAlign w:val="subscript"/>
        </w:rPr>
        <w:t>St</w:t>
      </w:r>
      <w:proofErr w:type="spellEnd"/>
      <w:r w:rsidR="00FB03B9" w:rsidRPr="00FB03B9">
        <w:t xml:space="preserve"> </w:t>
      </w:r>
      <w:r w:rsidR="00FB03B9">
        <w:t>(R</w:t>
      </w:r>
      <w:r w:rsidR="00FB03B9">
        <w:rPr>
          <w:vertAlign w:val="superscript"/>
        </w:rPr>
        <w:t>2</w:t>
      </w:r>
      <w:r w:rsidR="00FB03B9">
        <w:t xml:space="preserve"> = 0.3)</w:t>
      </w:r>
    </w:p>
    <w:p w:rsidR="00281755" w:rsidRDefault="00281755" w:rsidP="00FB03B9">
      <w:pPr>
        <w:spacing w:line="360" w:lineRule="auto"/>
        <w:ind w:left="-1440" w:right="-1440"/>
      </w:pPr>
      <w:r>
        <w:rPr>
          <w:noProof/>
        </w:rPr>
        <w:drawing>
          <wp:inline distT="0" distB="0" distL="0" distR="0" wp14:anchorId="42F2689F" wp14:editId="071853F1">
            <wp:extent cx="3381375" cy="2743200"/>
            <wp:effectExtent l="0" t="0" r="9525" b="1905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FB03B9">
        <w:t xml:space="preserve">  </w:t>
      </w:r>
      <w:r w:rsidR="00FB03B9">
        <w:rPr>
          <w:noProof/>
        </w:rPr>
        <w:drawing>
          <wp:inline distT="0" distB="0" distL="0" distR="0" wp14:anchorId="0CEAF8C2" wp14:editId="2D55D8EF">
            <wp:extent cx="3381375" cy="2743200"/>
            <wp:effectExtent l="0" t="0" r="9525" b="1905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90EB0" w:rsidRPr="00352D9F" w:rsidRDefault="00352D9F" w:rsidP="004C6593">
      <w:pPr>
        <w:spacing w:line="360" w:lineRule="auto"/>
        <w:ind w:right="1440"/>
      </w:pPr>
      <w:r>
        <w:t xml:space="preserve">Although the correlation is poor, the trend is as expected, namely the more explosive materials (high </w:t>
      </w:r>
      <w:proofErr w:type="spellStart"/>
      <w:r>
        <w:t>P</w:t>
      </w:r>
      <w:r w:rsidRPr="00352D9F">
        <w:rPr>
          <w:vertAlign w:val="subscript"/>
        </w:rPr>
        <w:t>max</w:t>
      </w:r>
      <w:proofErr w:type="spellEnd"/>
      <w:r>
        <w:t xml:space="preserve">, high </w:t>
      </w:r>
      <w:proofErr w:type="spellStart"/>
      <w:r>
        <w:t>K</w:t>
      </w:r>
      <w:r w:rsidRPr="00352D9F">
        <w:rPr>
          <w:vertAlign w:val="subscript"/>
        </w:rPr>
        <w:t>St</w:t>
      </w:r>
      <w:proofErr w:type="spellEnd"/>
      <w:r>
        <w:t xml:space="preserve">) exhibit a lower ignition threshold (MIE) for explosion.  </w:t>
      </w:r>
      <w:r w:rsidR="00590EB0">
        <w:t>It is not surprising that t</w:t>
      </w:r>
      <w:r w:rsidR="00D26D32">
        <w:t>here is a similar lack of correlation (R</w:t>
      </w:r>
      <w:r w:rsidR="00D26D32">
        <w:rPr>
          <w:vertAlign w:val="superscript"/>
        </w:rPr>
        <w:t>2</w:t>
      </w:r>
      <w:r w:rsidR="00D3718C">
        <w:t xml:space="preserve"> = 0.2</w:t>
      </w:r>
      <w:r w:rsidR="00D26D32">
        <w:t>) be</w:t>
      </w:r>
      <w:r w:rsidR="00D3718C">
        <w:t>tween MIE and MEC</w:t>
      </w:r>
    </w:p>
    <w:p w:rsidR="00352D9F" w:rsidRDefault="00ED4DE2" w:rsidP="00DE557B">
      <w:pPr>
        <w:spacing w:line="360" w:lineRule="auto"/>
        <w:rPr>
          <w:rFonts w:ascii="Times New Roman" w:hAnsi="Times New Roman" w:cs="Times New Roman"/>
          <w:b/>
          <w:sz w:val="24"/>
          <w:szCs w:val="24"/>
        </w:rPr>
      </w:pPr>
      <w:r>
        <w:rPr>
          <w:noProof/>
        </w:rPr>
        <w:drawing>
          <wp:inline distT="0" distB="0" distL="0" distR="0" wp14:anchorId="11218EC7" wp14:editId="4F6F176C">
            <wp:extent cx="4572000" cy="2743200"/>
            <wp:effectExtent l="0" t="0" r="19050" b="1905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352D9F" w:rsidRDefault="00D3718C" w:rsidP="004C6593">
      <w:pPr>
        <w:spacing w:line="360" w:lineRule="auto"/>
        <w:ind w:right="1440"/>
        <w:rPr>
          <w:rFonts w:ascii="Times New Roman" w:hAnsi="Times New Roman" w:cs="Times New Roman"/>
          <w:sz w:val="24"/>
          <w:szCs w:val="24"/>
        </w:rPr>
      </w:pPr>
      <w:r>
        <w:rPr>
          <w:rFonts w:ascii="Times New Roman" w:hAnsi="Times New Roman" w:cs="Times New Roman"/>
          <w:sz w:val="24"/>
          <w:szCs w:val="24"/>
        </w:rPr>
        <w:t>A</w:t>
      </w:r>
      <w:r w:rsidR="00352D9F" w:rsidRPr="00352D9F">
        <w:rPr>
          <w:rFonts w:ascii="Times New Roman" w:hAnsi="Times New Roman" w:cs="Times New Roman"/>
          <w:sz w:val="24"/>
          <w:szCs w:val="24"/>
        </w:rPr>
        <w:t xml:space="preserve">gain, </w:t>
      </w:r>
      <w:r w:rsidR="002E0008">
        <w:rPr>
          <w:rFonts w:ascii="Times New Roman" w:hAnsi="Times New Roman" w:cs="Times New Roman"/>
          <w:sz w:val="24"/>
          <w:szCs w:val="24"/>
        </w:rPr>
        <w:t xml:space="preserve">while the correlation is poor, </w:t>
      </w:r>
      <w:r w:rsidR="00352D9F" w:rsidRPr="00352D9F">
        <w:rPr>
          <w:rFonts w:ascii="Times New Roman" w:hAnsi="Times New Roman" w:cs="Times New Roman"/>
          <w:sz w:val="24"/>
          <w:szCs w:val="24"/>
        </w:rPr>
        <w:t>the trend is as expected, namely, the materials with a low concentrati</w:t>
      </w:r>
      <w:r w:rsidR="002E0008">
        <w:rPr>
          <w:rFonts w:ascii="Times New Roman" w:hAnsi="Times New Roman" w:cs="Times New Roman"/>
          <w:sz w:val="24"/>
          <w:szCs w:val="24"/>
        </w:rPr>
        <w:t>on threshold (MEC)</w:t>
      </w:r>
      <w:r w:rsidR="00352D9F" w:rsidRPr="00352D9F">
        <w:rPr>
          <w:rFonts w:ascii="Times New Roman" w:hAnsi="Times New Roman" w:cs="Times New Roman"/>
          <w:sz w:val="24"/>
          <w:szCs w:val="24"/>
        </w:rPr>
        <w:t xml:space="preserve"> also exhibit a low igniti</w:t>
      </w:r>
      <w:r w:rsidR="002E0008">
        <w:rPr>
          <w:rFonts w:ascii="Times New Roman" w:hAnsi="Times New Roman" w:cs="Times New Roman"/>
          <w:sz w:val="24"/>
          <w:szCs w:val="24"/>
        </w:rPr>
        <w:t>on threshold (MIE)</w:t>
      </w:r>
      <w:r w:rsidR="00352D9F" w:rsidRPr="00352D9F">
        <w:rPr>
          <w:rFonts w:ascii="Times New Roman" w:hAnsi="Times New Roman" w:cs="Times New Roman"/>
          <w:sz w:val="24"/>
          <w:szCs w:val="24"/>
        </w:rPr>
        <w:t>.</w:t>
      </w:r>
      <w:r w:rsidR="00352D9F">
        <w:rPr>
          <w:rFonts w:ascii="Times New Roman" w:hAnsi="Times New Roman" w:cs="Times New Roman"/>
          <w:sz w:val="24"/>
          <w:szCs w:val="24"/>
        </w:rPr>
        <w:t xml:space="preserve">  </w:t>
      </w:r>
    </w:p>
    <w:p w:rsidR="002571CB" w:rsidRPr="00352D9F" w:rsidRDefault="00352D9F" w:rsidP="004C6593">
      <w:pPr>
        <w:spacing w:line="360" w:lineRule="auto"/>
        <w:ind w:right="1440"/>
        <w:rPr>
          <w:rFonts w:ascii="Times New Roman" w:hAnsi="Times New Roman" w:cs="Times New Roman"/>
          <w:sz w:val="24"/>
          <w:szCs w:val="24"/>
        </w:rPr>
      </w:pPr>
      <w:r>
        <w:rPr>
          <w:rFonts w:ascii="Times New Roman" w:hAnsi="Times New Roman" w:cs="Times New Roman"/>
          <w:sz w:val="24"/>
          <w:szCs w:val="24"/>
        </w:rPr>
        <w:lastRenderedPageBreak/>
        <w:t>Similar behavior obtains for the minimum ignition</w:t>
      </w:r>
      <w:r w:rsidRPr="00352D9F">
        <w:rPr>
          <w:rFonts w:ascii="Times New Roman" w:hAnsi="Times New Roman" w:cs="Times New Roman"/>
          <w:sz w:val="24"/>
          <w:szCs w:val="24"/>
        </w:rPr>
        <w:t xml:space="preserve"> </w:t>
      </w:r>
      <w:r>
        <w:rPr>
          <w:rFonts w:ascii="Times New Roman" w:hAnsi="Times New Roman" w:cs="Times New Roman"/>
          <w:sz w:val="24"/>
          <w:szCs w:val="24"/>
        </w:rPr>
        <w:t xml:space="preserve">cloud temperature: </w:t>
      </w:r>
      <w:proofErr w:type="spellStart"/>
      <w:r>
        <w:rPr>
          <w:rFonts w:ascii="Times New Roman" w:hAnsi="Times New Roman" w:cs="Times New Roman"/>
          <w:sz w:val="24"/>
          <w:szCs w:val="24"/>
        </w:rPr>
        <w:t>MIT</w:t>
      </w:r>
      <w:r w:rsidRPr="00352D9F">
        <w:rPr>
          <w:rFonts w:ascii="Times New Roman" w:hAnsi="Times New Roman" w:cs="Times New Roman"/>
          <w:sz w:val="24"/>
          <w:szCs w:val="24"/>
          <w:vertAlign w:val="subscript"/>
        </w:rPr>
        <w:t>cloud</w:t>
      </w:r>
      <w:proofErr w:type="spellEnd"/>
      <w:r>
        <w:rPr>
          <w:rFonts w:ascii="Times New Roman" w:hAnsi="Times New Roman" w:cs="Times New Roman"/>
          <w:sz w:val="24"/>
          <w:szCs w:val="24"/>
        </w:rPr>
        <w:t xml:space="preserve"> is reasonably correlated with both </w:t>
      </w:r>
      <w:proofErr w:type="spellStart"/>
      <w:r w:rsidR="002C6FAC">
        <w:rPr>
          <w:rFonts w:ascii="Times New Roman" w:hAnsi="Times New Roman" w:cs="Times New Roman"/>
          <w:sz w:val="24"/>
          <w:szCs w:val="24"/>
        </w:rPr>
        <w:t>P</w:t>
      </w:r>
      <w:r w:rsidR="002C6FAC" w:rsidRPr="002C6FAC">
        <w:rPr>
          <w:rFonts w:ascii="Times New Roman" w:hAnsi="Times New Roman" w:cs="Times New Roman"/>
          <w:sz w:val="24"/>
          <w:szCs w:val="24"/>
          <w:vertAlign w:val="subscript"/>
        </w:rPr>
        <w:t>max</w:t>
      </w:r>
      <w:proofErr w:type="spellEnd"/>
      <w:r w:rsidR="002C6FAC">
        <w:rPr>
          <w:rFonts w:ascii="Times New Roman" w:hAnsi="Times New Roman" w:cs="Times New Roman"/>
          <w:sz w:val="24"/>
          <w:szCs w:val="24"/>
        </w:rPr>
        <w:t xml:space="preserve"> (R</w:t>
      </w:r>
      <w:r w:rsidR="002C6FAC" w:rsidRPr="002C6FAC">
        <w:rPr>
          <w:rFonts w:ascii="Times New Roman" w:hAnsi="Times New Roman" w:cs="Times New Roman"/>
          <w:sz w:val="24"/>
          <w:szCs w:val="24"/>
          <w:vertAlign w:val="superscript"/>
        </w:rPr>
        <w:t>2</w:t>
      </w:r>
      <w:r w:rsidR="002C6FAC">
        <w:rPr>
          <w:rFonts w:ascii="Times New Roman" w:hAnsi="Times New Roman" w:cs="Times New Roman"/>
          <w:sz w:val="24"/>
          <w:szCs w:val="24"/>
        </w:rPr>
        <w:t xml:space="preserve"> ~ 0.6)</w:t>
      </w:r>
      <w:r w:rsidR="00D3718C" w:rsidRPr="00D3718C">
        <w:rPr>
          <w:rFonts w:ascii="Times New Roman" w:hAnsi="Times New Roman" w:cs="Times New Roman"/>
          <w:sz w:val="24"/>
          <w:szCs w:val="24"/>
        </w:rPr>
        <w:t xml:space="preserve"> </w:t>
      </w:r>
      <w:r w:rsidR="00D3718C" w:rsidRPr="002C6FAC">
        <w:rPr>
          <w:rFonts w:ascii="Times New Roman" w:hAnsi="Times New Roman" w:cs="Times New Roman"/>
          <w:sz w:val="24"/>
          <w:szCs w:val="24"/>
        </w:rPr>
        <w:t xml:space="preserve">and </w:t>
      </w:r>
      <w:proofErr w:type="spellStart"/>
      <w:r w:rsidR="00D3718C" w:rsidRPr="002C6FAC">
        <w:rPr>
          <w:rFonts w:ascii="Times New Roman" w:hAnsi="Times New Roman" w:cs="Times New Roman"/>
          <w:sz w:val="24"/>
          <w:szCs w:val="24"/>
        </w:rPr>
        <w:t>K</w:t>
      </w:r>
      <w:r w:rsidR="00D3718C" w:rsidRPr="002C6FAC">
        <w:rPr>
          <w:rFonts w:ascii="Times New Roman" w:hAnsi="Times New Roman" w:cs="Times New Roman"/>
          <w:sz w:val="24"/>
          <w:szCs w:val="24"/>
          <w:vertAlign w:val="subscript"/>
        </w:rPr>
        <w:t>St</w:t>
      </w:r>
      <w:proofErr w:type="spellEnd"/>
      <w:r w:rsidR="00D3718C" w:rsidRPr="002C6FAC">
        <w:rPr>
          <w:rFonts w:ascii="Times New Roman" w:hAnsi="Times New Roman" w:cs="Times New Roman"/>
          <w:sz w:val="24"/>
          <w:szCs w:val="24"/>
        </w:rPr>
        <w:t xml:space="preserve"> (R</w:t>
      </w:r>
      <w:r w:rsidR="00D3718C" w:rsidRPr="002C6FAC">
        <w:rPr>
          <w:rFonts w:ascii="Times New Roman" w:hAnsi="Times New Roman" w:cs="Times New Roman"/>
          <w:sz w:val="24"/>
          <w:szCs w:val="24"/>
          <w:vertAlign w:val="superscript"/>
        </w:rPr>
        <w:t>2</w:t>
      </w:r>
      <w:r w:rsidR="00D3718C" w:rsidRPr="002C6FAC">
        <w:rPr>
          <w:rFonts w:ascii="Times New Roman" w:hAnsi="Times New Roman" w:cs="Times New Roman"/>
          <w:sz w:val="24"/>
          <w:szCs w:val="24"/>
        </w:rPr>
        <w:t xml:space="preserve"> ~ 0.7)</w:t>
      </w:r>
    </w:p>
    <w:p w:rsidR="0082421B" w:rsidRDefault="00352D9F" w:rsidP="00D3718C">
      <w:pPr>
        <w:spacing w:line="360" w:lineRule="auto"/>
        <w:ind w:left="-1440" w:right="-1440"/>
        <w:rPr>
          <w:rFonts w:ascii="Times New Roman" w:hAnsi="Times New Roman" w:cs="Times New Roman"/>
          <w:b/>
          <w:sz w:val="24"/>
          <w:szCs w:val="24"/>
        </w:rPr>
      </w:pPr>
      <w:r>
        <w:rPr>
          <w:noProof/>
        </w:rPr>
        <w:drawing>
          <wp:inline distT="0" distB="0" distL="0" distR="0" wp14:anchorId="5F99C215" wp14:editId="238D6D51">
            <wp:extent cx="3524250" cy="2743200"/>
            <wp:effectExtent l="0" t="0" r="19050" b="1905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D3718C">
        <w:rPr>
          <w:rFonts w:ascii="Times New Roman" w:hAnsi="Times New Roman" w:cs="Times New Roman"/>
          <w:b/>
          <w:sz w:val="24"/>
          <w:szCs w:val="24"/>
        </w:rPr>
        <w:t xml:space="preserve">  </w:t>
      </w:r>
      <w:r w:rsidR="00D3718C">
        <w:rPr>
          <w:noProof/>
        </w:rPr>
        <w:drawing>
          <wp:inline distT="0" distB="0" distL="0" distR="0" wp14:anchorId="4BD11136" wp14:editId="2E8E322A">
            <wp:extent cx="3524250" cy="2743200"/>
            <wp:effectExtent l="0" t="0" r="19050" b="1905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2C6FAC" w:rsidRPr="002C6FAC" w:rsidRDefault="002C6FAC" w:rsidP="00773994">
      <w:pPr>
        <w:spacing w:line="360" w:lineRule="auto"/>
        <w:ind w:right="1440"/>
        <w:rPr>
          <w:rFonts w:ascii="Times New Roman" w:hAnsi="Times New Roman" w:cs="Times New Roman"/>
          <w:sz w:val="24"/>
          <w:szCs w:val="24"/>
        </w:rPr>
      </w:pPr>
      <w:proofErr w:type="gramStart"/>
      <w:r w:rsidRPr="00F1319D">
        <w:rPr>
          <w:rFonts w:ascii="Times New Roman" w:hAnsi="Times New Roman" w:cs="Times New Roman"/>
          <w:sz w:val="24"/>
          <w:szCs w:val="24"/>
        </w:rPr>
        <w:t>with</w:t>
      </w:r>
      <w:proofErr w:type="gramEnd"/>
      <w:r w:rsidRPr="00F1319D">
        <w:rPr>
          <w:rFonts w:ascii="Times New Roman" w:hAnsi="Times New Roman" w:cs="Times New Roman"/>
          <w:sz w:val="24"/>
          <w:szCs w:val="24"/>
        </w:rPr>
        <w:t xml:space="preserve"> the more explosive powders (high </w:t>
      </w:r>
      <w:proofErr w:type="spellStart"/>
      <w:r w:rsidRPr="00F1319D">
        <w:rPr>
          <w:rFonts w:ascii="Times New Roman" w:hAnsi="Times New Roman" w:cs="Times New Roman"/>
          <w:sz w:val="24"/>
          <w:szCs w:val="24"/>
        </w:rPr>
        <w:t>P</w:t>
      </w:r>
      <w:r w:rsidRPr="00F1319D">
        <w:rPr>
          <w:rFonts w:ascii="Times New Roman" w:hAnsi="Times New Roman" w:cs="Times New Roman"/>
          <w:sz w:val="24"/>
          <w:szCs w:val="24"/>
          <w:vertAlign w:val="subscript"/>
        </w:rPr>
        <w:t>max</w:t>
      </w:r>
      <w:proofErr w:type="spellEnd"/>
      <w:r w:rsidRPr="00F1319D">
        <w:rPr>
          <w:rFonts w:ascii="Times New Roman" w:hAnsi="Times New Roman" w:cs="Times New Roman"/>
          <w:sz w:val="24"/>
          <w:szCs w:val="24"/>
        </w:rPr>
        <w:t xml:space="preserve">, high </w:t>
      </w:r>
      <w:proofErr w:type="spellStart"/>
      <w:r w:rsidRPr="00F1319D">
        <w:rPr>
          <w:rFonts w:ascii="Times New Roman" w:hAnsi="Times New Roman" w:cs="Times New Roman"/>
          <w:sz w:val="24"/>
          <w:szCs w:val="24"/>
        </w:rPr>
        <w:t>K</w:t>
      </w:r>
      <w:r w:rsidRPr="00F1319D">
        <w:rPr>
          <w:rFonts w:ascii="Times New Roman" w:hAnsi="Times New Roman" w:cs="Times New Roman"/>
          <w:sz w:val="24"/>
          <w:szCs w:val="24"/>
          <w:vertAlign w:val="subscript"/>
        </w:rPr>
        <w:t>St</w:t>
      </w:r>
      <w:proofErr w:type="spellEnd"/>
      <w:r w:rsidRPr="00F1319D">
        <w:rPr>
          <w:rFonts w:ascii="Times New Roman" w:hAnsi="Times New Roman" w:cs="Times New Roman"/>
          <w:sz w:val="24"/>
          <w:szCs w:val="24"/>
        </w:rPr>
        <w:t>) exhibiting a lower temperature threshold (</w:t>
      </w:r>
      <w:proofErr w:type="spellStart"/>
      <w:r w:rsidRPr="00F1319D">
        <w:rPr>
          <w:rFonts w:ascii="Times New Roman" w:hAnsi="Times New Roman" w:cs="Times New Roman"/>
          <w:sz w:val="24"/>
          <w:szCs w:val="24"/>
        </w:rPr>
        <w:t>MIT</w:t>
      </w:r>
      <w:r w:rsidRPr="00F1319D">
        <w:rPr>
          <w:rFonts w:ascii="Times New Roman" w:hAnsi="Times New Roman" w:cs="Times New Roman"/>
          <w:sz w:val="24"/>
          <w:szCs w:val="24"/>
          <w:vertAlign w:val="subscript"/>
        </w:rPr>
        <w:t>cloud</w:t>
      </w:r>
      <w:proofErr w:type="spellEnd"/>
      <w:r w:rsidRPr="00F1319D">
        <w:rPr>
          <w:rFonts w:ascii="Times New Roman" w:hAnsi="Times New Roman" w:cs="Times New Roman"/>
          <w:sz w:val="24"/>
          <w:szCs w:val="24"/>
        </w:rPr>
        <w:t>) for explosion.  There is poor correlation (R</w:t>
      </w:r>
      <w:r w:rsidRPr="00F1319D">
        <w:rPr>
          <w:rFonts w:ascii="Times New Roman" w:hAnsi="Times New Roman" w:cs="Times New Roman"/>
          <w:sz w:val="24"/>
          <w:szCs w:val="24"/>
          <w:vertAlign w:val="superscript"/>
        </w:rPr>
        <w:t>2</w:t>
      </w:r>
      <w:r w:rsidRPr="00F1319D">
        <w:rPr>
          <w:rFonts w:ascii="Times New Roman" w:hAnsi="Times New Roman" w:cs="Times New Roman"/>
          <w:sz w:val="24"/>
          <w:szCs w:val="24"/>
        </w:rPr>
        <w:t xml:space="preserve"> ~ 0.3) between </w:t>
      </w:r>
      <w:proofErr w:type="spellStart"/>
      <w:r w:rsidRPr="00F1319D">
        <w:rPr>
          <w:rFonts w:ascii="Times New Roman" w:hAnsi="Times New Roman" w:cs="Times New Roman"/>
          <w:sz w:val="24"/>
          <w:szCs w:val="24"/>
        </w:rPr>
        <w:t>MIT</w:t>
      </w:r>
      <w:r w:rsidRPr="00F1319D">
        <w:rPr>
          <w:rFonts w:ascii="Times New Roman" w:hAnsi="Times New Roman" w:cs="Times New Roman"/>
          <w:sz w:val="24"/>
          <w:szCs w:val="24"/>
          <w:vertAlign w:val="subscript"/>
        </w:rPr>
        <w:t>cloud</w:t>
      </w:r>
      <w:proofErr w:type="spellEnd"/>
      <w:r w:rsidRPr="00F1319D">
        <w:rPr>
          <w:rFonts w:ascii="Times New Roman" w:hAnsi="Times New Roman" w:cs="Times New Roman"/>
          <w:sz w:val="24"/>
          <w:szCs w:val="24"/>
          <w:vertAlign w:val="subscript"/>
        </w:rPr>
        <w:t xml:space="preserve"> </w:t>
      </w:r>
      <w:r w:rsidR="005D12D1">
        <w:rPr>
          <w:rFonts w:ascii="Times New Roman" w:hAnsi="Times New Roman" w:cs="Times New Roman"/>
          <w:sz w:val="24"/>
          <w:szCs w:val="24"/>
        </w:rPr>
        <w:t>and MEC</w:t>
      </w:r>
      <w:r w:rsidR="005D12D1" w:rsidRPr="005D12D1">
        <w:rPr>
          <w:rFonts w:ascii="Times New Roman" w:hAnsi="Times New Roman" w:cs="Times New Roman"/>
          <w:sz w:val="24"/>
          <w:szCs w:val="24"/>
        </w:rPr>
        <w:t xml:space="preserve"> </w:t>
      </w:r>
      <w:r w:rsidR="005D12D1" w:rsidRPr="002C6FAC">
        <w:rPr>
          <w:rFonts w:ascii="Times New Roman" w:hAnsi="Times New Roman" w:cs="Times New Roman"/>
          <w:sz w:val="24"/>
          <w:szCs w:val="24"/>
        </w:rPr>
        <w:t>and</w:t>
      </w:r>
      <w:r w:rsidR="005D12D1">
        <w:rPr>
          <w:rFonts w:ascii="Times New Roman" w:hAnsi="Times New Roman" w:cs="Times New Roman"/>
          <w:sz w:val="24"/>
          <w:szCs w:val="24"/>
        </w:rPr>
        <w:t xml:space="preserve"> also</w:t>
      </w:r>
      <w:r w:rsidR="005D12D1" w:rsidRPr="002C6FAC">
        <w:rPr>
          <w:rFonts w:ascii="Times New Roman" w:hAnsi="Times New Roman" w:cs="Times New Roman"/>
          <w:sz w:val="24"/>
          <w:szCs w:val="24"/>
        </w:rPr>
        <w:t xml:space="preserve"> (R</w:t>
      </w:r>
      <w:r w:rsidR="005D12D1" w:rsidRPr="002C6FAC">
        <w:rPr>
          <w:rFonts w:ascii="Times New Roman" w:hAnsi="Times New Roman" w:cs="Times New Roman"/>
          <w:sz w:val="24"/>
          <w:szCs w:val="24"/>
          <w:vertAlign w:val="superscript"/>
        </w:rPr>
        <w:t>2</w:t>
      </w:r>
      <w:r w:rsidR="005D12D1" w:rsidRPr="002C6FAC">
        <w:rPr>
          <w:rFonts w:ascii="Times New Roman" w:hAnsi="Times New Roman" w:cs="Times New Roman"/>
          <w:sz w:val="24"/>
          <w:szCs w:val="24"/>
        </w:rPr>
        <w:t xml:space="preserve"> ~ 0.3) </w:t>
      </w:r>
      <w:r w:rsidR="005D12D1">
        <w:rPr>
          <w:rFonts w:ascii="Times New Roman" w:hAnsi="Times New Roman" w:cs="Times New Roman"/>
          <w:sz w:val="24"/>
          <w:szCs w:val="24"/>
        </w:rPr>
        <w:t xml:space="preserve">between </w:t>
      </w:r>
      <w:proofErr w:type="spellStart"/>
      <w:r w:rsidR="005D12D1">
        <w:rPr>
          <w:rFonts w:ascii="Times New Roman" w:hAnsi="Times New Roman" w:cs="Times New Roman"/>
          <w:sz w:val="24"/>
          <w:szCs w:val="24"/>
        </w:rPr>
        <w:t>MIT</w:t>
      </w:r>
      <w:r w:rsidR="005D12D1" w:rsidRPr="00F1319D">
        <w:rPr>
          <w:rFonts w:ascii="Times New Roman" w:hAnsi="Times New Roman" w:cs="Times New Roman"/>
          <w:sz w:val="24"/>
          <w:szCs w:val="24"/>
          <w:vertAlign w:val="subscript"/>
        </w:rPr>
        <w:t>cloud</w:t>
      </w:r>
      <w:proofErr w:type="spellEnd"/>
      <w:r w:rsidR="005D12D1">
        <w:rPr>
          <w:rFonts w:ascii="Times New Roman" w:hAnsi="Times New Roman" w:cs="Times New Roman"/>
          <w:sz w:val="24"/>
          <w:szCs w:val="24"/>
        </w:rPr>
        <w:t xml:space="preserve"> and </w:t>
      </w:r>
      <w:r w:rsidR="005D12D1" w:rsidRPr="002C6FAC">
        <w:rPr>
          <w:rFonts w:ascii="Times New Roman" w:hAnsi="Times New Roman" w:cs="Times New Roman"/>
          <w:sz w:val="24"/>
          <w:szCs w:val="24"/>
        </w:rPr>
        <w:t>MIE</w:t>
      </w:r>
    </w:p>
    <w:p w:rsidR="00352D9F" w:rsidRDefault="00352D9F" w:rsidP="005D12D1">
      <w:pPr>
        <w:spacing w:line="360" w:lineRule="auto"/>
        <w:ind w:left="-1440" w:right="-1440"/>
        <w:rPr>
          <w:rFonts w:ascii="Times New Roman" w:hAnsi="Times New Roman" w:cs="Times New Roman"/>
          <w:b/>
          <w:sz w:val="24"/>
          <w:szCs w:val="24"/>
        </w:rPr>
      </w:pPr>
      <w:r>
        <w:rPr>
          <w:noProof/>
        </w:rPr>
        <w:drawing>
          <wp:inline distT="0" distB="0" distL="0" distR="0" wp14:anchorId="332EF034" wp14:editId="2AC1CF43">
            <wp:extent cx="3486150" cy="2743200"/>
            <wp:effectExtent l="0" t="0" r="19050" b="1905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5D12D1">
        <w:rPr>
          <w:rFonts w:ascii="Times New Roman" w:hAnsi="Times New Roman" w:cs="Times New Roman"/>
          <w:b/>
          <w:sz w:val="24"/>
          <w:szCs w:val="24"/>
        </w:rPr>
        <w:t xml:space="preserve">   </w:t>
      </w:r>
      <w:r w:rsidR="005D12D1">
        <w:rPr>
          <w:noProof/>
        </w:rPr>
        <w:drawing>
          <wp:inline distT="0" distB="0" distL="0" distR="0" wp14:anchorId="18863645" wp14:editId="6FDCC131">
            <wp:extent cx="3486150" cy="2743200"/>
            <wp:effectExtent l="0" t="0" r="19050" b="19050"/>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5D12D1" w:rsidRDefault="005D12D1" w:rsidP="00773994">
      <w:pPr>
        <w:spacing w:line="360" w:lineRule="auto"/>
        <w:ind w:right="1440"/>
        <w:rPr>
          <w:rFonts w:ascii="Times New Roman" w:hAnsi="Times New Roman" w:cs="Times New Roman"/>
          <w:sz w:val="24"/>
          <w:szCs w:val="24"/>
        </w:rPr>
      </w:pPr>
      <w:r w:rsidRPr="005D12D1">
        <w:rPr>
          <w:rFonts w:ascii="Times New Roman" w:hAnsi="Times New Roman" w:cs="Times New Roman"/>
          <w:sz w:val="24"/>
          <w:szCs w:val="24"/>
        </w:rPr>
        <w:t>A</w:t>
      </w:r>
      <w:r w:rsidR="002C6FAC" w:rsidRPr="005D12D1">
        <w:rPr>
          <w:rFonts w:ascii="Times New Roman" w:hAnsi="Times New Roman" w:cs="Times New Roman"/>
          <w:sz w:val="24"/>
          <w:szCs w:val="24"/>
        </w:rPr>
        <w:t>gain</w:t>
      </w:r>
      <w:r w:rsidR="002C6FAC" w:rsidRPr="002C6FAC">
        <w:rPr>
          <w:rFonts w:ascii="Times New Roman" w:hAnsi="Times New Roman" w:cs="Times New Roman"/>
          <w:sz w:val="24"/>
          <w:szCs w:val="24"/>
        </w:rPr>
        <w:t>,</w:t>
      </w:r>
      <w:r w:rsidR="002E0008">
        <w:rPr>
          <w:rFonts w:ascii="Times New Roman" w:hAnsi="Times New Roman" w:cs="Times New Roman"/>
          <w:sz w:val="24"/>
          <w:szCs w:val="24"/>
        </w:rPr>
        <w:t xml:space="preserve"> while the correlation is poor,</w:t>
      </w:r>
      <w:r w:rsidR="002C6FAC" w:rsidRPr="002C6FAC">
        <w:rPr>
          <w:rFonts w:ascii="Times New Roman" w:hAnsi="Times New Roman" w:cs="Times New Roman"/>
          <w:sz w:val="24"/>
          <w:szCs w:val="24"/>
        </w:rPr>
        <w:t xml:space="preserve"> in both cases, the trend is as expected, namely, that materials with low concentration (MEC) and ignition (MIE) thresholds for explosion also exhibit a low temperature threshold (</w:t>
      </w:r>
      <w:proofErr w:type="spellStart"/>
      <w:r w:rsidR="002C6FAC" w:rsidRPr="002C6FAC">
        <w:rPr>
          <w:rFonts w:ascii="Times New Roman" w:hAnsi="Times New Roman" w:cs="Times New Roman"/>
          <w:sz w:val="24"/>
          <w:szCs w:val="24"/>
        </w:rPr>
        <w:t>MIT</w:t>
      </w:r>
      <w:r w:rsidR="002C6FAC" w:rsidRPr="002C6FAC">
        <w:rPr>
          <w:rFonts w:ascii="Times New Roman" w:hAnsi="Times New Roman" w:cs="Times New Roman"/>
          <w:sz w:val="24"/>
          <w:szCs w:val="24"/>
          <w:vertAlign w:val="subscript"/>
        </w:rPr>
        <w:t>cloud</w:t>
      </w:r>
      <w:proofErr w:type="spellEnd"/>
      <w:r w:rsidR="002C6FAC" w:rsidRPr="002C6FAC">
        <w:rPr>
          <w:rFonts w:ascii="Times New Roman" w:hAnsi="Times New Roman" w:cs="Times New Roman"/>
          <w:sz w:val="24"/>
          <w:szCs w:val="24"/>
        </w:rPr>
        <w:t>) for explosion.</w:t>
      </w:r>
    </w:p>
    <w:p w:rsidR="00DE557B" w:rsidRPr="005D12D1" w:rsidRDefault="00DE557B" w:rsidP="00773994">
      <w:pPr>
        <w:spacing w:line="360" w:lineRule="auto"/>
        <w:ind w:right="1440"/>
        <w:rPr>
          <w:rFonts w:ascii="Times New Roman" w:hAnsi="Times New Roman" w:cs="Times New Roman"/>
          <w:sz w:val="24"/>
          <w:szCs w:val="24"/>
        </w:rPr>
      </w:pPr>
      <w:r>
        <w:rPr>
          <w:rFonts w:ascii="Times New Roman" w:hAnsi="Times New Roman" w:cs="Times New Roman"/>
          <w:b/>
          <w:sz w:val="24"/>
          <w:szCs w:val="24"/>
        </w:rPr>
        <w:lastRenderedPageBreak/>
        <w:t>Statistical Correlation with Aggregate Particle Size.</w:t>
      </w:r>
    </w:p>
    <w:p w:rsidR="000D3B83" w:rsidRDefault="000D3B83" w:rsidP="00773994">
      <w:pPr>
        <w:spacing w:line="360" w:lineRule="auto"/>
        <w:ind w:right="1440"/>
      </w:pPr>
      <w:r>
        <w:t>We believe that aggregation of the primary particles is not a significant determinant of the explosion parameters.  As indicated in the main paper, there is no evidence of any tightly bound aggregates from our electron micrographs (either before or after explosion).  We believe that aggregation has, at best, a minimal effect on the explosion parameters of the carbonaceous nanomaterials.</w:t>
      </w:r>
    </w:p>
    <w:p w:rsidR="000D3B83" w:rsidRDefault="000D3B83" w:rsidP="00773994">
      <w:pPr>
        <w:spacing w:line="360" w:lineRule="auto"/>
        <w:ind w:right="1440"/>
      </w:pPr>
    </w:p>
    <w:p w:rsidR="0036772A" w:rsidRDefault="002E0008" w:rsidP="00773994">
      <w:pPr>
        <w:spacing w:line="360" w:lineRule="auto"/>
        <w:ind w:right="1440"/>
      </w:pPr>
      <w:r>
        <w:t>As discussed in the main paper, w</w:t>
      </w:r>
      <w:r w:rsidR="000D3B83">
        <w:t xml:space="preserve">e have measured aggregate particle size distributions with light scattering (CILAS 1064).  We have attempted to correlate the various parameters that characterize those distributions with the measured explosion parameters.  </w:t>
      </w:r>
      <w:r w:rsidR="0036772A">
        <w:t>The aggregate size distributions are all broad and multimodal</w:t>
      </w:r>
      <w:r>
        <w:t xml:space="preserve"> (main paper, Figure 1)</w:t>
      </w:r>
      <w:r w:rsidR="0036772A">
        <w:t xml:space="preserve">.  Statistically, we may identify a mean size, </w:t>
      </w:r>
      <w:proofErr w:type="spellStart"/>
      <w:r w:rsidR="0036772A">
        <w:t>d</w:t>
      </w:r>
      <w:r w:rsidR="0036772A" w:rsidRPr="0036772A">
        <w:rPr>
          <w:vertAlign w:val="subscript"/>
        </w:rPr>
        <w:t>mean</w:t>
      </w:r>
      <w:proofErr w:type="spellEnd"/>
      <w:r w:rsidR="0036772A">
        <w:t>, and the size of the mode</w:t>
      </w:r>
      <w:r w:rsidR="0061642C">
        <w:t xml:space="preserve"> (</w:t>
      </w:r>
      <w:proofErr w:type="spellStart"/>
      <w:r w:rsidR="0061642C">
        <w:t>cumulant</w:t>
      </w:r>
      <w:proofErr w:type="spellEnd"/>
      <w:r w:rsidR="0061642C">
        <w:t xml:space="preserve"> midpoint)</w:t>
      </w:r>
      <w:r w:rsidR="0036772A">
        <w:t>, d</w:t>
      </w:r>
      <w:r w:rsidR="0036772A" w:rsidRPr="0036772A">
        <w:rPr>
          <w:vertAlign w:val="subscript"/>
        </w:rPr>
        <w:t>50</w:t>
      </w:r>
      <w:r w:rsidR="0036772A">
        <w:t xml:space="preserve">; qualitatively, we may also identify the size, </w:t>
      </w:r>
      <w:proofErr w:type="spellStart"/>
      <w:r w:rsidR="0036772A">
        <w:t>d</w:t>
      </w:r>
      <w:r w:rsidR="0036772A" w:rsidRPr="0036772A">
        <w:rPr>
          <w:vertAlign w:val="subscript"/>
        </w:rPr>
        <w:t>dom</w:t>
      </w:r>
      <w:proofErr w:type="spellEnd"/>
      <w:r w:rsidR="0036772A">
        <w:t xml:space="preserve">, of the dominant mode, as well as the sizes, </w:t>
      </w:r>
      <w:proofErr w:type="spellStart"/>
      <w:r w:rsidR="0036772A">
        <w:t>d</w:t>
      </w:r>
      <w:r w:rsidR="0036772A" w:rsidRPr="0036772A">
        <w:rPr>
          <w:vertAlign w:val="subscript"/>
        </w:rPr>
        <w:t>max</w:t>
      </w:r>
      <w:proofErr w:type="spellEnd"/>
      <w:r w:rsidR="0036772A">
        <w:t xml:space="preserve"> and </w:t>
      </w:r>
      <w:proofErr w:type="spellStart"/>
      <w:r w:rsidR="0036772A">
        <w:t>d</w:t>
      </w:r>
      <w:r w:rsidR="0036772A" w:rsidRPr="0036772A">
        <w:rPr>
          <w:vertAlign w:val="subscript"/>
        </w:rPr>
        <w:t>min</w:t>
      </w:r>
      <w:proofErr w:type="spellEnd"/>
      <w:r w:rsidR="0036772A">
        <w:t xml:space="preserve">, of the largest and smallest modes, respectively.  </w:t>
      </w:r>
      <w:r w:rsidR="00773994">
        <w:t xml:space="preserve">  </w:t>
      </w:r>
      <w:r w:rsidR="0061642C">
        <w:t xml:space="preserve">As most of the weight is </w:t>
      </w:r>
      <w:r>
        <w:t xml:space="preserve">at </w:t>
      </w:r>
      <w:r w:rsidR="0061642C">
        <w:t xml:space="preserve">the </w:t>
      </w:r>
      <w:r w:rsidR="0036772A">
        <w:t xml:space="preserve">upper end of the distributions, the parameters, </w:t>
      </w:r>
      <w:proofErr w:type="spellStart"/>
      <w:r w:rsidR="0036772A">
        <w:t>d</w:t>
      </w:r>
      <w:r w:rsidR="0036772A">
        <w:rPr>
          <w:vertAlign w:val="subscript"/>
        </w:rPr>
        <w:t>mean</w:t>
      </w:r>
      <w:proofErr w:type="spellEnd"/>
      <w:r w:rsidR="0036772A">
        <w:t>, d</w:t>
      </w:r>
      <w:r w:rsidR="0036772A">
        <w:rPr>
          <w:vertAlign w:val="subscript"/>
        </w:rPr>
        <w:t>50</w:t>
      </w:r>
      <w:r w:rsidR="0036772A">
        <w:t xml:space="preserve">, </w:t>
      </w:r>
      <w:proofErr w:type="spellStart"/>
      <w:r w:rsidR="0036772A">
        <w:t>d</w:t>
      </w:r>
      <w:r w:rsidR="0036772A">
        <w:rPr>
          <w:vertAlign w:val="subscript"/>
        </w:rPr>
        <w:t>dom</w:t>
      </w:r>
      <w:proofErr w:type="spellEnd"/>
      <w:r w:rsidR="0036772A">
        <w:t xml:space="preserve">, </w:t>
      </w:r>
      <w:proofErr w:type="spellStart"/>
      <w:r w:rsidR="0036772A">
        <w:t>d</w:t>
      </w:r>
      <w:r w:rsidR="0036772A">
        <w:rPr>
          <w:vertAlign w:val="subscript"/>
        </w:rPr>
        <w:t>max</w:t>
      </w:r>
      <w:proofErr w:type="spellEnd"/>
      <w:r w:rsidR="0036772A">
        <w:t xml:space="preserve"> are essentially equivalent.</w:t>
      </w:r>
    </w:p>
    <w:p w:rsidR="0036772A" w:rsidRDefault="0036772A" w:rsidP="00773994">
      <w:pPr>
        <w:spacing w:line="360" w:lineRule="auto"/>
        <w:ind w:right="1440"/>
      </w:pPr>
    </w:p>
    <w:p w:rsidR="0036772A" w:rsidRPr="00CA51FB" w:rsidRDefault="0036772A" w:rsidP="00773994">
      <w:pPr>
        <w:spacing w:line="360" w:lineRule="auto"/>
        <w:ind w:right="1440"/>
      </w:pPr>
      <w:r>
        <w:t xml:space="preserve">There are weak </w:t>
      </w:r>
      <w:r w:rsidR="0061642C">
        <w:t xml:space="preserve">statistical </w:t>
      </w:r>
      <w:r>
        <w:t>correlations (R</w:t>
      </w:r>
      <w:r w:rsidRPr="0036772A">
        <w:rPr>
          <w:vertAlign w:val="superscript"/>
        </w:rPr>
        <w:t>2</w:t>
      </w:r>
      <w:r>
        <w:t xml:space="preserve"> ~ 0.6) of </w:t>
      </w:r>
      <w:proofErr w:type="spellStart"/>
      <w:r>
        <w:t>P</w:t>
      </w:r>
      <w:r w:rsidRPr="0036772A">
        <w:rPr>
          <w:vertAlign w:val="subscript"/>
        </w:rPr>
        <w:t>max</w:t>
      </w:r>
      <w:proofErr w:type="spellEnd"/>
      <w:r>
        <w:t xml:space="preserve"> with </w:t>
      </w:r>
      <w:proofErr w:type="spellStart"/>
      <w:r>
        <w:t>d</w:t>
      </w:r>
      <w:r>
        <w:rPr>
          <w:vertAlign w:val="subscript"/>
        </w:rPr>
        <w:t>mean</w:t>
      </w:r>
      <w:proofErr w:type="spellEnd"/>
      <w:r>
        <w:t>, d</w:t>
      </w:r>
      <w:r>
        <w:rPr>
          <w:vertAlign w:val="subscript"/>
        </w:rPr>
        <w:t>50</w:t>
      </w:r>
      <w:r>
        <w:t xml:space="preserve">, </w:t>
      </w:r>
      <w:proofErr w:type="spellStart"/>
      <w:r>
        <w:t>d</w:t>
      </w:r>
      <w:r>
        <w:rPr>
          <w:vertAlign w:val="subscript"/>
        </w:rPr>
        <w:t>dom</w:t>
      </w:r>
      <w:proofErr w:type="spellEnd"/>
      <w:r>
        <w:t xml:space="preserve">, </w:t>
      </w:r>
      <w:proofErr w:type="spellStart"/>
      <w:r>
        <w:t>d</w:t>
      </w:r>
      <w:r>
        <w:rPr>
          <w:vertAlign w:val="subscript"/>
        </w:rPr>
        <w:t>max</w:t>
      </w:r>
      <w:proofErr w:type="spellEnd"/>
    </w:p>
    <w:p w:rsidR="0036772A" w:rsidRPr="004B5E67" w:rsidRDefault="004B5E67" w:rsidP="004B5E67">
      <w:pPr>
        <w:spacing w:line="360" w:lineRule="auto"/>
        <w:ind w:left="-1440" w:right="-1440"/>
      </w:pPr>
      <w:r>
        <w:rPr>
          <w:noProof/>
        </w:rPr>
        <w:drawing>
          <wp:inline distT="0" distB="0" distL="0" distR="0" wp14:anchorId="3396B020" wp14:editId="36EF7E50">
            <wp:extent cx="3629025" cy="2743200"/>
            <wp:effectExtent l="0" t="0" r="9525" b="19050"/>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CA51FB">
        <w:rPr>
          <w:vertAlign w:val="subscript"/>
        </w:rPr>
        <w:t xml:space="preserve"> </w:t>
      </w:r>
      <w:r>
        <w:t xml:space="preserve">  </w:t>
      </w:r>
      <w:r>
        <w:rPr>
          <w:noProof/>
        </w:rPr>
        <w:drawing>
          <wp:inline distT="0" distB="0" distL="0" distR="0" wp14:anchorId="092054E5" wp14:editId="38658200">
            <wp:extent cx="3648075" cy="2743200"/>
            <wp:effectExtent l="0" t="0" r="9525" b="1905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4B5E67" w:rsidRPr="004B5E67" w:rsidRDefault="004B5E67" w:rsidP="004B5E67">
      <w:pPr>
        <w:spacing w:line="360" w:lineRule="auto"/>
        <w:ind w:left="-1440" w:right="-1440"/>
      </w:pPr>
    </w:p>
    <w:p w:rsidR="002E0008" w:rsidRDefault="00CA51FB" w:rsidP="002E0008">
      <w:pPr>
        <w:spacing w:line="360" w:lineRule="auto"/>
        <w:ind w:left="-1440" w:right="-1440"/>
      </w:pPr>
      <w:r>
        <w:rPr>
          <w:noProof/>
        </w:rPr>
        <w:drawing>
          <wp:inline distT="0" distB="0" distL="0" distR="0" wp14:anchorId="42E8A490" wp14:editId="71FE02C0">
            <wp:extent cx="3657600" cy="2743200"/>
            <wp:effectExtent l="0" t="0" r="19050" b="1905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004B5E67">
        <w:t xml:space="preserve">   </w:t>
      </w:r>
      <w:r w:rsidR="004B5E67">
        <w:rPr>
          <w:noProof/>
        </w:rPr>
        <w:drawing>
          <wp:inline distT="0" distB="0" distL="0" distR="0" wp14:anchorId="38BC62CE" wp14:editId="2E27579F">
            <wp:extent cx="3629025" cy="2743200"/>
            <wp:effectExtent l="0" t="0" r="9525" b="1905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36772A" w:rsidRDefault="002E0008" w:rsidP="002E0008">
      <w:pPr>
        <w:spacing w:line="360" w:lineRule="auto"/>
        <w:ind w:right="-1440"/>
      </w:pPr>
      <w:r>
        <w:t>There are</w:t>
      </w:r>
      <w:r w:rsidR="0036772A">
        <w:t xml:space="preserve"> similar weak </w:t>
      </w:r>
      <w:r w:rsidR="0061642C">
        <w:t xml:space="preserve">statistical </w:t>
      </w:r>
      <w:r w:rsidR="0036772A">
        <w:t>correlations (R</w:t>
      </w:r>
      <w:r w:rsidR="0036772A" w:rsidRPr="0036772A">
        <w:rPr>
          <w:vertAlign w:val="superscript"/>
        </w:rPr>
        <w:t>2</w:t>
      </w:r>
      <w:r w:rsidR="0036772A">
        <w:t xml:space="preserve"> ~ 0.6) of </w:t>
      </w:r>
      <w:proofErr w:type="spellStart"/>
      <w:r w:rsidR="0036772A">
        <w:t>K</w:t>
      </w:r>
      <w:r w:rsidR="0036772A" w:rsidRPr="0036772A">
        <w:rPr>
          <w:vertAlign w:val="subscript"/>
        </w:rPr>
        <w:t>St</w:t>
      </w:r>
      <w:proofErr w:type="spellEnd"/>
      <w:r w:rsidR="0036772A">
        <w:t xml:space="preserve"> with </w:t>
      </w:r>
      <w:proofErr w:type="spellStart"/>
      <w:r w:rsidR="0036772A">
        <w:t>d</w:t>
      </w:r>
      <w:r w:rsidR="0036772A">
        <w:rPr>
          <w:vertAlign w:val="subscript"/>
        </w:rPr>
        <w:t>mean</w:t>
      </w:r>
      <w:proofErr w:type="spellEnd"/>
      <w:r w:rsidR="0036772A">
        <w:t>, d</w:t>
      </w:r>
      <w:r w:rsidR="0036772A">
        <w:rPr>
          <w:vertAlign w:val="subscript"/>
        </w:rPr>
        <w:t>50</w:t>
      </w:r>
      <w:r w:rsidR="0036772A">
        <w:t xml:space="preserve">, </w:t>
      </w:r>
      <w:proofErr w:type="spellStart"/>
      <w:r w:rsidR="0036772A">
        <w:t>d</w:t>
      </w:r>
      <w:r w:rsidR="0036772A">
        <w:rPr>
          <w:vertAlign w:val="subscript"/>
        </w:rPr>
        <w:t>dom</w:t>
      </w:r>
      <w:proofErr w:type="spellEnd"/>
      <w:r w:rsidR="0036772A">
        <w:t xml:space="preserve">, </w:t>
      </w:r>
      <w:proofErr w:type="spellStart"/>
      <w:r w:rsidR="0036772A">
        <w:t>d</w:t>
      </w:r>
      <w:r w:rsidR="0036772A">
        <w:rPr>
          <w:vertAlign w:val="subscript"/>
        </w:rPr>
        <w:t>max</w:t>
      </w:r>
      <w:proofErr w:type="spellEnd"/>
    </w:p>
    <w:p w:rsidR="004B5E67" w:rsidRDefault="00C27EBA" w:rsidP="004B5E67">
      <w:pPr>
        <w:spacing w:line="360" w:lineRule="auto"/>
        <w:ind w:left="-1440" w:right="-1440"/>
      </w:pPr>
      <w:r>
        <w:t xml:space="preserve"> </w:t>
      </w:r>
      <w:r>
        <w:rPr>
          <w:noProof/>
        </w:rPr>
        <w:drawing>
          <wp:inline distT="0" distB="0" distL="0" distR="0" wp14:anchorId="64297ACF" wp14:editId="26593815">
            <wp:extent cx="3629025" cy="2743200"/>
            <wp:effectExtent l="0" t="0" r="9525" b="1905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004B5E67">
        <w:t xml:space="preserve">  </w:t>
      </w:r>
      <w:r w:rsidR="004B5E67">
        <w:rPr>
          <w:noProof/>
        </w:rPr>
        <w:drawing>
          <wp:inline distT="0" distB="0" distL="0" distR="0" wp14:anchorId="71C56E85" wp14:editId="3E2DD71B">
            <wp:extent cx="3619500" cy="2743200"/>
            <wp:effectExtent l="0" t="0" r="19050" b="19050"/>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C27EBA" w:rsidRDefault="00E102A3" w:rsidP="004B5E67">
      <w:pPr>
        <w:spacing w:line="360" w:lineRule="auto"/>
        <w:ind w:left="-1440" w:right="-1440"/>
      </w:pPr>
      <w:r>
        <w:t xml:space="preserve"> </w:t>
      </w:r>
    </w:p>
    <w:p w:rsidR="00773994" w:rsidRDefault="00C27EBA" w:rsidP="00773994">
      <w:pPr>
        <w:spacing w:line="360" w:lineRule="auto"/>
        <w:ind w:left="-1440" w:right="-1440"/>
      </w:pPr>
      <w:r>
        <w:lastRenderedPageBreak/>
        <w:t xml:space="preserve"> </w:t>
      </w:r>
      <w:r w:rsidR="00E102A3">
        <w:rPr>
          <w:noProof/>
        </w:rPr>
        <w:drawing>
          <wp:inline distT="0" distB="0" distL="0" distR="0" wp14:anchorId="5F4CA750" wp14:editId="1ABB92C3">
            <wp:extent cx="3581400" cy="2743200"/>
            <wp:effectExtent l="0" t="0" r="19050" b="1905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sidR="004C6593">
        <w:t xml:space="preserve">   </w:t>
      </w:r>
      <w:r w:rsidR="004C6593">
        <w:rPr>
          <w:noProof/>
        </w:rPr>
        <w:drawing>
          <wp:inline distT="0" distB="0" distL="0" distR="0" wp14:anchorId="28FA0F7E" wp14:editId="1C3127A6">
            <wp:extent cx="3648075" cy="2743200"/>
            <wp:effectExtent l="0" t="0" r="9525" b="1905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7E5CA4" w:rsidRDefault="00773994" w:rsidP="00773994">
      <w:pPr>
        <w:spacing w:line="360" w:lineRule="auto"/>
        <w:ind w:right="1440"/>
      </w:pPr>
      <w:r>
        <w:t>Statistically, the smaller the aggregate, the less explosive</w:t>
      </w:r>
      <w:r w:rsidR="0061642C">
        <w:t xml:space="preserve"> is</w:t>
      </w:r>
      <w:r>
        <w:t xml:space="preserve"> the material—i.e. smaller </w:t>
      </w:r>
      <w:proofErr w:type="spellStart"/>
      <w:r>
        <w:t>P</w:t>
      </w:r>
      <w:r w:rsidRPr="007B376F">
        <w:rPr>
          <w:vertAlign w:val="subscript"/>
        </w:rPr>
        <w:t>max</w:t>
      </w:r>
      <w:proofErr w:type="spellEnd"/>
      <w:r>
        <w:t xml:space="preserve"> and smaller </w:t>
      </w:r>
      <w:proofErr w:type="spellStart"/>
      <w:r>
        <w:t>K</w:t>
      </w:r>
      <w:r w:rsidRPr="007B376F">
        <w:rPr>
          <w:vertAlign w:val="subscript"/>
        </w:rPr>
        <w:t>St</w:t>
      </w:r>
      <w:proofErr w:type="spellEnd"/>
      <w:r w:rsidR="0061642C">
        <w:t>.  H</w:t>
      </w:r>
      <w:r>
        <w:t xml:space="preserve">owever, under the </w:t>
      </w:r>
      <w:proofErr w:type="spellStart"/>
      <w:r>
        <w:t>NanoSafe</w:t>
      </w:r>
      <w:proofErr w:type="spellEnd"/>
      <w:r>
        <w:t xml:space="preserve"> hypothesis, the smaller aggregates should be more explosive.  </w:t>
      </w:r>
      <w:r w:rsidR="002E0008">
        <w:t xml:space="preserve">Thus the </w:t>
      </w:r>
      <w:proofErr w:type="spellStart"/>
      <w:r w:rsidR="002E0008">
        <w:t>NanoSafe</w:t>
      </w:r>
      <w:proofErr w:type="spellEnd"/>
      <w:r w:rsidR="007E5CA4">
        <w:t xml:space="preserve"> model is not supported by the statistical correlation.</w:t>
      </w:r>
    </w:p>
    <w:p w:rsidR="007E5CA4" w:rsidRDefault="007E5CA4" w:rsidP="00773994">
      <w:pPr>
        <w:spacing w:line="360" w:lineRule="auto"/>
        <w:ind w:right="1440"/>
      </w:pPr>
    </w:p>
    <w:p w:rsidR="00F21254" w:rsidRDefault="007E5CA4" w:rsidP="00773994">
      <w:pPr>
        <w:spacing w:line="360" w:lineRule="auto"/>
        <w:ind w:right="1440"/>
      </w:pPr>
      <w:r>
        <w:t xml:space="preserve">With such a limited data set, it is impossible to </w:t>
      </w:r>
      <w:proofErr w:type="spellStart"/>
      <w:r>
        <w:t>deconvolute</w:t>
      </w:r>
      <w:proofErr w:type="spellEnd"/>
      <w:r>
        <w:t xml:space="preserve"> the effect of aggregate particle size from the effect of allotrope on explosion severity; e.g. on the above correlation plots,</w:t>
      </w:r>
      <w:r w:rsidRPr="007E5CA4">
        <w:t xml:space="preserve"> </w:t>
      </w:r>
      <w:r>
        <w:t>the most explosive material, fullerene (</w:t>
      </w:r>
      <w:proofErr w:type="spellStart"/>
      <w:r>
        <w:t>P</w:t>
      </w:r>
      <w:r w:rsidRPr="007E5CA4">
        <w:rPr>
          <w:vertAlign w:val="subscript"/>
        </w:rPr>
        <w:t>max</w:t>
      </w:r>
      <w:proofErr w:type="spellEnd"/>
      <w:r>
        <w:t xml:space="preserve"> = 8 bar, </w:t>
      </w:r>
      <w:proofErr w:type="spellStart"/>
      <w:r>
        <w:t>K</w:t>
      </w:r>
      <w:r w:rsidRPr="007E5CA4">
        <w:rPr>
          <w:vertAlign w:val="subscript"/>
        </w:rPr>
        <w:t>St</w:t>
      </w:r>
      <w:proofErr w:type="spellEnd"/>
      <w:r>
        <w:t xml:space="preserve"> = 199 bar-m/s), is always upper right, and the least explosive material, graphite (</w:t>
      </w:r>
      <w:proofErr w:type="spellStart"/>
      <w:r>
        <w:t>P</w:t>
      </w:r>
      <w:r w:rsidRPr="007E5CA4">
        <w:rPr>
          <w:vertAlign w:val="subscript"/>
        </w:rPr>
        <w:t>max</w:t>
      </w:r>
      <w:proofErr w:type="spellEnd"/>
      <w:r>
        <w:t xml:space="preserve"> = 6.3 bar, </w:t>
      </w:r>
      <w:proofErr w:type="spellStart"/>
      <w:r>
        <w:t>K</w:t>
      </w:r>
      <w:r w:rsidRPr="007E5CA4">
        <w:rPr>
          <w:vertAlign w:val="subscript"/>
        </w:rPr>
        <w:t>St</w:t>
      </w:r>
      <w:proofErr w:type="spellEnd"/>
      <w:r>
        <w:t xml:space="preserve"> = 64 bar-m/s), is always lower left.</w:t>
      </w:r>
      <w:r w:rsidR="00F21254">
        <w:t xml:space="preserve">  Given the established dependence of explosion severity on allotrope [Tu</w:t>
      </w:r>
      <w:r w:rsidR="002E0008">
        <w:t>rkevich et al. 2014], it is difficult to extract</w:t>
      </w:r>
      <w:r w:rsidR="00F21254">
        <w:t xml:space="preserve"> any additional influence of </w:t>
      </w:r>
      <w:r w:rsidR="00773994">
        <w:t>aggregate particle</w:t>
      </w:r>
      <w:r w:rsidR="00F21254">
        <w:t xml:space="preserve"> size </w:t>
      </w:r>
      <w:r w:rsidR="00773994">
        <w:t>on the severity of the carbo</w:t>
      </w:r>
      <w:r w:rsidR="00F21254">
        <w:t>naceous explosions.</w:t>
      </w:r>
    </w:p>
    <w:p w:rsidR="00F21254" w:rsidRDefault="00F21254" w:rsidP="00773994">
      <w:pPr>
        <w:spacing w:line="360" w:lineRule="auto"/>
        <w:ind w:right="1440"/>
      </w:pPr>
    </w:p>
    <w:p w:rsidR="00773994" w:rsidRPr="00F21254" w:rsidRDefault="00F21254" w:rsidP="00773994">
      <w:pPr>
        <w:spacing w:line="360" w:lineRule="auto"/>
        <w:ind w:right="1440"/>
      </w:pPr>
      <w:r>
        <w:t>For</w:t>
      </w:r>
      <w:r w:rsidR="00053600">
        <w:t xml:space="preserve"> completeness, we have also examined the potential correlation with the lower end of the distribution, </w:t>
      </w:r>
      <w:proofErr w:type="spellStart"/>
      <w:r w:rsidR="00053600">
        <w:t>d</w:t>
      </w:r>
      <w:r w:rsidR="00053600" w:rsidRPr="00053600">
        <w:rPr>
          <w:vertAlign w:val="subscript"/>
        </w:rPr>
        <w:t>min</w:t>
      </w:r>
      <w:proofErr w:type="spellEnd"/>
      <w:r w:rsidR="00053600">
        <w:t>; t</w:t>
      </w:r>
      <w:r w:rsidR="000D3B83">
        <w:t>he</w:t>
      </w:r>
      <w:r w:rsidR="00773994">
        <w:t>re is poor correlation of</w:t>
      </w:r>
      <w:r w:rsidR="00053600">
        <w:t xml:space="preserve"> both</w:t>
      </w:r>
      <w:r w:rsidR="000D3B83">
        <w:t xml:space="preserve"> </w:t>
      </w:r>
      <w:proofErr w:type="spellStart"/>
      <w:r w:rsidR="000C5479">
        <w:t>P</w:t>
      </w:r>
      <w:r w:rsidR="000D3B83">
        <w:rPr>
          <w:vertAlign w:val="subscript"/>
        </w:rPr>
        <w:t>max</w:t>
      </w:r>
      <w:proofErr w:type="spellEnd"/>
      <w:r w:rsidR="000D3B83">
        <w:t xml:space="preserve"> (R</w:t>
      </w:r>
      <w:r w:rsidR="000D3B83">
        <w:rPr>
          <w:vertAlign w:val="superscript"/>
        </w:rPr>
        <w:t>2</w:t>
      </w:r>
      <w:r w:rsidR="002E0008">
        <w:t xml:space="preserve"> ~ </w:t>
      </w:r>
      <w:r w:rsidR="00773994">
        <w:t xml:space="preserve">0.1) and </w:t>
      </w:r>
      <w:proofErr w:type="spellStart"/>
      <w:r w:rsidR="007B376F">
        <w:t>K</w:t>
      </w:r>
      <w:r w:rsidR="007B376F" w:rsidRPr="007B376F">
        <w:rPr>
          <w:vertAlign w:val="subscript"/>
        </w:rPr>
        <w:t>S</w:t>
      </w:r>
      <w:r w:rsidR="000D3B83" w:rsidRPr="007B376F">
        <w:rPr>
          <w:vertAlign w:val="subscript"/>
        </w:rPr>
        <w:t>t</w:t>
      </w:r>
      <w:proofErr w:type="spellEnd"/>
      <w:r w:rsidR="000D3B83">
        <w:t xml:space="preserve"> (R</w:t>
      </w:r>
      <w:r w:rsidR="000D3B83">
        <w:rPr>
          <w:vertAlign w:val="superscript"/>
        </w:rPr>
        <w:t>2</w:t>
      </w:r>
      <w:r w:rsidR="007B376F">
        <w:t xml:space="preserve"> ~ 0.2</w:t>
      </w:r>
      <w:r w:rsidR="00773994">
        <w:t xml:space="preserve">) with </w:t>
      </w:r>
      <w:proofErr w:type="spellStart"/>
      <w:r w:rsidR="00773994">
        <w:t>d</w:t>
      </w:r>
      <w:r w:rsidR="00773994" w:rsidRPr="00773994">
        <w:rPr>
          <w:vertAlign w:val="subscript"/>
        </w:rPr>
        <w:t>min</w:t>
      </w:r>
      <w:proofErr w:type="spellEnd"/>
    </w:p>
    <w:p w:rsidR="00A01368" w:rsidRDefault="00773994" w:rsidP="00773994">
      <w:pPr>
        <w:spacing w:line="360" w:lineRule="auto"/>
        <w:ind w:left="-1440" w:right="-1440"/>
      </w:pPr>
      <w:r>
        <w:lastRenderedPageBreak/>
        <w:t>.</w:t>
      </w:r>
      <w:r w:rsidR="00C27EBA">
        <w:rPr>
          <w:noProof/>
        </w:rPr>
        <w:drawing>
          <wp:inline distT="0" distB="0" distL="0" distR="0" wp14:anchorId="106A9751" wp14:editId="643BA9CF">
            <wp:extent cx="3600450" cy="2743200"/>
            <wp:effectExtent l="0" t="0" r="19050" b="1905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t xml:space="preserve">  </w:t>
      </w:r>
      <w:r>
        <w:rPr>
          <w:noProof/>
        </w:rPr>
        <w:drawing>
          <wp:inline distT="0" distB="0" distL="0" distR="0" wp14:anchorId="5FEE4A8E" wp14:editId="53AF1A0D">
            <wp:extent cx="3600450" cy="2743200"/>
            <wp:effectExtent l="0" t="0" r="19050" b="1905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C37AC0" w:rsidRDefault="00C37AC0" w:rsidP="00DE557B">
      <w:pPr>
        <w:spacing w:line="360" w:lineRule="auto"/>
      </w:pPr>
    </w:p>
    <w:p w:rsidR="00C37AC0" w:rsidRDefault="00C37AC0" w:rsidP="00DE557B">
      <w:pPr>
        <w:spacing w:line="360" w:lineRule="auto"/>
      </w:pPr>
      <w:r>
        <w:t>Similarly, we have attempted to correlate MEC with ag</w:t>
      </w:r>
      <w:r w:rsidR="00590EB0">
        <w:t>gre</w:t>
      </w:r>
      <w:r w:rsidR="002E0008">
        <w:t>gate particle size</w:t>
      </w:r>
      <w:r>
        <w:t>.  The correlation is weak (R</w:t>
      </w:r>
      <w:r w:rsidRPr="00C37AC0">
        <w:rPr>
          <w:vertAlign w:val="superscript"/>
        </w:rPr>
        <w:t>2</w:t>
      </w:r>
      <w:r>
        <w:t xml:space="preserve"> ~ 0.6) for </w:t>
      </w:r>
      <w:proofErr w:type="spellStart"/>
      <w:r>
        <w:t>d</w:t>
      </w:r>
      <w:r w:rsidRPr="00C37AC0">
        <w:rPr>
          <w:vertAlign w:val="subscript"/>
        </w:rPr>
        <w:t>mean</w:t>
      </w:r>
      <w:proofErr w:type="spellEnd"/>
      <w:r>
        <w:t>, d</w:t>
      </w:r>
      <w:r w:rsidRPr="00C37AC0">
        <w:rPr>
          <w:vertAlign w:val="subscript"/>
        </w:rPr>
        <w:t>50</w:t>
      </w:r>
      <w:r>
        <w:t xml:space="preserve">, </w:t>
      </w:r>
      <w:proofErr w:type="spellStart"/>
      <w:r>
        <w:t>d</w:t>
      </w:r>
      <w:r w:rsidRPr="00C37AC0">
        <w:rPr>
          <w:vertAlign w:val="subscript"/>
        </w:rPr>
        <w:t>dom</w:t>
      </w:r>
      <w:proofErr w:type="spellEnd"/>
      <w:r>
        <w:t xml:space="preserve">, </w:t>
      </w:r>
      <w:proofErr w:type="spellStart"/>
      <w:r>
        <w:t>d</w:t>
      </w:r>
      <w:r w:rsidRPr="00C37AC0">
        <w:rPr>
          <w:vertAlign w:val="subscript"/>
        </w:rPr>
        <w:t>max</w:t>
      </w:r>
      <w:proofErr w:type="spellEnd"/>
      <w:r>
        <w:t xml:space="preserve"> </w:t>
      </w:r>
    </w:p>
    <w:p w:rsidR="007B376F" w:rsidRDefault="0092225E" w:rsidP="0061642C">
      <w:pPr>
        <w:spacing w:line="360" w:lineRule="auto"/>
        <w:ind w:left="-1440" w:right="-180"/>
      </w:pPr>
      <w:r>
        <w:rPr>
          <w:noProof/>
        </w:rPr>
        <w:drawing>
          <wp:inline distT="0" distB="0" distL="0" distR="0" wp14:anchorId="25F3139F" wp14:editId="7944913A">
            <wp:extent cx="3638550" cy="2743200"/>
            <wp:effectExtent l="0" t="0" r="19050" b="1905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r w:rsidR="0061642C">
        <w:t xml:space="preserve">  </w:t>
      </w:r>
      <w:r w:rsidR="0061642C">
        <w:rPr>
          <w:noProof/>
        </w:rPr>
        <w:drawing>
          <wp:inline distT="0" distB="0" distL="0" distR="0" wp14:anchorId="56844F70" wp14:editId="2CE84EC9">
            <wp:extent cx="3638550" cy="2743200"/>
            <wp:effectExtent l="0" t="0" r="19050" b="19050"/>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92225E" w:rsidRDefault="0092225E" w:rsidP="0061642C">
      <w:pPr>
        <w:spacing w:line="360" w:lineRule="auto"/>
        <w:ind w:left="-1440"/>
      </w:pPr>
      <w:r>
        <w:rPr>
          <w:noProof/>
        </w:rPr>
        <w:lastRenderedPageBreak/>
        <w:drawing>
          <wp:inline distT="0" distB="0" distL="0" distR="0" wp14:anchorId="74F86E69" wp14:editId="09BF9D34">
            <wp:extent cx="3590925" cy="2743200"/>
            <wp:effectExtent l="0" t="0" r="9525" b="1905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sidR="0061642C">
        <w:t xml:space="preserve">  </w:t>
      </w:r>
      <w:r w:rsidR="0061642C">
        <w:rPr>
          <w:noProof/>
        </w:rPr>
        <w:drawing>
          <wp:inline distT="0" distB="0" distL="0" distR="0" wp14:anchorId="0C3FBBB5" wp14:editId="0410C169">
            <wp:extent cx="3590925" cy="2743200"/>
            <wp:effectExtent l="0" t="0" r="9525" b="1905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F25565" w:rsidRDefault="00F25565" w:rsidP="0061642C">
      <w:pPr>
        <w:spacing w:line="360" w:lineRule="auto"/>
        <w:ind w:left="-1440"/>
      </w:pPr>
    </w:p>
    <w:p w:rsidR="002E0008" w:rsidRDefault="0061642C" w:rsidP="002E684B">
      <w:pPr>
        <w:spacing w:line="360" w:lineRule="auto"/>
        <w:ind w:right="1440"/>
      </w:pPr>
      <w:r>
        <w:t xml:space="preserve">Again, the weak </w:t>
      </w:r>
      <w:r w:rsidR="002E684B">
        <w:t>statistical correlation contradicts</w:t>
      </w:r>
      <w:r>
        <w:t xml:space="preserve"> the </w:t>
      </w:r>
      <w:proofErr w:type="spellStart"/>
      <w:r>
        <w:t>NanoSafe</w:t>
      </w:r>
      <w:proofErr w:type="spellEnd"/>
      <w:r>
        <w:t xml:space="preserve"> hypothesis, namely,</w:t>
      </w:r>
      <w:r w:rsidR="002E0008">
        <w:t xml:space="preserve"> while the smaller aggregates </w:t>
      </w:r>
      <w:r w:rsidR="0049416D">
        <w:t>should be</w:t>
      </w:r>
      <w:r w:rsidR="002E0008">
        <w:t xml:space="preserve"> more explosive, statistically,</w:t>
      </w:r>
      <w:r>
        <w:t xml:space="preserve"> the </w:t>
      </w:r>
      <w:r w:rsidR="002E0008">
        <w:t>smaller aggregates</w:t>
      </w:r>
      <w:r>
        <w:t xml:space="preserve"> exhibit a higher threshold MEC for explosion.</w:t>
      </w:r>
    </w:p>
    <w:p w:rsidR="002E0008" w:rsidRDefault="002E0008" w:rsidP="002E684B">
      <w:pPr>
        <w:spacing w:line="360" w:lineRule="auto"/>
        <w:ind w:right="1440"/>
      </w:pPr>
    </w:p>
    <w:p w:rsidR="0061642C" w:rsidRDefault="0061642C" w:rsidP="002E684B">
      <w:pPr>
        <w:spacing w:line="360" w:lineRule="auto"/>
        <w:ind w:right="1440"/>
      </w:pPr>
      <w:r>
        <w:t>The</w:t>
      </w:r>
      <w:r w:rsidR="002E0008">
        <w:t>re is no</w:t>
      </w:r>
      <w:r>
        <w:t xml:space="preserve"> correlation</w:t>
      </w:r>
      <w:r w:rsidR="002E0008">
        <w:t xml:space="preserve"> of MEC with</w:t>
      </w:r>
      <w:r>
        <w:t xml:space="preserve"> </w:t>
      </w:r>
      <w:proofErr w:type="spellStart"/>
      <w:r>
        <w:t>d</w:t>
      </w:r>
      <w:r w:rsidRPr="00C37AC0">
        <w:rPr>
          <w:vertAlign w:val="subscript"/>
        </w:rPr>
        <w:t>min</w:t>
      </w:r>
      <w:proofErr w:type="spellEnd"/>
      <w:r w:rsidR="002E0008">
        <w:t xml:space="preserve"> (R</w:t>
      </w:r>
      <w:r w:rsidR="002E0008" w:rsidRPr="00C37AC0">
        <w:rPr>
          <w:vertAlign w:val="superscript"/>
        </w:rPr>
        <w:t>2</w:t>
      </w:r>
      <w:r w:rsidR="002E0008">
        <w:t xml:space="preserve"> ~ 0.1)</w:t>
      </w:r>
    </w:p>
    <w:p w:rsidR="0092225E" w:rsidRDefault="0092225E" w:rsidP="002E684B">
      <w:pPr>
        <w:spacing w:line="360" w:lineRule="auto"/>
        <w:ind w:right="1440"/>
      </w:pPr>
      <w:r>
        <w:rPr>
          <w:noProof/>
        </w:rPr>
        <w:drawing>
          <wp:inline distT="0" distB="0" distL="0" distR="0" wp14:anchorId="2D19C5BB" wp14:editId="50C3665B">
            <wp:extent cx="4572000" cy="2743200"/>
            <wp:effectExtent l="0" t="0" r="19050" b="1905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F21254" w:rsidRDefault="00F21254" w:rsidP="002E684B">
      <w:pPr>
        <w:spacing w:line="360" w:lineRule="auto"/>
        <w:ind w:right="1440"/>
      </w:pPr>
    </w:p>
    <w:p w:rsidR="00F21254" w:rsidRPr="000D3B83" w:rsidRDefault="00F21254" w:rsidP="002E684B">
      <w:pPr>
        <w:spacing w:line="360" w:lineRule="auto"/>
        <w:ind w:right="1440"/>
      </w:pPr>
      <w:r>
        <w:lastRenderedPageBreak/>
        <w:t xml:space="preserve">We have not attempted </w:t>
      </w:r>
      <w:r w:rsidR="002E0008">
        <w:t xml:space="preserve">to correlate </w:t>
      </w:r>
      <w:r w:rsidR="002E684B">
        <w:t xml:space="preserve">the more limited data sets for </w:t>
      </w:r>
      <w:r>
        <w:t xml:space="preserve">MIE, </w:t>
      </w:r>
      <w:proofErr w:type="spellStart"/>
      <w:r>
        <w:t>MIT</w:t>
      </w:r>
      <w:r w:rsidRPr="00F21254">
        <w:rPr>
          <w:vertAlign w:val="subscript"/>
        </w:rPr>
        <w:t>cloud</w:t>
      </w:r>
      <w:proofErr w:type="spellEnd"/>
      <w:r w:rsidRPr="00F21254">
        <w:rPr>
          <w:vertAlign w:val="subscript"/>
        </w:rPr>
        <w:t xml:space="preserve"> </w:t>
      </w:r>
      <w:r w:rsidR="002E0008">
        <w:t>with</w:t>
      </w:r>
      <w:r>
        <w:t xml:space="preserve"> the aggregate particle siz</w:t>
      </w:r>
      <w:r w:rsidR="00296522">
        <w:t>e distribution parameters</w:t>
      </w:r>
      <w:r>
        <w:t>.</w:t>
      </w:r>
    </w:p>
    <w:sectPr w:rsidR="00F21254" w:rsidRPr="000D3B83" w:rsidSect="004B5E67">
      <w:pgSz w:w="12240" w:h="15840"/>
      <w:pgMar w:top="1440" w:right="36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80D15"/>
    <w:multiLevelType w:val="hybridMultilevel"/>
    <w:tmpl w:val="2DEAB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4214CF"/>
    <w:multiLevelType w:val="hybridMultilevel"/>
    <w:tmpl w:val="12406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6347E57"/>
    <w:multiLevelType w:val="hybridMultilevel"/>
    <w:tmpl w:val="48FC3D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6E61C80"/>
    <w:multiLevelType w:val="hybridMultilevel"/>
    <w:tmpl w:val="02165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D95C41"/>
    <w:multiLevelType w:val="hybridMultilevel"/>
    <w:tmpl w:val="FBBCF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462494"/>
    <w:multiLevelType w:val="hybridMultilevel"/>
    <w:tmpl w:val="9FCE46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25B82DB6"/>
    <w:multiLevelType w:val="hybridMultilevel"/>
    <w:tmpl w:val="73AADF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272C79FE"/>
    <w:multiLevelType w:val="hybridMultilevel"/>
    <w:tmpl w:val="B39E5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6424024"/>
    <w:multiLevelType w:val="hybridMultilevel"/>
    <w:tmpl w:val="4D8E94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3CAF4E79"/>
    <w:multiLevelType w:val="hybridMultilevel"/>
    <w:tmpl w:val="7CAC6D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3E963A17"/>
    <w:multiLevelType w:val="hybridMultilevel"/>
    <w:tmpl w:val="926E2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2F0208D"/>
    <w:multiLevelType w:val="hybridMultilevel"/>
    <w:tmpl w:val="E1E818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44F000B7"/>
    <w:multiLevelType w:val="hybridMultilevel"/>
    <w:tmpl w:val="132E1E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53D97647"/>
    <w:multiLevelType w:val="hybridMultilevel"/>
    <w:tmpl w:val="C646FD8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4">
    <w:nsid w:val="5A8B4110"/>
    <w:multiLevelType w:val="hybridMultilevel"/>
    <w:tmpl w:val="333840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5CF01F64"/>
    <w:multiLevelType w:val="hybridMultilevel"/>
    <w:tmpl w:val="B016E1B2"/>
    <w:lvl w:ilvl="0" w:tplc="0409000F">
      <w:start w:val="1"/>
      <w:numFmt w:val="decimal"/>
      <w:lvlText w:val="%1."/>
      <w:lvlJc w:val="left"/>
      <w:pPr>
        <w:ind w:left="720" w:hanging="360"/>
      </w:pPr>
      <w:rPr>
        <w:b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6DD67067"/>
    <w:multiLevelType w:val="hybridMultilevel"/>
    <w:tmpl w:val="F09AC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06E77F1"/>
    <w:multiLevelType w:val="hybridMultilevel"/>
    <w:tmpl w:val="6BEE24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7A962171"/>
    <w:multiLevelType w:val="hybridMultilevel"/>
    <w:tmpl w:val="64767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17"/>
  </w:num>
  <w:num w:numId="4">
    <w:abstractNumId w:val="12"/>
  </w:num>
  <w:num w:numId="5">
    <w:abstractNumId w:val="5"/>
  </w:num>
  <w:num w:numId="6">
    <w:abstractNumId w:val="14"/>
  </w:num>
  <w:num w:numId="7">
    <w:abstractNumId w:val="8"/>
  </w:num>
  <w:num w:numId="8">
    <w:abstractNumId w:val="11"/>
  </w:num>
  <w:num w:numId="9">
    <w:abstractNumId w:val="6"/>
  </w:num>
  <w:num w:numId="10">
    <w:abstractNumId w:val="2"/>
  </w:num>
  <w:num w:numId="11">
    <w:abstractNumId w:val="1"/>
  </w:num>
  <w:num w:numId="12">
    <w:abstractNumId w:val="15"/>
  </w:num>
  <w:num w:numId="13">
    <w:abstractNumId w:val="16"/>
  </w:num>
  <w:num w:numId="14">
    <w:abstractNumId w:val="4"/>
  </w:num>
  <w:num w:numId="15">
    <w:abstractNumId w:val="0"/>
  </w:num>
  <w:num w:numId="16">
    <w:abstractNumId w:val="13"/>
  </w:num>
  <w:num w:numId="17">
    <w:abstractNumId w:val="7"/>
  </w:num>
  <w:num w:numId="18">
    <w:abstractNumId w:val="10"/>
  </w:num>
  <w:num w:numId="19">
    <w:abstractNumId w:val="18"/>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438C"/>
    <w:rsid w:val="00053600"/>
    <w:rsid w:val="000C5479"/>
    <w:rsid w:val="000D3B83"/>
    <w:rsid w:val="000F0DF0"/>
    <w:rsid w:val="001803B2"/>
    <w:rsid w:val="001D29C0"/>
    <w:rsid w:val="00241BDF"/>
    <w:rsid w:val="002571CB"/>
    <w:rsid w:val="00272621"/>
    <w:rsid w:val="00281755"/>
    <w:rsid w:val="00296522"/>
    <w:rsid w:val="002C6FAC"/>
    <w:rsid w:val="002E0008"/>
    <w:rsid w:val="002E684B"/>
    <w:rsid w:val="003175EE"/>
    <w:rsid w:val="003214C5"/>
    <w:rsid w:val="00352D9F"/>
    <w:rsid w:val="0036772A"/>
    <w:rsid w:val="00402B26"/>
    <w:rsid w:val="004326D6"/>
    <w:rsid w:val="0043454F"/>
    <w:rsid w:val="00474BA7"/>
    <w:rsid w:val="0049416D"/>
    <w:rsid w:val="004B5E67"/>
    <w:rsid w:val="004C6593"/>
    <w:rsid w:val="004E6208"/>
    <w:rsid w:val="00503D00"/>
    <w:rsid w:val="00541CAE"/>
    <w:rsid w:val="00575B41"/>
    <w:rsid w:val="00590EB0"/>
    <w:rsid w:val="005B150E"/>
    <w:rsid w:val="005B1DBA"/>
    <w:rsid w:val="005D12D1"/>
    <w:rsid w:val="0061642C"/>
    <w:rsid w:val="00712737"/>
    <w:rsid w:val="0071436B"/>
    <w:rsid w:val="00736AC7"/>
    <w:rsid w:val="00750EF7"/>
    <w:rsid w:val="00755181"/>
    <w:rsid w:val="00773994"/>
    <w:rsid w:val="007B376F"/>
    <w:rsid w:val="007C2A24"/>
    <w:rsid w:val="007E5CA4"/>
    <w:rsid w:val="007F11E1"/>
    <w:rsid w:val="0082421B"/>
    <w:rsid w:val="00851872"/>
    <w:rsid w:val="008631CD"/>
    <w:rsid w:val="00906CB3"/>
    <w:rsid w:val="0092225E"/>
    <w:rsid w:val="009469B1"/>
    <w:rsid w:val="0096483D"/>
    <w:rsid w:val="009D438C"/>
    <w:rsid w:val="00A01368"/>
    <w:rsid w:val="00A54050"/>
    <w:rsid w:val="00A96182"/>
    <w:rsid w:val="00B4434E"/>
    <w:rsid w:val="00B52D05"/>
    <w:rsid w:val="00B92BA3"/>
    <w:rsid w:val="00BA43C0"/>
    <w:rsid w:val="00C27EBA"/>
    <w:rsid w:val="00C37AC0"/>
    <w:rsid w:val="00CA51FB"/>
    <w:rsid w:val="00CE2D6D"/>
    <w:rsid w:val="00D106DA"/>
    <w:rsid w:val="00D26D32"/>
    <w:rsid w:val="00D3718C"/>
    <w:rsid w:val="00D93E64"/>
    <w:rsid w:val="00DE557B"/>
    <w:rsid w:val="00E102A3"/>
    <w:rsid w:val="00EC059F"/>
    <w:rsid w:val="00ED4DE2"/>
    <w:rsid w:val="00F11CA6"/>
    <w:rsid w:val="00F1319D"/>
    <w:rsid w:val="00F21254"/>
    <w:rsid w:val="00F25565"/>
    <w:rsid w:val="00F63E66"/>
    <w:rsid w:val="00F77226"/>
    <w:rsid w:val="00FB03B9"/>
    <w:rsid w:val="00FB2266"/>
    <w:rsid w:val="00FD7C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75B41"/>
    <w:pPr>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575B41"/>
    <w:rPr>
      <w:color w:val="0000FF"/>
      <w:u w:val="single"/>
    </w:rPr>
  </w:style>
  <w:style w:type="paragraph" w:styleId="ListParagraph">
    <w:name w:val="List Paragraph"/>
    <w:basedOn w:val="Normal"/>
    <w:uiPriority w:val="34"/>
    <w:qFormat/>
    <w:rsid w:val="00575B41"/>
    <w:pPr>
      <w:ind w:left="720"/>
      <w:contextualSpacing/>
    </w:pPr>
  </w:style>
  <w:style w:type="paragraph" w:customStyle="1" w:styleId="mySingleSpace">
    <w:name w:val="mySingleSpace"/>
    <w:basedOn w:val="Normal"/>
    <w:rsid w:val="00DE557B"/>
    <w:pPr>
      <w:spacing w:after="0" w:line="240" w:lineRule="auto"/>
      <w:ind w:firstLine="360"/>
      <w:jc w:val="center"/>
    </w:pPr>
    <w:rPr>
      <w:rFonts w:ascii="Arial" w:eastAsia="Times New Roman" w:hAnsi="Arial" w:cs="Times New Roman"/>
      <w:sz w:val="24"/>
      <w:szCs w:val="24"/>
    </w:rPr>
  </w:style>
  <w:style w:type="paragraph" w:styleId="BalloonText">
    <w:name w:val="Balloon Text"/>
    <w:basedOn w:val="Normal"/>
    <w:link w:val="BalloonTextChar"/>
    <w:rsid w:val="002817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281755"/>
    <w:rPr>
      <w:rFonts w:ascii="Tahoma" w:eastAsiaTheme="minorHAns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75B41"/>
    <w:pPr>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575B41"/>
    <w:rPr>
      <w:color w:val="0000FF"/>
      <w:u w:val="single"/>
    </w:rPr>
  </w:style>
  <w:style w:type="paragraph" w:styleId="ListParagraph">
    <w:name w:val="List Paragraph"/>
    <w:basedOn w:val="Normal"/>
    <w:uiPriority w:val="34"/>
    <w:qFormat/>
    <w:rsid w:val="00575B41"/>
    <w:pPr>
      <w:ind w:left="720"/>
      <w:contextualSpacing/>
    </w:pPr>
  </w:style>
  <w:style w:type="paragraph" w:customStyle="1" w:styleId="mySingleSpace">
    <w:name w:val="mySingleSpace"/>
    <w:basedOn w:val="Normal"/>
    <w:rsid w:val="00DE557B"/>
    <w:pPr>
      <w:spacing w:after="0" w:line="240" w:lineRule="auto"/>
      <w:ind w:firstLine="360"/>
      <w:jc w:val="center"/>
    </w:pPr>
    <w:rPr>
      <w:rFonts w:ascii="Arial" w:eastAsia="Times New Roman" w:hAnsi="Arial" w:cs="Times New Roman"/>
      <w:sz w:val="24"/>
      <w:szCs w:val="24"/>
    </w:rPr>
  </w:style>
  <w:style w:type="paragraph" w:styleId="BalloonText">
    <w:name w:val="Balloon Text"/>
    <w:basedOn w:val="Normal"/>
    <w:link w:val="BalloonTextChar"/>
    <w:rsid w:val="002817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281755"/>
    <w:rPr>
      <w:rFonts w:ascii="Tahoma" w:eastAsiaTheme="minorHAns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6378">
      <w:bodyDiv w:val="1"/>
      <w:marLeft w:val="0"/>
      <w:marRight w:val="0"/>
      <w:marTop w:val="0"/>
      <w:marBottom w:val="0"/>
      <w:divBdr>
        <w:top w:val="none" w:sz="0" w:space="0" w:color="auto"/>
        <w:left w:val="none" w:sz="0" w:space="0" w:color="auto"/>
        <w:bottom w:val="none" w:sz="0" w:space="0" w:color="auto"/>
        <w:right w:val="none" w:sz="0" w:space="0" w:color="auto"/>
      </w:divBdr>
    </w:div>
    <w:div w:id="1386873278">
      <w:bodyDiv w:val="1"/>
      <w:marLeft w:val="0"/>
      <w:marRight w:val="0"/>
      <w:marTop w:val="0"/>
      <w:marBottom w:val="0"/>
      <w:divBdr>
        <w:top w:val="none" w:sz="0" w:space="0" w:color="auto"/>
        <w:left w:val="none" w:sz="0" w:space="0" w:color="auto"/>
        <w:bottom w:val="none" w:sz="0" w:space="0" w:color="auto"/>
        <w:right w:val="none" w:sz="0" w:space="0" w:color="auto"/>
      </w:divBdr>
    </w:div>
    <w:div w:id="1938755841">
      <w:bodyDiv w:val="1"/>
      <w:marLeft w:val="0"/>
      <w:marRight w:val="0"/>
      <w:marTop w:val="0"/>
      <w:marBottom w:val="0"/>
      <w:divBdr>
        <w:top w:val="none" w:sz="0" w:space="0" w:color="auto"/>
        <w:left w:val="none" w:sz="0" w:space="0" w:color="auto"/>
        <w:bottom w:val="none" w:sz="0" w:space="0" w:color="auto"/>
        <w:right w:val="none" w:sz="0" w:space="0" w:color="auto"/>
      </w:divBdr>
    </w:div>
    <w:div w:id="2120299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chart" Target="charts/chart20.xml"/><Relationship Id="rId3" Type="http://schemas.microsoft.com/office/2007/relationships/stylesWithEffects" Target="stylesWithEffects.xml"/><Relationship Id="rId21" Type="http://schemas.openxmlformats.org/officeDocument/2006/relationships/chart" Target="charts/chart15.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hart" Target="charts/chart10.xml"/><Relationship Id="rId20" Type="http://schemas.openxmlformats.org/officeDocument/2006/relationships/chart" Target="charts/chart14.xml"/><Relationship Id="rId29" Type="http://schemas.openxmlformats.org/officeDocument/2006/relationships/chart" Target="charts/chart23.xml"/><Relationship Id="rId1" Type="http://schemas.openxmlformats.org/officeDocument/2006/relationships/numbering" Target="numbering.xml"/><Relationship Id="rId6" Type="http://schemas.openxmlformats.org/officeDocument/2006/relationships/hyperlink" Target="mailto:LLT0@cdc.gov" TargetMode="External"/><Relationship Id="rId11" Type="http://schemas.openxmlformats.org/officeDocument/2006/relationships/chart" Target="charts/chart5.xml"/><Relationship Id="rId24" Type="http://schemas.openxmlformats.org/officeDocument/2006/relationships/chart" Target="charts/chart18.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9.xml"/><Relationship Id="rId23" Type="http://schemas.openxmlformats.org/officeDocument/2006/relationships/chart" Target="charts/chart17.xml"/><Relationship Id="rId28" Type="http://schemas.openxmlformats.org/officeDocument/2006/relationships/chart" Target="charts/chart22.xml"/><Relationship Id="rId10" Type="http://schemas.openxmlformats.org/officeDocument/2006/relationships/chart" Target="charts/chart4.xml"/><Relationship Id="rId19" Type="http://schemas.openxmlformats.org/officeDocument/2006/relationships/chart" Target="charts/chart13.xml"/><Relationship Id="rId31" Type="http://schemas.openxmlformats.org/officeDocument/2006/relationships/chart" Target="charts/chart25.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chart" Target="charts/chart21.xml"/><Relationship Id="rId30" Type="http://schemas.openxmlformats.org/officeDocument/2006/relationships/chart" Target="charts/chart24.xml"/></Relationships>
</file>

<file path=word/charts/_rels/chart1.xml.rels><?xml version="1.0" encoding="UTF-8" standalone="yes"?>
<Relationships xmlns="http://schemas.openxmlformats.org/package/2006/relationships"><Relationship Id="rId2" Type="http://schemas.openxmlformats.org/officeDocument/2006/relationships/oleObject" Target="file:///\\cdc.gov\private\M600\llt0\Explosivity\aggregation.xlsx" TargetMode="External"/><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oleObject" Target="file:///\\cdc.gov\private\M600\llt0\Explosivity\aggregation.xlsx" TargetMode="External"/><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1.xml"/></Relationships>
</file>

<file path=word/charts/_rels/chart1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2.xml"/></Relationships>
</file>

<file path=word/charts/_rels/chart13.xml.rels><?xml version="1.0" encoding="UTF-8" standalone="yes"?>
<Relationships xmlns="http://schemas.openxmlformats.org/package/2006/relationships"><Relationship Id="rId2" Type="http://schemas.openxmlformats.org/officeDocument/2006/relationships/oleObject" Target="file:///\\cdc.gov\private\M600\llt0\Explosivity\aggregation.xlsx" TargetMode="External"/><Relationship Id="rId1" Type="http://schemas.openxmlformats.org/officeDocument/2006/relationships/themeOverride" Target="../theme/themeOverride13.xml"/></Relationships>
</file>

<file path=word/charts/_rels/chart14.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14.xml"/></Relationships>
</file>

<file path=word/charts/_rels/chart15.xml.rels><?xml version="1.0" encoding="UTF-8" standalone="yes"?>
<Relationships xmlns="http://schemas.openxmlformats.org/package/2006/relationships"><Relationship Id="rId2" Type="http://schemas.openxmlformats.org/officeDocument/2006/relationships/oleObject" Target="file:///\\cdc.gov\private\M600\llt0\Explosivity\aggregation.xlsx" TargetMode="External"/><Relationship Id="rId1" Type="http://schemas.openxmlformats.org/officeDocument/2006/relationships/themeOverride" Target="../theme/themeOverride15.xml"/></Relationships>
</file>

<file path=word/charts/_rels/chart16.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17.xml.rels><?xml version="1.0" encoding="UTF-8" standalone="yes"?>
<Relationships xmlns="http://schemas.openxmlformats.org/package/2006/relationships"><Relationship Id="rId2" Type="http://schemas.openxmlformats.org/officeDocument/2006/relationships/oleObject" Target="file:///\\cdc.gov\private\M600\llt0\Explosivity\aggregation.xlsx" TargetMode="External"/><Relationship Id="rId1" Type="http://schemas.openxmlformats.org/officeDocument/2006/relationships/themeOverride" Target="../theme/themeOverride16.xml"/></Relationships>
</file>

<file path=word/charts/_rels/chart18.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themeOverride" Target="../theme/themeOverride17.xml"/></Relationships>
</file>

<file path=word/charts/_rels/chart19.xml.rels><?xml version="1.0" encoding="UTF-8" standalone="yes"?>
<Relationships xmlns="http://schemas.openxmlformats.org/package/2006/relationships"><Relationship Id="rId2" Type="http://schemas.openxmlformats.org/officeDocument/2006/relationships/oleObject" Target="file:///\\cdc.gov\private\M600\llt0\Explosivity\aggregation.xlsx" TargetMode="External"/><Relationship Id="rId1" Type="http://schemas.openxmlformats.org/officeDocument/2006/relationships/themeOverride" Target="../theme/themeOverride18.xml"/></Relationships>
</file>

<file path=word/charts/_rels/chart2.xml.rels><?xml version="1.0" encoding="UTF-8" standalone="yes"?>
<Relationships xmlns="http://schemas.openxmlformats.org/package/2006/relationships"><Relationship Id="rId2" Type="http://schemas.openxmlformats.org/officeDocument/2006/relationships/oleObject" Target="file:///\\cdc.gov\private\M600\llt0\Explosivity\aggregation.xlsx" TargetMode="External"/><Relationship Id="rId1" Type="http://schemas.openxmlformats.org/officeDocument/2006/relationships/themeOverride" Target="../theme/themeOverride2.xml"/></Relationships>
</file>

<file path=word/charts/_rels/chart20.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themeOverride" Target="../theme/themeOverride19.xml"/></Relationships>
</file>

<file path=word/charts/_rels/chart21.xml.rels><?xml version="1.0" encoding="UTF-8" standalone="yes"?>
<Relationships xmlns="http://schemas.openxmlformats.org/package/2006/relationships"><Relationship Id="rId2" Type="http://schemas.openxmlformats.org/officeDocument/2006/relationships/oleObject" Target="file:///\\cdc.gov\private\M600\llt0\Explosivity\aggregation.xlsx" TargetMode="External"/><Relationship Id="rId1" Type="http://schemas.openxmlformats.org/officeDocument/2006/relationships/themeOverride" Target="../theme/themeOverride20.xml"/></Relationships>
</file>

<file path=word/charts/_rels/chart22.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23.xml.rels><?xml version="1.0" encoding="UTF-8" standalone="yes"?>
<Relationships xmlns="http://schemas.openxmlformats.org/package/2006/relationships"><Relationship Id="rId2" Type="http://schemas.openxmlformats.org/officeDocument/2006/relationships/oleObject" Target="file:///\\cdc.gov\private\M600\llt0\Explosivity\aggregation.xlsx" TargetMode="External"/><Relationship Id="rId1" Type="http://schemas.openxmlformats.org/officeDocument/2006/relationships/themeOverride" Target="../theme/themeOverride21.xml"/></Relationships>
</file>

<file path=word/charts/_rels/chart24.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themeOverride" Target="../theme/themeOverride22.xml"/></Relationships>
</file>

<file path=word/charts/_rels/chart25.xml.rels><?xml version="1.0" encoding="UTF-8" standalone="yes"?>
<Relationships xmlns="http://schemas.openxmlformats.org/package/2006/relationships"><Relationship Id="rId2" Type="http://schemas.openxmlformats.org/officeDocument/2006/relationships/oleObject" Target="file:///\\cdc.gov\private\M600\llt0\Explosivity\aggregation.xlsx" TargetMode="External"/><Relationship Id="rId1" Type="http://schemas.openxmlformats.org/officeDocument/2006/relationships/themeOverride" Target="../theme/themeOverride23.xml"/></Relationships>
</file>

<file path=word/charts/_rels/chart3.xml.rels><?xml version="1.0" encoding="UTF-8" standalone="yes"?>
<Relationships xmlns="http://schemas.openxmlformats.org/package/2006/relationships"><Relationship Id="rId2" Type="http://schemas.openxmlformats.org/officeDocument/2006/relationships/oleObject" Target="file:///\\cdc.gov\private\M600\llt0\Explosivity\aggregation.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cdc.gov\private\M600\llt0\Explosivity\aggregation.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cdc.gov\private\M600\llt0\Explosivity\aggregation.xlsx"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file:///\\cdc.gov\private\M600\llt0\Explosivity\aggregation.xlsx"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oleObject" Target="file:///\\cdc.gov\private\M600\llt0\Explosivity\aggregation.xlsx" TargetMode="External"/><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oleObject" Target="file:///\\cdc.gov\private\M600\llt0\Explosivity\aggregation.xlsx" TargetMode="External"/><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oleObject" Target="file:///\\cdc.gov\private\M600\llt0\Explosivity\aggregation.xlsx" TargetMode="External"/><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scatterChart>
        <c:scatterStyle val="lineMarker"/>
        <c:varyColors val="0"/>
        <c:ser>
          <c:idx val="0"/>
          <c:order val="0"/>
          <c:spPr>
            <a:ln w="28575">
              <a:noFill/>
            </a:ln>
          </c:spPr>
          <c:trendline>
            <c:trendlineType val="linear"/>
            <c:dispRSqr val="1"/>
            <c:dispEq val="0"/>
            <c:trendlineLbl>
              <c:layout>
                <c:manualLayout>
                  <c:x val="-0.54249999999999998"/>
                  <c:y val="0.10568059200933216"/>
                </c:manualLayout>
              </c:layout>
              <c:numFmt formatCode="General" sourceLinked="0"/>
            </c:trendlineLbl>
          </c:trendline>
          <c:xVal>
            <c:numRef>
              <c:f>Sheet3!$J$3:$J$9</c:f>
              <c:numCache>
                <c:formatCode>General</c:formatCode>
                <c:ptCount val="7"/>
                <c:pt idx="0">
                  <c:v>7.3</c:v>
                </c:pt>
                <c:pt idx="1">
                  <c:v>8</c:v>
                </c:pt>
                <c:pt idx="2">
                  <c:v>7.2</c:v>
                </c:pt>
                <c:pt idx="3">
                  <c:v>6.7</c:v>
                </c:pt>
                <c:pt idx="4">
                  <c:v>6.6</c:v>
                </c:pt>
                <c:pt idx="5">
                  <c:v>7.1</c:v>
                </c:pt>
                <c:pt idx="6">
                  <c:v>6.3</c:v>
                </c:pt>
              </c:numCache>
            </c:numRef>
          </c:xVal>
          <c:yVal>
            <c:numRef>
              <c:f>Sheet3!$K$3:$K$9</c:f>
              <c:numCache>
                <c:formatCode>General</c:formatCode>
                <c:ptCount val="7"/>
                <c:pt idx="0">
                  <c:v>123</c:v>
                </c:pt>
                <c:pt idx="1">
                  <c:v>199</c:v>
                </c:pt>
                <c:pt idx="2">
                  <c:v>112</c:v>
                </c:pt>
                <c:pt idx="3">
                  <c:v>104</c:v>
                </c:pt>
                <c:pt idx="4">
                  <c:v>70</c:v>
                </c:pt>
                <c:pt idx="5">
                  <c:v>96</c:v>
                </c:pt>
                <c:pt idx="6">
                  <c:v>64</c:v>
                </c:pt>
              </c:numCache>
            </c:numRef>
          </c:yVal>
          <c:smooth val="0"/>
        </c:ser>
        <c:dLbls>
          <c:showLegendKey val="0"/>
          <c:showVal val="0"/>
          <c:showCatName val="0"/>
          <c:showSerName val="0"/>
          <c:showPercent val="0"/>
          <c:showBubbleSize val="0"/>
        </c:dLbls>
        <c:axId val="50488448"/>
        <c:axId val="50490368"/>
      </c:scatterChart>
      <c:valAx>
        <c:axId val="50488448"/>
        <c:scaling>
          <c:orientation val="minMax"/>
          <c:max val="8"/>
          <c:min val="6"/>
        </c:scaling>
        <c:delete val="0"/>
        <c:axPos val="b"/>
        <c:majorGridlines>
          <c:spPr>
            <a:ln>
              <a:noFill/>
            </a:ln>
          </c:spPr>
        </c:majorGridlines>
        <c:minorGridlines>
          <c:spPr>
            <a:ln>
              <a:noFill/>
            </a:ln>
          </c:spPr>
        </c:minorGridlines>
        <c:title>
          <c:tx>
            <c:rich>
              <a:bodyPr/>
              <a:lstStyle/>
              <a:p>
                <a:pPr>
                  <a:defRPr/>
                </a:pPr>
                <a:r>
                  <a:rPr lang="en-US"/>
                  <a:t>P</a:t>
                </a:r>
                <a:r>
                  <a:rPr lang="en-US" baseline="-25000"/>
                  <a:t>max</a:t>
                </a:r>
                <a:r>
                  <a:rPr lang="en-US" baseline="0"/>
                  <a:t>   [bar]</a:t>
                </a:r>
                <a:endParaRPr lang="en-US" baseline="-25000"/>
              </a:p>
            </c:rich>
          </c:tx>
          <c:overlay val="0"/>
        </c:title>
        <c:numFmt formatCode="General" sourceLinked="1"/>
        <c:majorTickMark val="out"/>
        <c:minorTickMark val="none"/>
        <c:tickLblPos val="nextTo"/>
        <c:crossAx val="50490368"/>
        <c:crosses val="autoZero"/>
        <c:crossBetween val="midCat"/>
      </c:valAx>
      <c:valAx>
        <c:axId val="50490368"/>
        <c:scaling>
          <c:orientation val="minMax"/>
          <c:max val="200"/>
          <c:min val="50"/>
        </c:scaling>
        <c:delete val="0"/>
        <c:axPos val="l"/>
        <c:majorGridlines>
          <c:spPr>
            <a:ln>
              <a:noFill/>
            </a:ln>
          </c:spPr>
        </c:majorGridlines>
        <c:minorGridlines>
          <c:spPr>
            <a:ln>
              <a:noFill/>
            </a:ln>
          </c:spPr>
        </c:minorGridlines>
        <c:title>
          <c:tx>
            <c:rich>
              <a:bodyPr rot="-5400000" vert="horz"/>
              <a:lstStyle/>
              <a:p>
                <a:pPr>
                  <a:defRPr/>
                </a:pPr>
                <a:r>
                  <a:rPr lang="en-US"/>
                  <a:t>K</a:t>
                </a:r>
                <a:r>
                  <a:rPr lang="en-US" baseline="-25000"/>
                  <a:t>St</a:t>
                </a:r>
                <a:r>
                  <a:rPr lang="en-US" baseline="0"/>
                  <a:t>   [bar-m/s]</a:t>
                </a:r>
              </a:p>
              <a:p>
                <a:pPr>
                  <a:defRPr/>
                </a:pPr>
                <a:endParaRPr lang="en-US" baseline="-25000"/>
              </a:p>
            </c:rich>
          </c:tx>
          <c:overlay val="0"/>
        </c:title>
        <c:numFmt formatCode="General" sourceLinked="1"/>
        <c:majorTickMark val="out"/>
        <c:minorTickMark val="none"/>
        <c:tickLblPos val="nextTo"/>
        <c:crossAx val="50488448"/>
        <c:crosses val="autoZero"/>
        <c:crossBetween val="midCat"/>
        <c:majorUnit val="50"/>
        <c:minorUnit val="10"/>
      </c:valAx>
    </c:plotArea>
    <c:plotVisOnly val="1"/>
    <c:dispBlanksAs val="gap"/>
    <c:showDLblsOverMax val="0"/>
  </c:chart>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scatterChart>
        <c:scatterStyle val="lineMarker"/>
        <c:varyColors val="0"/>
        <c:ser>
          <c:idx val="0"/>
          <c:order val="0"/>
          <c:spPr>
            <a:ln w="28575">
              <a:noFill/>
            </a:ln>
          </c:spPr>
          <c:trendline>
            <c:trendlineType val="linear"/>
            <c:dispRSqr val="1"/>
            <c:dispEq val="0"/>
            <c:trendlineLbl>
              <c:layout>
                <c:manualLayout>
                  <c:x val="-5.2988188976377956E-2"/>
                  <c:y val="0.37915500145815106"/>
                </c:manualLayout>
              </c:layout>
              <c:numFmt formatCode="General" sourceLinked="0"/>
            </c:trendlineLbl>
          </c:trendline>
          <c:xVal>
            <c:numRef>
              <c:f>Sheet3!$S$3:$S$9</c:f>
              <c:numCache>
                <c:formatCode>General</c:formatCode>
                <c:ptCount val="7"/>
                <c:pt idx="0">
                  <c:v>0.125</c:v>
                </c:pt>
                <c:pt idx="1">
                  <c:v>0.375</c:v>
                </c:pt>
                <c:pt idx="2">
                  <c:v>0.375</c:v>
                </c:pt>
                <c:pt idx="3">
                  <c:v>0.375</c:v>
                </c:pt>
                <c:pt idx="4">
                  <c:v>0.75</c:v>
                </c:pt>
                <c:pt idx="5">
                  <c:v>1.75</c:v>
                </c:pt>
                <c:pt idx="6">
                  <c:v>1.75</c:v>
                </c:pt>
              </c:numCache>
            </c:numRef>
          </c:xVal>
          <c:yVal>
            <c:numRef>
              <c:f>Sheet3!$L$3:$L$9</c:f>
              <c:numCache>
                <c:formatCode>General</c:formatCode>
                <c:ptCount val="7"/>
                <c:pt idx="0">
                  <c:v>570</c:v>
                </c:pt>
                <c:pt idx="1">
                  <c:v>550</c:v>
                </c:pt>
                <c:pt idx="2">
                  <c:v>650</c:v>
                </c:pt>
                <c:pt idx="3">
                  <c:v>650</c:v>
                </c:pt>
                <c:pt idx="4">
                  <c:v>650</c:v>
                </c:pt>
                <c:pt idx="5">
                  <c:v>650</c:v>
                </c:pt>
                <c:pt idx="6">
                  <c:v>650</c:v>
                </c:pt>
              </c:numCache>
            </c:numRef>
          </c:yVal>
          <c:smooth val="0"/>
        </c:ser>
        <c:dLbls>
          <c:showLegendKey val="0"/>
          <c:showVal val="0"/>
          <c:showCatName val="0"/>
          <c:showSerName val="0"/>
          <c:showPercent val="0"/>
          <c:showBubbleSize val="0"/>
        </c:dLbls>
        <c:axId val="97308032"/>
        <c:axId val="97359360"/>
      </c:scatterChart>
      <c:valAx>
        <c:axId val="97308032"/>
        <c:scaling>
          <c:orientation val="minMax"/>
        </c:scaling>
        <c:delete val="0"/>
        <c:axPos val="b"/>
        <c:title>
          <c:tx>
            <c:rich>
              <a:bodyPr/>
              <a:lstStyle/>
              <a:p>
                <a:pPr>
                  <a:defRPr/>
                </a:pPr>
                <a:r>
                  <a:rPr lang="en-US"/>
                  <a:t>MIE [kJ]</a:t>
                </a:r>
              </a:p>
            </c:rich>
          </c:tx>
          <c:overlay val="0"/>
        </c:title>
        <c:numFmt formatCode="General" sourceLinked="1"/>
        <c:majorTickMark val="out"/>
        <c:minorTickMark val="none"/>
        <c:tickLblPos val="nextTo"/>
        <c:crossAx val="97359360"/>
        <c:crosses val="autoZero"/>
        <c:crossBetween val="midCat"/>
      </c:valAx>
      <c:valAx>
        <c:axId val="97359360"/>
        <c:scaling>
          <c:orientation val="minMax"/>
          <c:max val="675"/>
          <c:min val="525"/>
        </c:scaling>
        <c:delete val="0"/>
        <c:axPos val="l"/>
        <c:majorGridlines>
          <c:spPr>
            <a:ln>
              <a:noFill/>
            </a:ln>
          </c:spPr>
        </c:majorGridlines>
        <c:title>
          <c:tx>
            <c:rich>
              <a:bodyPr rot="-5400000" vert="horz"/>
              <a:lstStyle/>
              <a:p>
                <a:pPr>
                  <a:defRPr/>
                </a:pPr>
                <a:r>
                  <a:rPr lang="en-US"/>
                  <a:t>MIT</a:t>
                </a:r>
                <a:r>
                  <a:rPr lang="en-US" baseline="-25000"/>
                  <a:t>cloud</a:t>
                </a:r>
                <a:r>
                  <a:rPr lang="en-US"/>
                  <a:t> [</a:t>
                </a:r>
                <a:r>
                  <a:rPr lang="en-US" baseline="30000"/>
                  <a:t>o</a:t>
                </a:r>
                <a:r>
                  <a:rPr lang="en-US"/>
                  <a:t>C]</a:t>
                </a:r>
              </a:p>
            </c:rich>
          </c:tx>
          <c:overlay val="0"/>
        </c:title>
        <c:numFmt formatCode="General" sourceLinked="1"/>
        <c:majorTickMark val="out"/>
        <c:minorTickMark val="none"/>
        <c:tickLblPos val="nextTo"/>
        <c:crossAx val="97308032"/>
        <c:crosses val="autoZero"/>
        <c:crossBetween val="midCat"/>
        <c:majorUnit val="25"/>
        <c:minorUnit val="5"/>
      </c:valAx>
    </c:plotArea>
    <c:plotVisOnly val="1"/>
    <c:dispBlanksAs val="gap"/>
    <c:showDLblsOverMax val="0"/>
  </c:chart>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scatterChart>
        <c:scatterStyle val="lineMarker"/>
        <c:varyColors val="0"/>
        <c:ser>
          <c:idx val="1"/>
          <c:order val="0"/>
          <c:spPr>
            <a:ln w="28575">
              <a:noFill/>
            </a:ln>
          </c:spPr>
          <c:trendline>
            <c:trendlineType val="linear"/>
            <c:dispRSqr val="1"/>
            <c:dispEq val="0"/>
            <c:trendlineLbl>
              <c:layout>
                <c:manualLayout>
                  <c:x val="-5.5023840769903763E-2"/>
                  <c:y val="0.48306430446194226"/>
                </c:manualLayout>
              </c:layout>
              <c:numFmt formatCode="General" sourceLinked="0"/>
            </c:trendlineLbl>
          </c:trendline>
          <c:xVal>
            <c:numRef>
              <c:f>Sheet1!$C$3:$C$9</c:f>
              <c:numCache>
                <c:formatCode>General</c:formatCode>
                <c:ptCount val="7"/>
                <c:pt idx="0">
                  <c:v>38.340000000000003</c:v>
                </c:pt>
                <c:pt idx="1">
                  <c:v>99.17</c:v>
                </c:pt>
                <c:pt idx="2">
                  <c:v>4.47</c:v>
                </c:pt>
                <c:pt idx="3">
                  <c:v>28.54</c:v>
                </c:pt>
                <c:pt idx="4">
                  <c:v>4.0199999999999996</c:v>
                </c:pt>
                <c:pt idx="5">
                  <c:v>66.02</c:v>
                </c:pt>
                <c:pt idx="6">
                  <c:v>9</c:v>
                </c:pt>
              </c:numCache>
            </c:numRef>
          </c:xVal>
          <c:yVal>
            <c:numRef>
              <c:f>Sheet1!$I$3:$I$9</c:f>
              <c:numCache>
                <c:formatCode>General</c:formatCode>
                <c:ptCount val="7"/>
                <c:pt idx="0">
                  <c:v>7.3</c:v>
                </c:pt>
                <c:pt idx="1">
                  <c:v>8</c:v>
                </c:pt>
                <c:pt idx="2">
                  <c:v>7.2</c:v>
                </c:pt>
                <c:pt idx="3">
                  <c:v>6.7</c:v>
                </c:pt>
                <c:pt idx="4">
                  <c:v>6.6</c:v>
                </c:pt>
                <c:pt idx="5">
                  <c:v>7.1</c:v>
                </c:pt>
                <c:pt idx="6">
                  <c:v>6.3</c:v>
                </c:pt>
              </c:numCache>
            </c:numRef>
          </c:yVal>
          <c:smooth val="0"/>
        </c:ser>
        <c:dLbls>
          <c:showLegendKey val="0"/>
          <c:showVal val="0"/>
          <c:showCatName val="0"/>
          <c:showSerName val="0"/>
          <c:showPercent val="0"/>
          <c:showBubbleSize val="0"/>
        </c:dLbls>
        <c:axId val="97986048"/>
        <c:axId val="97987968"/>
      </c:scatterChart>
      <c:valAx>
        <c:axId val="97986048"/>
        <c:scaling>
          <c:orientation val="minMax"/>
          <c:max val="100"/>
        </c:scaling>
        <c:delete val="0"/>
        <c:axPos val="b"/>
        <c:title>
          <c:tx>
            <c:rich>
              <a:bodyPr/>
              <a:lstStyle/>
              <a:p>
                <a:pPr>
                  <a:defRPr/>
                </a:pPr>
                <a:r>
                  <a:rPr lang="en-US"/>
                  <a:t>d</a:t>
                </a:r>
                <a:r>
                  <a:rPr lang="en-US" baseline="-25000"/>
                  <a:t>50</a:t>
                </a:r>
                <a:r>
                  <a:rPr lang="en-US" baseline="0"/>
                  <a:t>   [micron]</a:t>
                </a:r>
              </a:p>
            </c:rich>
          </c:tx>
          <c:overlay val="0"/>
        </c:title>
        <c:numFmt formatCode="General" sourceLinked="1"/>
        <c:majorTickMark val="out"/>
        <c:minorTickMark val="none"/>
        <c:tickLblPos val="nextTo"/>
        <c:crossAx val="97987968"/>
        <c:crosses val="autoZero"/>
        <c:crossBetween val="midCat"/>
      </c:valAx>
      <c:valAx>
        <c:axId val="97987968"/>
        <c:scaling>
          <c:orientation val="minMax"/>
          <c:max val="8"/>
          <c:min val="6"/>
        </c:scaling>
        <c:delete val="0"/>
        <c:axPos val="l"/>
        <c:majorGridlines>
          <c:spPr>
            <a:ln>
              <a:noFill/>
            </a:ln>
          </c:spPr>
        </c:majorGridlines>
        <c:title>
          <c:tx>
            <c:rich>
              <a:bodyPr rot="-5400000" vert="horz"/>
              <a:lstStyle/>
              <a:p>
                <a:pPr>
                  <a:defRPr/>
                </a:pPr>
                <a:r>
                  <a:rPr lang="en-US"/>
                  <a:t>P</a:t>
                </a:r>
                <a:r>
                  <a:rPr lang="en-US" baseline="-25000"/>
                  <a:t>max</a:t>
                </a:r>
                <a:r>
                  <a:rPr lang="en-US" baseline="0"/>
                  <a:t>   [bar]</a:t>
                </a:r>
                <a:endParaRPr lang="en-US" baseline="-25000"/>
              </a:p>
            </c:rich>
          </c:tx>
          <c:overlay val="0"/>
        </c:title>
        <c:numFmt formatCode="General" sourceLinked="1"/>
        <c:majorTickMark val="out"/>
        <c:minorTickMark val="none"/>
        <c:tickLblPos val="nextTo"/>
        <c:crossAx val="97986048"/>
        <c:crosses val="autoZero"/>
        <c:crossBetween val="midCat"/>
        <c:majorUnit val="0.5"/>
        <c:minorUnit val="0.1"/>
      </c:valAx>
    </c:plotArea>
    <c:plotVisOnly val="1"/>
    <c:dispBlanksAs val="gap"/>
    <c:showDLblsOverMax val="0"/>
  </c:chart>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tx>
            <c:v>mean pmax</c:v>
          </c:tx>
          <c:spPr>
            <a:ln w="28575">
              <a:noFill/>
            </a:ln>
          </c:spPr>
          <c:trendline>
            <c:trendlineType val="linear"/>
            <c:dispRSqr val="1"/>
            <c:dispEq val="0"/>
            <c:trendlineLbl>
              <c:layout>
                <c:manualLayout>
                  <c:x val="-0.3674356877497138"/>
                  <c:y val="-4.1779673374161561E-3"/>
                </c:manualLayout>
              </c:layout>
              <c:numFmt formatCode="General" sourceLinked="0"/>
            </c:trendlineLbl>
          </c:trendline>
          <c:xVal>
            <c:numRef>
              <c:f>Sheet1!$E$3:$E$9</c:f>
              <c:numCache>
                <c:formatCode>General</c:formatCode>
                <c:ptCount val="7"/>
                <c:pt idx="0">
                  <c:v>46.14</c:v>
                </c:pt>
                <c:pt idx="1">
                  <c:v>97.23</c:v>
                </c:pt>
                <c:pt idx="2">
                  <c:v>6.47</c:v>
                </c:pt>
                <c:pt idx="3">
                  <c:v>31.64</c:v>
                </c:pt>
                <c:pt idx="4">
                  <c:v>7.89</c:v>
                </c:pt>
                <c:pt idx="5">
                  <c:v>68.23</c:v>
                </c:pt>
                <c:pt idx="6">
                  <c:v>9.81</c:v>
                </c:pt>
              </c:numCache>
            </c:numRef>
          </c:xVal>
          <c:yVal>
            <c:numRef>
              <c:f>Sheet1!$I$3:$I$9</c:f>
              <c:numCache>
                <c:formatCode>General</c:formatCode>
                <c:ptCount val="7"/>
                <c:pt idx="0">
                  <c:v>7.3</c:v>
                </c:pt>
                <c:pt idx="1">
                  <c:v>8</c:v>
                </c:pt>
                <c:pt idx="2">
                  <c:v>7.2</c:v>
                </c:pt>
                <c:pt idx="3">
                  <c:v>6.7</c:v>
                </c:pt>
                <c:pt idx="4">
                  <c:v>6.6</c:v>
                </c:pt>
                <c:pt idx="5">
                  <c:v>7.1</c:v>
                </c:pt>
                <c:pt idx="6">
                  <c:v>6.3</c:v>
                </c:pt>
              </c:numCache>
            </c:numRef>
          </c:yVal>
          <c:smooth val="0"/>
        </c:ser>
        <c:dLbls>
          <c:showLegendKey val="0"/>
          <c:showVal val="0"/>
          <c:showCatName val="0"/>
          <c:showSerName val="0"/>
          <c:showPercent val="0"/>
          <c:showBubbleSize val="0"/>
        </c:dLbls>
        <c:axId val="97735040"/>
        <c:axId val="97736960"/>
      </c:scatterChart>
      <c:valAx>
        <c:axId val="97735040"/>
        <c:scaling>
          <c:orientation val="minMax"/>
          <c:max val="100"/>
          <c:min val="0"/>
        </c:scaling>
        <c:delete val="0"/>
        <c:axPos val="b"/>
        <c:majorGridlines>
          <c:spPr>
            <a:ln>
              <a:noFill/>
            </a:ln>
          </c:spPr>
        </c:majorGridlines>
        <c:minorGridlines>
          <c:spPr>
            <a:ln>
              <a:noFill/>
            </a:ln>
          </c:spPr>
        </c:minorGridlines>
        <c:title>
          <c:tx>
            <c:rich>
              <a:bodyPr/>
              <a:lstStyle/>
              <a:p>
                <a:pPr>
                  <a:defRPr/>
                </a:pPr>
                <a:r>
                  <a:rPr lang="en-US"/>
                  <a:t>d</a:t>
                </a:r>
                <a:r>
                  <a:rPr lang="en-US" baseline="-25000"/>
                  <a:t>mean</a:t>
                </a:r>
                <a:r>
                  <a:rPr lang="en-US"/>
                  <a:t>   [micron]</a:t>
                </a:r>
              </a:p>
            </c:rich>
          </c:tx>
          <c:overlay val="0"/>
        </c:title>
        <c:numFmt formatCode="General" sourceLinked="1"/>
        <c:majorTickMark val="out"/>
        <c:minorTickMark val="none"/>
        <c:tickLblPos val="nextTo"/>
        <c:crossAx val="97736960"/>
        <c:crosses val="autoZero"/>
        <c:crossBetween val="midCat"/>
        <c:majorUnit val="20"/>
        <c:minorUnit val="5"/>
      </c:valAx>
      <c:valAx>
        <c:axId val="97736960"/>
        <c:scaling>
          <c:orientation val="minMax"/>
          <c:max val="8"/>
          <c:min val="6"/>
        </c:scaling>
        <c:delete val="0"/>
        <c:axPos val="l"/>
        <c:majorGridlines>
          <c:spPr>
            <a:ln>
              <a:noFill/>
            </a:ln>
          </c:spPr>
        </c:majorGridlines>
        <c:minorGridlines>
          <c:spPr>
            <a:ln>
              <a:noFill/>
            </a:ln>
          </c:spPr>
        </c:minorGridlines>
        <c:title>
          <c:tx>
            <c:rich>
              <a:bodyPr rot="-5400000" vert="horz"/>
              <a:lstStyle/>
              <a:p>
                <a:pPr>
                  <a:defRPr/>
                </a:pPr>
                <a:r>
                  <a:rPr lang="en-US"/>
                  <a:t>p</a:t>
                </a:r>
                <a:r>
                  <a:rPr lang="en-US" baseline="-25000"/>
                  <a:t>max</a:t>
                </a:r>
                <a:r>
                  <a:rPr lang="en-US"/>
                  <a:t> [bar]</a:t>
                </a:r>
              </a:p>
            </c:rich>
          </c:tx>
          <c:overlay val="0"/>
        </c:title>
        <c:numFmt formatCode="General" sourceLinked="1"/>
        <c:majorTickMark val="out"/>
        <c:minorTickMark val="none"/>
        <c:tickLblPos val="nextTo"/>
        <c:crossAx val="97735040"/>
        <c:crosses val="autoZero"/>
        <c:crossBetween val="midCat"/>
        <c:majorUnit val="0.5"/>
        <c:minorUnit val="0.1"/>
      </c:valAx>
    </c:plotArea>
    <c:plotVisOnly val="1"/>
    <c:dispBlanksAs val="gap"/>
    <c:showDLblsOverMax val="0"/>
  </c:chart>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scatterChart>
        <c:scatterStyle val="lineMarker"/>
        <c:varyColors val="0"/>
        <c:ser>
          <c:idx val="0"/>
          <c:order val="0"/>
          <c:spPr>
            <a:ln w="28575">
              <a:noFill/>
            </a:ln>
          </c:spPr>
          <c:trendline>
            <c:trendlineType val="linear"/>
            <c:dispRSqr val="1"/>
            <c:dispEq val="0"/>
            <c:trendlineLbl>
              <c:layout>
                <c:manualLayout>
                  <c:x val="-0.39649751243781095"/>
                  <c:y val="-2.9686132983377078E-2"/>
                </c:manualLayout>
              </c:layout>
              <c:numFmt formatCode="General" sourceLinked="0"/>
            </c:trendlineLbl>
          </c:trendline>
          <c:xVal>
            <c:numRef>
              <c:f>Sheet1!$H$14:$H$20</c:f>
              <c:numCache>
                <c:formatCode>General</c:formatCode>
                <c:ptCount val="7"/>
                <c:pt idx="0">
                  <c:v>80</c:v>
                </c:pt>
                <c:pt idx="1">
                  <c:v>120</c:v>
                </c:pt>
                <c:pt idx="2">
                  <c:v>4</c:v>
                </c:pt>
                <c:pt idx="3">
                  <c:v>50</c:v>
                </c:pt>
                <c:pt idx="4">
                  <c:v>2.8</c:v>
                </c:pt>
                <c:pt idx="5">
                  <c:v>90</c:v>
                </c:pt>
                <c:pt idx="6">
                  <c:v>13</c:v>
                </c:pt>
              </c:numCache>
            </c:numRef>
          </c:xVal>
          <c:yVal>
            <c:numRef>
              <c:f>Sheet1!$I$14:$I$20</c:f>
              <c:numCache>
                <c:formatCode>General</c:formatCode>
                <c:ptCount val="7"/>
                <c:pt idx="0">
                  <c:v>7.3</c:v>
                </c:pt>
                <c:pt idx="1">
                  <c:v>8</c:v>
                </c:pt>
                <c:pt idx="2">
                  <c:v>7.2</c:v>
                </c:pt>
                <c:pt idx="3">
                  <c:v>6.7</c:v>
                </c:pt>
                <c:pt idx="4">
                  <c:v>6.6</c:v>
                </c:pt>
                <c:pt idx="5">
                  <c:v>7.1</c:v>
                </c:pt>
                <c:pt idx="6">
                  <c:v>6.3</c:v>
                </c:pt>
              </c:numCache>
            </c:numRef>
          </c:yVal>
          <c:smooth val="0"/>
        </c:ser>
        <c:dLbls>
          <c:showLegendKey val="0"/>
          <c:showVal val="0"/>
          <c:showCatName val="0"/>
          <c:showSerName val="0"/>
          <c:showPercent val="0"/>
          <c:showBubbleSize val="0"/>
        </c:dLbls>
        <c:axId val="97757824"/>
        <c:axId val="97878784"/>
      </c:scatterChart>
      <c:valAx>
        <c:axId val="97757824"/>
        <c:scaling>
          <c:orientation val="minMax"/>
          <c:max val="120"/>
          <c:min val="0"/>
        </c:scaling>
        <c:delete val="0"/>
        <c:axPos val="b"/>
        <c:majorGridlines>
          <c:spPr>
            <a:ln>
              <a:noFill/>
            </a:ln>
          </c:spPr>
        </c:majorGridlines>
        <c:minorGridlines>
          <c:spPr>
            <a:ln>
              <a:noFill/>
            </a:ln>
          </c:spPr>
        </c:minorGridlines>
        <c:title>
          <c:tx>
            <c:rich>
              <a:bodyPr/>
              <a:lstStyle/>
              <a:p>
                <a:pPr>
                  <a:defRPr/>
                </a:pPr>
                <a:r>
                  <a:rPr lang="en-US"/>
                  <a:t>d</a:t>
                </a:r>
                <a:r>
                  <a:rPr lang="en-US" baseline="-25000"/>
                  <a:t>dom</a:t>
                </a:r>
                <a:r>
                  <a:rPr lang="en-US"/>
                  <a:t> </a:t>
                </a:r>
                <a:r>
                  <a:rPr lang="en-US" baseline="0"/>
                  <a:t>  </a:t>
                </a:r>
                <a:r>
                  <a:rPr lang="en-US"/>
                  <a:t>[microns]</a:t>
                </a:r>
              </a:p>
            </c:rich>
          </c:tx>
          <c:overlay val="0"/>
        </c:title>
        <c:numFmt formatCode="General" sourceLinked="1"/>
        <c:majorTickMark val="out"/>
        <c:minorTickMark val="none"/>
        <c:tickLblPos val="nextTo"/>
        <c:crossAx val="97878784"/>
        <c:crosses val="autoZero"/>
        <c:crossBetween val="midCat"/>
        <c:majorUnit val="20"/>
        <c:minorUnit val="10"/>
      </c:valAx>
      <c:valAx>
        <c:axId val="97878784"/>
        <c:scaling>
          <c:orientation val="minMax"/>
          <c:max val="8"/>
          <c:min val="6"/>
        </c:scaling>
        <c:delete val="0"/>
        <c:axPos val="l"/>
        <c:majorGridlines>
          <c:spPr>
            <a:ln>
              <a:noFill/>
            </a:ln>
          </c:spPr>
        </c:majorGridlines>
        <c:minorGridlines>
          <c:spPr>
            <a:ln>
              <a:noFill/>
            </a:ln>
          </c:spPr>
        </c:minorGridlines>
        <c:title>
          <c:tx>
            <c:rich>
              <a:bodyPr rot="-5400000" vert="horz"/>
              <a:lstStyle/>
              <a:p>
                <a:pPr>
                  <a:defRPr/>
                </a:pPr>
                <a:r>
                  <a:rPr lang="en-US"/>
                  <a:t>p</a:t>
                </a:r>
                <a:r>
                  <a:rPr lang="en-US" baseline="-25000"/>
                  <a:t>max</a:t>
                </a:r>
                <a:r>
                  <a:rPr lang="en-US"/>
                  <a:t> [bar]</a:t>
                </a:r>
              </a:p>
            </c:rich>
          </c:tx>
          <c:overlay val="0"/>
        </c:title>
        <c:numFmt formatCode="General" sourceLinked="1"/>
        <c:majorTickMark val="out"/>
        <c:minorTickMark val="none"/>
        <c:tickLblPos val="nextTo"/>
        <c:crossAx val="97757824"/>
        <c:crosses val="autoZero"/>
        <c:crossBetween val="midCat"/>
        <c:majorUnit val="0.5"/>
        <c:minorUnit val="0.1"/>
      </c:valAx>
    </c:plotArea>
    <c:plotVisOnly val="1"/>
    <c:dispBlanksAs val="gap"/>
    <c:showDLblsOverMax val="0"/>
  </c:chart>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scatterChart>
        <c:scatterStyle val="lineMarker"/>
        <c:varyColors val="0"/>
        <c:ser>
          <c:idx val="0"/>
          <c:order val="0"/>
          <c:spPr>
            <a:ln w="28575">
              <a:noFill/>
            </a:ln>
          </c:spPr>
          <c:trendline>
            <c:trendlineType val="linear"/>
            <c:dispRSqr val="1"/>
            <c:dispEq val="0"/>
            <c:trendlineLbl>
              <c:layout>
                <c:manualLayout>
                  <c:x val="-0.40897244094488189"/>
                  <c:y val="-1.131816856226305E-2"/>
                </c:manualLayout>
              </c:layout>
              <c:numFmt formatCode="General" sourceLinked="0"/>
            </c:trendlineLbl>
          </c:trendline>
          <c:xVal>
            <c:numRef>
              <c:f>Sheet1!$K$81:$K$87</c:f>
              <c:numCache>
                <c:formatCode>General</c:formatCode>
                <c:ptCount val="7"/>
                <c:pt idx="0">
                  <c:v>80</c:v>
                </c:pt>
                <c:pt idx="1">
                  <c:v>120</c:v>
                </c:pt>
                <c:pt idx="2">
                  <c:v>15</c:v>
                </c:pt>
                <c:pt idx="3">
                  <c:v>50</c:v>
                </c:pt>
                <c:pt idx="4">
                  <c:v>27</c:v>
                </c:pt>
                <c:pt idx="5">
                  <c:v>90</c:v>
                </c:pt>
                <c:pt idx="6">
                  <c:v>13</c:v>
                </c:pt>
              </c:numCache>
            </c:numRef>
          </c:xVal>
          <c:yVal>
            <c:numRef>
              <c:f>Sheet1!$L$73:$L$79</c:f>
              <c:numCache>
                <c:formatCode>General</c:formatCode>
                <c:ptCount val="7"/>
                <c:pt idx="0">
                  <c:v>7.3</c:v>
                </c:pt>
                <c:pt idx="1">
                  <c:v>8</c:v>
                </c:pt>
                <c:pt idx="2">
                  <c:v>7.2</c:v>
                </c:pt>
                <c:pt idx="3">
                  <c:v>6.7</c:v>
                </c:pt>
                <c:pt idx="4">
                  <c:v>6.6</c:v>
                </c:pt>
                <c:pt idx="5">
                  <c:v>7.1</c:v>
                </c:pt>
                <c:pt idx="6">
                  <c:v>6.3</c:v>
                </c:pt>
              </c:numCache>
            </c:numRef>
          </c:yVal>
          <c:smooth val="0"/>
        </c:ser>
        <c:dLbls>
          <c:showLegendKey val="0"/>
          <c:showVal val="0"/>
          <c:showCatName val="0"/>
          <c:showSerName val="0"/>
          <c:showPercent val="0"/>
          <c:showBubbleSize val="0"/>
        </c:dLbls>
        <c:axId val="97907840"/>
        <c:axId val="97909760"/>
      </c:scatterChart>
      <c:valAx>
        <c:axId val="97907840"/>
        <c:scaling>
          <c:orientation val="minMax"/>
          <c:max val="120"/>
          <c:min val="0"/>
        </c:scaling>
        <c:delete val="0"/>
        <c:axPos val="b"/>
        <c:majorGridlines>
          <c:spPr>
            <a:ln>
              <a:noFill/>
            </a:ln>
          </c:spPr>
        </c:majorGridlines>
        <c:minorGridlines>
          <c:spPr>
            <a:ln>
              <a:noFill/>
            </a:ln>
          </c:spPr>
        </c:minorGridlines>
        <c:title>
          <c:tx>
            <c:rich>
              <a:bodyPr/>
              <a:lstStyle/>
              <a:p>
                <a:pPr>
                  <a:defRPr/>
                </a:pPr>
                <a:r>
                  <a:rPr lang="en-US"/>
                  <a:t>d</a:t>
                </a:r>
                <a:r>
                  <a:rPr lang="en-US" baseline="-25000"/>
                  <a:t>max</a:t>
                </a:r>
                <a:r>
                  <a:rPr lang="en-US" baseline="0"/>
                  <a:t>  </a:t>
                </a:r>
                <a:r>
                  <a:rPr lang="en-US"/>
                  <a:t> [micron]</a:t>
                </a:r>
              </a:p>
            </c:rich>
          </c:tx>
          <c:overlay val="0"/>
        </c:title>
        <c:numFmt formatCode="General" sourceLinked="1"/>
        <c:majorTickMark val="out"/>
        <c:minorTickMark val="none"/>
        <c:tickLblPos val="nextTo"/>
        <c:crossAx val="97909760"/>
        <c:crosses val="autoZero"/>
        <c:crossBetween val="midCat"/>
        <c:majorUnit val="20"/>
      </c:valAx>
      <c:valAx>
        <c:axId val="97909760"/>
        <c:scaling>
          <c:orientation val="minMax"/>
          <c:max val="8"/>
          <c:min val="6"/>
        </c:scaling>
        <c:delete val="0"/>
        <c:axPos val="l"/>
        <c:majorGridlines>
          <c:spPr>
            <a:ln>
              <a:noFill/>
            </a:ln>
          </c:spPr>
        </c:majorGridlines>
        <c:minorGridlines>
          <c:spPr>
            <a:ln>
              <a:noFill/>
            </a:ln>
          </c:spPr>
        </c:minorGridlines>
        <c:title>
          <c:tx>
            <c:rich>
              <a:bodyPr rot="-5400000" vert="horz"/>
              <a:lstStyle/>
              <a:p>
                <a:pPr>
                  <a:defRPr/>
                </a:pPr>
                <a:r>
                  <a:rPr lang="en-US"/>
                  <a:t>p</a:t>
                </a:r>
                <a:r>
                  <a:rPr lang="en-US" baseline="-25000"/>
                  <a:t>max</a:t>
                </a:r>
                <a:r>
                  <a:rPr lang="en-US"/>
                  <a:t> [bar]</a:t>
                </a:r>
              </a:p>
            </c:rich>
          </c:tx>
          <c:overlay val="0"/>
        </c:title>
        <c:numFmt formatCode="General" sourceLinked="1"/>
        <c:majorTickMark val="out"/>
        <c:minorTickMark val="none"/>
        <c:tickLblPos val="nextTo"/>
        <c:crossAx val="97907840"/>
        <c:crosses val="autoZero"/>
        <c:crossBetween val="midCat"/>
        <c:majorUnit val="0.5"/>
        <c:minorUnit val="0.1"/>
      </c:valAx>
    </c:plotArea>
    <c:plotVisOnly val="1"/>
    <c:dispBlanksAs val="gap"/>
    <c:showDLblsOverMax val="0"/>
  </c:chart>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scatterChart>
        <c:scatterStyle val="lineMarker"/>
        <c:varyColors val="0"/>
        <c:ser>
          <c:idx val="0"/>
          <c:order val="0"/>
          <c:spPr>
            <a:ln w="28575">
              <a:noFill/>
            </a:ln>
          </c:spPr>
          <c:trendline>
            <c:trendlineType val="linear"/>
            <c:dispRSqr val="1"/>
            <c:dispEq val="0"/>
            <c:trendlineLbl>
              <c:layout>
                <c:manualLayout>
                  <c:x val="-0.37275481189851267"/>
                  <c:y val="-2.7073126275882181E-2"/>
                </c:manualLayout>
              </c:layout>
              <c:numFmt formatCode="General" sourceLinked="0"/>
            </c:trendlineLbl>
          </c:trendline>
          <c:xVal>
            <c:numRef>
              <c:f>Sheet1!$E$3:$E$9</c:f>
              <c:numCache>
                <c:formatCode>General</c:formatCode>
                <c:ptCount val="7"/>
                <c:pt idx="0">
                  <c:v>46.14</c:v>
                </c:pt>
                <c:pt idx="1">
                  <c:v>97.23</c:v>
                </c:pt>
                <c:pt idx="2">
                  <c:v>6.47</c:v>
                </c:pt>
                <c:pt idx="3">
                  <c:v>31.64</c:v>
                </c:pt>
                <c:pt idx="4">
                  <c:v>7.89</c:v>
                </c:pt>
                <c:pt idx="5">
                  <c:v>68.23</c:v>
                </c:pt>
                <c:pt idx="6">
                  <c:v>9.81</c:v>
                </c:pt>
              </c:numCache>
            </c:numRef>
          </c:xVal>
          <c:yVal>
            <c:numRef>
              <c:f>Sheet1!$J$3:$J$9</c:f>
              <c:numCache>
                <c:formatCode>General</c:formatCode>
                <c:ptCount val="7"/>
                <c:pt idx="0">
                  <c:v>123</c:v>
                </c:pt>
                <c:pt idx="1">
                  <c:v>199</c:v>
                </c:pt>
                <c:pt idx="2">
                  <c:v>112</c:v>
                </c:pt>
                <c:pt idx="3">
                  <c:v>104</c:v>
                </c:pt>
                <c:pt idx="4">
                  <c:v>70</c:v>
                </c:pt>
                <c:pt idx="5">
                  <c:v>96</c:v>
                </c:pt>
                <c:pt idx="6">
                  <c:v>64</c:v>
                </c:pt>
              </c:numCache>
            </c:numRef>
          </c:yVal>
          <c:smooth val="0"/>
        </c:ser>
        <c:dLbls>
          <c:showLegendKey val="0"/>
          <c:showVal val="0"/>
          <c:showCatName val="0"/>
          <c:showSerName val="0"/>
          <c:showPercent val="0"/>
          <c:showBubbleSize val="0"/>
        </c:dLbls>
        <c:axId val="98094464"/>
        <c:axId val="98100736"/>
      </c:scatterChart>
      <c:valAx>
        <c:axId val="98094464"/>
        <c:scaling>
          <c:orientation val="minMax"/>
          <c:max val="100"/>
          <c:min val="0"/>
        </c:scaling>
        <c:delete val="0"/>
        <c:axPos val="b"/>
        <c:majorGridlines>
          <c:spPr>
            <a:ln>
              <a:noFill/>
            </a:ln>
          </c:spPr>
        </c:majorGridlines>
        <c:minorGridlines>
          <c:spPr>
            <a:ln>
              <a:noFill/>
            </a:ln>
          </c:spPr>
        </c:minorGridlines>
        <c:title>
          <c:tx>
            <c:rich>
              <a:bodyPr/>
              <a:lstStyle/>
              <a:p>
                <a:pPr>
                  <a:defRPr/>
                </a:pPr>
                <a:r>
                  <a:rPr lang="en-US"/>
                  <a:t>d</a:t>
                </a:r>
                <a:r>
                  <a:rPr lang="en-US" baseline="-25000"/>
                  <a:t>mean</a:t>
                </a:r>
                <a:r>
                  <a:rPr lang="en-US" baseline="0"/>
                  <a:t>   </a:t>
                </a:r>
                <a:r>
                  <a:rPr lang="en-US"/>
                  <a:t>[micron]</a:t>
                </a:r>
              </a:p>
            </c:rich>
          </c:tx>
          <c:overlay val="0"/>
        </c:title>
        <c:numFmt formatCode="General" sourceLinked="1"/>
        <c:majorTickMark val="out"/>
        <c:minorTickMark val="none"/>
        <c:tickLblPos val="nextTo"/>
        <c:crossAx val="98100736"/>
        <c:crosses val="autoZero"/>
        <c:crossBetween val="midCat"/>
        <c:majorUnit val="20"/>
        <c:minorUnit val="5"/>
      </c:valAx>
      <c:valAx>
        <c:axId val="98100736"/>
        <c:scaling>
          <c:orientation val="minMax"/>
          <c:max val="200"/>
          <c:min val="50"/>
        </c:scaling>
        <c:delete val="0"/>
        <c:axPos val="l"/>
        <c:majorGridlines>
          <c:spPr>
            <a:ln>
              <a:noFill/>
            </a:ln>
          </c:spPr>
        </c:majorGridlines>
        <c:minorGridlines>
          <c:spPr>
            <a:ln>
              <a:noFill/>
            </a:ln>
          </c:spPr>
        </c:minorGridlines>
        <c:title>
          <c:tx>
            <c:rich>
              <a:bodyPr rot="-5400000" vert="horz"/>
              <a:lstStyle/>
              <a:p>
                <a:pPr>
                  <a:defRPr/>
                </a:pPr>
                <a:r>
                  <a:rPr lang="en-US"/>
                  <a:t>K</a:t>
                </a:r>
                <a:r>
                  <a:rPr lang="en-US" baseline="-25000"/>
                  <a:t>St</a:t>
                </a:r>
                <a:r>
                  <a:rPr lang="en-US"/>
                  <a:t> [bar-m/s]</a:t>
                </a:r>
              </a:p>
            </c:rich>
          </c:tx>
          <c:overlay val="0"/>
        </c:title>
        <c:numFmt formatCode="General" sourceLinked="1"/>
        <c:majorTickMark val="out"/>
        <c:minorTickMark val="none"/>
        <c:tickLblPos val="nextTo"/>
        <c:crossAx val="98094464"/>
        <c:crosses val="autoZero"/>
        <c:crossBetween val="midCat"/>
        <c:majorUnit val="50"/>
        <c:minorUnit val="10"/>
      </c:valAx>
    </c:plotArea>
    <c:plotVisOnly val="1"/>
    <c:dispBlanksAs val="gap"/>
    <c:showDLblsOverMax val="0"/>
  </c:chart>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1"/>
          <c:order val="0"/>
          <c:spPr>
            <a:ln w="28575">
              <a:noFill/>
            </a:ln>
          </c:spPr>
          <c:trendline>
            <c:trendlineType val="linear"/>
            <c:dispRSqr val="1"/>
            <c:dispEq val="0"/>
            <c:trendlineLbl>
              <c:layout>
                <c:manualLayout>
                  <c:x val="-0.18356646595646131"/>
                  <c:y val="-0.11584025955088947"/>
                </c:manualLayout>
              </c:layout>
              <c:numFmt formatCode="General" sourceLinked="0"/>
            </c:trendlineLbl>
          </c:trendline>
          <c:xVal>
            <c:numRef>
              <c:f>Sheet1!$C$3:$C$9</c:f>
              <c:numCache>
                <c:formatCode>General</c:formatCode>
                <c:ptCount val="7"/>
                <c:pt idx="0">
                  <c:v>38.340000000000003</c:v>
                </c:pt>
                <c:pt idx="1">
                  <c:v>99.17</c:v>
                </c:pt>
                <c:pt idx="2">
                  <c:v>4.47</c:v>
                </c:pt>
                <c:pt idx="3">
                  <c:v>28.54</c:v>
                </c:pt>
                <c:pt idx="4">
                  <c:v>4.0199999999999996</c:v>
                </c:pt>
                <c:pt idx="5">
                  <c:v>66.02</c:v>
                </c:pt>
                <c:pt idx="6">
                  <c:v>9</c:v>
                </c:pt>
              </c:numCache>
            </c:numRef>
          </c:xVal>
          <c:yVal>
            <c:numRef>
              <c:f>Sheet1!$J$3:$J$9</c:f>
              <c:numCache>
                <c:formatCode>General</c:formatCode>
                <c:ptCount val="7"/>
                <c:pt idx="0">
                  <c:v>123</c:v>
                </c:pt>
                <c:pt idx="1">
                  <c:v>199</c:v>
                </c:pt>
                <c:pt idx="2">
                  <c:v>112</c:v>
                </c:pt>
                <c:pt idx="3">
                  <c:v>104</c:v>
                </c:pt>
                <c:pt idx="4">
                  <c:v>70</c:v>
                </c:pt>
                <c:pt idx="5">
                  <c:v>96</c:v>
                </c:pt>
                <c:pt idx="6">
                  <c:v>64</c:v>
                </c:pt>
              </c:numCache>
            </c:numRef>
          </c:yVal>
          <c:smooth val="0"/>
        </c:ser>
        <c:dLbls>
          <c:showLegendKey val="0"/>
          <c:showVal val="0"/>
          <c:showCatName val="0"/>
          <c:showSerName val="0"/>
          <c:showPercent val="0"/>
          <c:showBubbleSize val="0"/>
        </c:dLbls>
        <c:axId val="98191232"/>
        <c:axId val="98205696"/>
      </c:scatterChart>
      <c:valAx>
        <c:axId val="98191232"/>
        <c:scaling>
          <c:orientation val="minMax"/>
          <c:max val="100"/>
          <c:min val="0"/>
        </c:scaling>
        <c:delete val="0"/>
        <c:axPos val="b"/>
        <c:title>
          <c:tx>
            <c:rich>
              <a:bodyPr/>
              <a:lstStyle/>
              <a:p>
                <a:pPr>
                  <a:defRPr/>
                </a:pPr>
                <a:r>
                  <a:rPr lang="en-US"/>
                  <a:t>d</a:t>
                </a:r>
                <a:r>
                  <a:rPr lang="en-US" baseline="-25000"/>
                  <a:t>50</a:t>
                </a:r>
                <a:r>
                  <a:rPr lang="en-US"/>
                  <a:t>   [micron]</a:t>
                </a:r>
              </a:p>
            </c:rich>
          </c:tx>
          <c:overlay val="0"/>
        </c:title>
        <c:numFmt formatCode="General" sourceLinked="1"/>
        <c:majorTickMark val="out"/>
        <c:minorTickMark val="none"/>
        <c:tickLblPos val="nextTo"/>
        <c:crossAx val="98205696"/>
        <c:crosses val="autoZero"/>
        <c:crossBetween val="midCat"/>
        <c:majorUnit val="20"/>
      </c:valAx>
      <c:valAx>
        <c:axId val="98205696"/>
        <c:scaling>
          <c:orientation val="minMax"/>
        </c:scaling>
        <c:delete val="0"/>
        <c:axPos val="l"/>
        <c:majorGridlines>
          <c:spPr>
            <a:ln>
              <a:noFill/>
            </a:ln>
          </c:spPr>
        </c:majorGridlines>
        <c:title>
          <c:tx>
            <c:rich>
              <a:bodyPr rot="-5400000" vert="horz"/>
              <a:lstStyle/>
              <a:p>
                <a:pPr>
                  <a:defRPr/>
                </a:pPr>
                <a:r>
                  <a:rPr lang="en-US"/>
                  <a:t>K</a:t>
                </a:r>
                <a:r>
                  <a:rPr lang="en-US" baseline="-25000"/>
                  <a:t>St</a:t>
                </a:r>
                <a:r>
                  <a:rPr lang="en-US"/>
                  <a:t>   [bar-m/s]</a:t>
                </a:r>
              </a:p>
            </c:rich>
          </c:tx>
          <c:overlay val="0"/>
        </c:title>
        <c:numFmt formatCode="General" sourceLinked="1"/>
        <c:majorTickMark val="out"/>
        <c:minorTickMark val="none"/>
        <c:tickLblPos val="nextTo"/>
        <c:crossAx val="98191232"/>
        <c:crosses val="autoZero"/>
        <c:crossBetween val="midCat"/>
      </c:valAx>
    </c:plotArea>
    <c:plotVisOnly val="1"/>
    <c:dispBlanksAs val="gap"/>
    <c:showDLblsOverMax val="0"/>
  </c:chart>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scatterChart>
        <c:scatterStyle val="lineMarker"/>
        <c:varyColors val="0"/>
        <c:ser>
          <c:idx val="1"/>
          <c:order val="0"/>
          <c:spPr>
            <a:ln w="28575">
              <a:noFill/>
            </a:ln>
          </c:spPr>
          <c:trendline>
            <c:trendlineType val="linear"/>
            <c:dispRSqr val="1"/>
            <c:dispEq val="0"/>
            <c:trendlineLbl>
              <c:layout>
                <c:manualLayout>
                  <c:x val="-0.35865885666730685"/>
                  <c:y val="-6.9594998541848932E-2"/>
                </c:manualLayout>
              </c:layout>
              <c:numFmt formatCode="General" sourceLinked="0"/>
            </c:trendlineLbl>
          </c:trendline>
          <c:xVal>
            <c:numRef>
              <c:f>Sheet1!$H$14:$H$20</c:f>
              <c:numCache>
                <c:formatCode>General</c:formatCode>
                <c:ptCount val="7"/>
                <c:pt idx="0">
                  <c:v>80</c:v>
                </c:pt>
                <c:pt idx="1">
                  <c:v>120</c:v>
                </c:pt>
                <c:pt idx="2">
                  <c:v>4</c:v>
                </c:pt>
                <c:pt idx="3">
                  <c:v>50</c:v>
                </c:pt>
                <c:pt idx="4">
                  <c:v>2.8</c:v>
                </c:pt>
                <c:pt idx="5">
                  <c:v>90</c:v>
                </c:pt>
                <c:pt idx="6">
                  <c:v>13</c:v>
                </c:pt>
              </c:numCache>
            </c:numRef>
          </c:xVal>
          <c:yVal>
            <c:numRef>
              <c:f>Sheet1!$J$14:$J$20</c:f>
              <c:numCache>
                <c:formatCode>General</c:formatCode>
                <c:ptCount val="7"/>
                <c:pt idx="0">
                  <c:v>123</c:v>
                </c:pt>
                <c:pt idx="1">
                  <c:v>199</c:v>
                </c:pt>
                <c:pt idx="2">
                  <c:v>112</c:v>
                </c:pt>
                <c:pt idx="3">
                  <c:v>104</c:v>
                </c:pt>
                <c:pt idx="4">
                  <c:v>70</c:v>
                </c:pt>
                <c:pt idx="5">
                  <c:v>96</c:v>
                </c:pt>
                <c:pt idx="6">
                  <c:v>64</c:v>
                </c:pt>
              </c:numCache>
            </c:numRef>
          </c:yVal>
          <c:smooth val="0"/>
        </c:ser>
        <c:dLbls>
          <c:showLegendKey val="0"/>
          <c:showVal val="0"/>
          <c:showCatName val="0"/>
          <c:showSerName val="0"/>
          <c:showPercent val="0"/>
          <c:showBubbleSize val="0"/>
        </c:dLbls>
        <c:axId val="98505088"/>
        <c:axId val="98507008"/>
      </c:scatterChart>
      <c:valAx>
        <c:axId val="98505088"/>
        <c:scaling>
          <c:orientation val="minMax"/>
          <c:max val="120"/>
          <c:min val="0"/>
        </c:scaling>
        <c:delete val="0"/>
        <c:axPos val="b"/>
        <c:majorGridlines>
          <c:spPr>
            <a:ln>
              <a:noFill/>
            </a:ln>
          </c:spPr>
        </c:majorGridlines>
        <c:minorGridlines>
          <c:spPr>
            <a:ln>
              <a:noFill/>
            </a:ln>
          </c:spPr>
        </c:minorGridlines>
        <c:title>
          <c:tx>
            <c:rich>
              <a:bodyPr/>
              <a:lstStyle/>
              <a:p>
                <a:pPr>
                  <a:defRPr/>
                </a:pPr>
                <a:r>
                  <a:rPr lang="en-US"/>
                  <a:t>d</a:t>
                </a:r>
                <a:r>
                  <a:rPr lang="en-US" baseline="-25000"/>
                  <a:t>dom</a:t>
                </a:r>
                <a:r>
                  <a:rPr lang="en-US" baseline="0"/>
                  <a:t>  </a:t>
                </a:r>
                <a:r>
                  <a:rPr lang="en-US"/>
                  <a:t> [microns]</a:t>
                </a:r>
              </a:p>
            </c:rich>
          </c:tx>
          <c:overlay val="0"/>
        </c:title>
        <c:numFmt formatCode="General" sourceLinked="1"/>
        <c:majorTickMark val="out"/>
        <c:minorTickMark val="none"/>
        <c:tickLblPos val="nextTo"/>
        <c:crossAx val="98507008"/>
        <c:crosses val="autoZero"/>
        <c:crossBetween val="midCat"/>
      </c:valAx>
      <c:valAx>
        <c:axId val="98507008"/>
        <c:scaling>
          <c:orientation val="minMax"/>
          <c:max val="200"/>
          <c:min val="50"/>
        </c:scaling>
        <c:delete val="0"/>
        <c:axPos val="l"/>
        <c:majorGridlines>
          <c:spPr>
            <a:ln>
              <a:noFill/>
            </a:ln>
          </c:spPr>
        </c:majorGridlines>
        <c:minorGridlines>
          <c:spPr>
            <a:ln>
              <a:noFill/>
            </a:ln>
          </c:spPr>
        </c:minorGridlines>
        <c:title>
          <c:tx>
            <c:rich>
              <a:bodyPr rot="-5400000" vert="horz"/>
              <a:lstStyle/>
              <a:p>
                <a:pPr>
                  <a:defRPr/>
                </a:pPr>
                <a:r>
                  <a:rPr lang="en-US"/>
                  <a:t>K</a:t>
                </a:r>
                <a:r>
                  <a:rPr lang="en-US" baseline="-25000"/>
                  <a:t>St</a:t>
                </a:r>
                <a:r>
                  <a:rPr lang="en-US"/>
                  <a:t> [bar-m/s]</a:t>
                </a:r>
              </a:p>
            </c:rich>
          </c:tx>
          <c:overlay val="0"/>
        </c:title>
        <c:numFmt formatCode="General" sourceLinked="1"/>
        <c:majorTickMark val="out"/>
        <c:minorTickMark val="none"/>
        <c:tickLblPos val="nextTo"/>
        <c:crossAx val="98505088"/>
        <c:crosses val="autoZero"/>
        <c:crossBetween val="midCat"/>
        <c:majorUnit val="50"/>
        <c:minorUnit val="10"/>
      </c:valAx>
    </c:plotArea>
    <c:plotVisOnly val="1"/>
    <c:dispBlanksAs val="gap"/>
    <c:showDLblsOverMax val="0"/>
  </c:chart>
  <c:externalData r:id="rId2">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scatterChart>
        <c:scatterStyle val="lineMarker"/>
        <c:varyColors val="0"/>
        <c:ser>
          <c:idx val="0"/>
          <c:order val="0"/>
          <c:spPr>
            <a:ln w="28575">
              <a:noFill/>
            </a:ln>
          </c:spPr>
          <c:trendline>
            <c:trendlineType val="linear"/>
            <c:dispRSqr val="1"/>
            <c:dispEq val="0"/>
            <c:trendlineLbl>
              <c:layout>
                <c:manualLayout>
                  <c:x val="-0.3403447973258662"/>
                  <c:y val="-8.0199402158063579E-2"/>
                </c:manualLayout>
              </c:layout>
              <c:numFmt formatCode="General" sourceLinked="0"/>
            </c:trendlineLbl>
          </c:trendline>
          <c:xVal>
            <c:numRef>
              <c:f>Sheet1!$K$81:$K$87</c:f>
              <c:numCache>
                <c:formatCode>General</c:formatCode>
                <c:ptCount val="7"/>
                <c:pt idx="0">
                  <c:v>80</c:v>
                </c:pt>
                <c:pt idx="1">
                  <c:v>120</c:v>
                </c:pt>
                <c:pt idx="2">
                  <c:v>15</c:v>
                </c:pt>
                <c:pt idx="3">
                  <c:v>50</c:v>
                </c:pt>
                <c:pt idx="4">
                  <c:v>27</c:v>
                </c:pt>
                <c:pt idx="5">
                  <c:v>90</c:v>
                </c:pt>
                <c:pt idx="6">
                  <c:v>13</c:v>
                </c:pt>
              </c:numCache>
            </c:numRef>
          </c:xVal>
          <c:yVal>
            <c:numRef>
              <c:f>Sheet1!$M$73:$M$79</c:f>
              <c:numCache>
                <c:formatCode>General</c:formatCode>
                <c:ptCount val="7"/>
                <c:pt idx="0">
                  <c:v>123</c:v>
                </c:pt>
                <c:pt idx="1">
                  <c:v>199</c:v>
                </c:pt>
                <c:pt idx="2">
                  <c:v>112</c:v>
                </c:pt>
                <c:pt idx="3">
                  <c:v>104</c:v>
                </c:pt>
                <c:pt idx="4">
                  <c:v>70</c:v>
                </c:pt>
                <c:pt idx="5">
                  <c:v>96</c:v>
                </c:pt>
                <c:pt idx="6">
                  <c:v>64</c:v>
                </c:pt>
              </c:numCache>
            </c:numRef>
          </c:yVal>
          <c:smooth val="0"/>
        </c:ser>
        <c:dLbls>
          <c:showLegendKey val="0"/>
          <c:showVal val="0"/>
          <c:showCatName val="0"/>
          <c:showSerName val="0"/>
          <c:showPercent val="0"/>
          <c:showBubbleSize val="0"/>
        </c:dLbls>
        <c:axId val="98540160"/>
        <c:axId val="98546432"/>
      </c:scatterChart>
      <c:valAx>
        <c:axId val="98540160"/>
        <c:scaling>
          <c:orientation val="minMax"/>
          <c:max val="120"/>
        </c:scaling>
        <c:delete val="0"/>
        <c:axPos val="b"/>
        <c:majorGridlines>
          <c:spPr>
            <a:ln>
              <a:noFill/>
            </a:ln>
          </c:spPr>
        </c:majorGridlines>
        <c:minorGridlines>
          <c:spPr>
            <a:ln>
              <a:noFill/>
            </a:ln>
          </c:spPr>
        </c:minorGridlines>
        <c:title>
          <c:tx>
            <c:rich>
              <a:bodyPr/>
              <a:lstStyle/>
              <a:p>
                <a:pPr>
                  <a:defRPr/>
                </a:pPr>
                <a:r>
                  <a:rPr lang="en-US"/>
                  <a:t>d</a:t>
                </a:r>
                <a:r>
                  <a:rPr lang="en-US" baseline="-25000"/>
                  <a:t>max</a:t>
                </a:r>
                <a:r>
                  <a:rPr lang="en-US" baseline="0"/>
                  <a:t>  </a:t>
                </a:r>
                <a:r>
                  <a:rPr lang="en-US"/>
                  <a:t> [micron]</a:t>
                </a:r>
              </a:p>
            </c:rich>
          </c:tx>
          <c:overlay val="0"/>
        </c:title>
        <c:numFmt formatCode="General" sourceLinked="1"/>
        <c:majorTickMark val="out"/>
        <c:minorTickMark val="none"/>
        <c:tickLblPos val="nextTo"/>
        <c:crossAx val="98546432"/>
        <c:crosses val="autoZero"/>
        <c:crossBetween val="midCat"/>
      </c:valAx>
      <c:valAx>
        <c:axId val="98546432"/>
        <c:scaling>
          <c:orientation val="minMax"/>
          <c:max val="200"/>
          <c:min val="50"/>
        </c:scaling>
        <c:delete val="0"/>
        <c:axPos val="l"/>
        <c:majorGridlines>
          <c:spPr>
            <a:ln>
              <a:noFill/>
            </a:ln>
          </c:spPr>
        </c:majorGridlines>
        <c:minorGridlines>
          <c:spPr>
            <a:ln>
              <a:noFill/>
            </a:ln>
          </c:spPr>
        </c:minorGridlines>
        <c:title>
          <c:tx>
            <c:rich>
              <a:bodyPr rot="-5400000" vert="horz"/>
              <a:lstStyle/>
              <a:p>
                <a:pPr>
                  <a:defRPr/>
                </a:pPr>
                <a:r>
                  <a:rPr lang="en-US"/>
                  <a:t>K</a:t>
                </a:r>
                <a:r>
                  <a:rPr lang="en-US" baseline="-25000"/>
                  <a:t>St</a:t>
                </a:r>
                <a:r>
                  <a:rPr lang="en-US"/>
                  <a:t> [bar-m/sec]</a:t>
                </a:r>
              </a:p>
            </c:rich>
          </c:tx>
          <c:overlay val="0"/>
        </c:title>
        <c:numFmt formatCode="General" sourceLinked="1"/>
        <c:majorTickMark val="out"/>
        <c:minorTickMark val="none"/>
        <c:tickLblPos val="nextTo"/>
        <c:crossAx val="98540160"/>
        <c:crosses val="autoZero"/>
        <c:crossBetween val="midCat"/>
        <c:majorUnit val="50"/>
        <c:minorUnit val="10"/>
      </c:valAx>
    </c:plotArea>
    <c:plotVisOnly val="1"/>
    <c:dispBlanksAs val="gap"/>
    <c:showDLblsOverMax val="0"/>
  </c:chart>
  <c:externalData r:id="rId2">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scatterChart>
        <c:scatterStyle val="lineMarker"/>
        <c:varyColors val="0"/>
        <c:ser>
          <c:idx val="0"/>
          <c:order val="0"/>
          <c:spPr>
            <a:ln w="28575">
              <a:noFill/>
            </a:ln>
          </c:spPr>
          <c:trendline>
            <c:trendlineType val="linear"/>
            <c:dispRSqr val="1"/>
            <c:dispEq val="0"/>
            <c:trendlineLbl>
              <c:layout>
                <c:manualLayout>
                  <c:x val="-0.4584744094488189"/>
                  <c:y val="-0.24938538932633419"/>
                </c:manualLayout>
              </c:layout>
              <c:numFmt formatCode="General" sourceLinked="0"/>
            </c:trendlineLbl>
          </c:trendline>
          <c:xVal>
            <c:numRef>
              <c:f>Sheet1!$K$73:$K$79</c:f>
              <c:numCache>
                <c:formatCode>General</c:formatCode>
                <c:ptCount val="7"/>
                <c:pt idx="0">
                  <c:v>18</c:v>
                </c:pt>
                <c:pt idx="1">
                  <c:v>18</c:v>
                </c:pt>
                <c:pt idx="2">
                  <c:v>4</c:v>
                </c:pt>
                <c:pt idx="3">
                  <c:v>19</c:v>
                </c:pt>
                <c:pt idx="4">
                  <c:v>2.8</c:v>
                </c:pt>
                <c:pt idx="5">
                  <c:v>1.3</c:v>
                </c:pt>
                <c:pt idx="6">
                  <c:v>13</c:v>
                </c:pt>
              </c:numCache>
            </c:numRef>
          </c:xVal>
          <c:yVal>
            <c:numRef>
              <c:f>Sheet1!$L$73:$L$79</c:f>
              <c:numCache>
                <c:formatCode>General</c:formatCode>
                <c:ptCount val="7"/>
                <c:pt idx="0">
                  <c:v>7.3</c:v>
                </c:pt>
                <c:pt idx="1">
                  <c:v>8</c:v>
                </c:pt>
                <c:pt idx="2">
                  <c:v>7.2</c:v>
                </c:pt>
                <c:pt idx="3">
                  <c:v>6.7</c:v>
                </c:pt>
                <c:pt idx="4">
                  <c:v>6.6</c:v>
                </c:pt>
                <c:pt idx="5">
                  <c:v>7.1</c:v>
                </c:pt>
                <c:pt idx="6">
                  <c:v>6.3</c:v>
                </c:pt>
              </c:numCache>
            </c:numRef>
          </c:yVal>
          <c:smooth val="0"/>
        </c:ser>
        <c:dLbls>
          <c:showLegendKey val="0"/>
          <c:showVal val="0"/>
          <c:showCatName val="0"/>
          <c:showSerName val="0"/>
          <c:showPercent val="0"/>
          <c:showBubbleSize val="0"/>
        </c:dLbls>
        <c:axId val="99697792"/>
        <c:axId val="99699712"/>
      </c:scatterChart>
      <c:valAx>
        <c:axId val="99697792"/>
        <c:scaling>
          <c:orientation val="minMax"/>
        </c:scaling>
        <c:delete val="0"/>
        <c:axPos val="b"/>
        <c:majorGridlines>
          <c:spPr>
            <a:ln>
              <a:noFill/>
            </a:ln>
          </c:spPr>
        </c:majorGridlines>
        <c:minorGridlines>
          <c:spPr>
            <a:ln>
              <a:noFill/>
            </a:ln>
          </c:spPr>
        </c:minorGridlines>
        <c:title>
          <c:tx>
            <c:rich>
              <a:bodyPr/>
              <a:lstStyle/>
              <a:p>
                <a:pPr>
                  <a:defRPr/>
                </a:pPr>
                <a:r>
                  <a:rPr lang="en-US"/>
                  <a:t>d</a:t>
                </a:r>
                <a:r>
                  <a:rPr lang="en-US" baseline="-25000"/>
                  <a:t>min</a:t>
                </a:r>
                <a:r>
                  <a:rPr lang="en-US" baseline="0"/>
                  <a:t>  </a:t>
                </a:r>
                <a:r>
                  <a:rPr lang="en-US"/>
                  <a:t> [micron]</a:t>
                </a:r>
              </a:p>
            </c:rich>
          </c:tx>
          <c:overlay val="0"/>
        </c:title>
        <c:numFmt formatCode="General" sourceLinked="1"/>
        <c:majorTickMark val="out"/>
        <c:minorTickMark val="none"/>
        <c:tickLblPos val="nextTo"/>
        <c:crossAx val="99699712"/>
        <c:crosses val="autoZero"/>
        <c:crossBetween val="midCat"/>
      </c:valAx>
      <c:valAx>
        <c:axId val="99699712"/>
        <c:scaling>
          <c:orientation val="minMax"/>
          <c:max val="8"/>
          <c:min val="6"/>
        </c:scaling>
        <c:delete val="0"/>
        <c:axPos val="l"/>
        <c:majorGridlines>
          <c:spPr>
            <a:ln>
              <a:noFill/>
            </a:ln>
          </c:spPr>
        </c:majorGridlines>
        <c:minorGridlines>
          <c:spPr>
            <a:ln>
              <a:noFill/>
            </a:ln>
          </c:spPr>
        </c:minorGridlines>
        <c:title>
          <c:tx>
            <c:rich>
              <a:bodyPr rot="-5400000" vert="horz"/>
              <a:lstStyle/>
              <a:p>
                <a:pPr>
                  <a:defRPr/>
                </a:pPr>
                <a:r>
                  <a:rPr lang="en-US"/>
                  <a:t>p</a:t>
                </a:r>
                <a:r>
                  <a:rPr lang="en-US" baseline="-25000"/>
                  <a:t>max</a:t>
                </a:r>
                <a:r>
                  <a:rPr lang="en-US"/>
                  <a:t> [bar]</a:t>
                </a:r>
              </a:p>
            </c:rich>
          </c:tx>
          <c:overlay val="0"/>
        </c:title>
        <c:numFmt formatCode="General" sourceLinked="1"/>
        <c:majorTickMark val="out"/>
        <c:minorTickMark val="none"/>
        <c:tickLblPos val="nextTo"/>
        <c:crossAx val="99697792"/>
        <c:crosses val="autoZero"/>
        <c:crossBetween val="midCat"/>
        <c:majorUnit val="0.5"/>
        <c:minorUnit val="0.1"/>
      </c:valAx>
    </c:plotArea>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scatterChart>
        <c:scatterStyle val="lineMarker"/>
        <c:varyColors val="0"/>
        <c:ser>
          <c:idx val="0"/>
          <c:order val="0"/>
          <c:spPr>
            <a:ln w="28575">
              <a:noFill/>
            </a:ln>
          </c:spPr>
          <c:trendline>
            <c:trendlineType val="linear"/>
            <c:dispRSqr val="1"/>
            <c:dispEq val="0"/>
            <c:trendlineLbl>
              <c:layout>
                <c:manualLayout>
                  <c:x val="-0.44388888888888889"/>
                  <c:y val="-1.4643482064741907E-3"/>
                </c:manualLayout>
              </c:layout>
              <c:numFmt formatCode="General" sourceLinked="0"/>
            </c:trendlineLbl>
          </c:trendline>
          <c:xVal>
            <c:numRef>
              <c:f>Sheet3!$J$3:$J$9</c:f>
              <c:numCache>
                <c:formatCode>General</c:formatCode>
                <c:ptCount val="7"/>
                <c:pt idx="0">
                  <c:v>7.3</c:v>
                </c:pt>
                <c:pt idx="1">
                  <c:v>8</c:v>
                </c:pt>
                <c:pt idx="2">
                  <c:v>7.2</c:v>
                </c:pt>
                <c:pt idx="3">
                  <c:v>6.7</c:v>
                </c:pt>
                <c:pt idx="4">
                  <c:v>6.6</c:v>
                </c:pt>
                <c:pt idx="5">
                  <c:v>7.1</c:v>
                </c:pt>
                <c:pt idx="6">
                  <c:v>6.3</c:v>
                </c:pt>
              </c:numCache>
            </c:numRef>
          </c:xVal>
          <c:yVal>
            <c:numRef>
              <c:f>Sheet3!$M$3:$M$9</c:f>
              <c:numCache>
                <c:formatCode>General</c:formatCode>
                <c:ptCount val="7"/>
                <c:pt idx="0">
                  <c:v>64</c:v>
                </c:pt>
                <c:pt idx="1">
                  <c:v>17</c:v>
                </c:pt>
                <c:pt idx="2">
                  <c:v>53</c:v>
                </c:pt>
                <c:pt idx="3">
                  <c:v>48</c:v>
                </c:pt>
                <c:pt idx="4">
                  <c:v>73</c:v>
                </c:pt>
                <c:pt idx="5">
                  <c:v>51</c:v>
                </c:pt>
                <c:pt idx="6">
                  <c:v>92</c:v>
                </c:pt>
              </c:numCache>
            </c:numRef>
          </c:yVal>
          <c:smooth val="0"/>
        </c:ser>
        <c:dLbls>
          <c:showLegendKey val="0"/>
          <c:showVal val="0"/>
          <c:showCatName val="0"/>
          <c:showSerName val="0"/>
          <c:showPercent val="0"/>
          <c:showBubbleSize val="0"/>
        </c:dLbls>
        <c:axId val="89665536"/>
        <c:axId val="89667456"/>
      </c:scatterChart>
      <c:valAx>
        <c:axId val="89665536"/>
        <c:scaling>
          <c:orientation val="minMax"/>
          <c:max val="8"/>
          <c:min val="6"/>
        </c:scaling>
        <c:delete val="0"/>
        <c:axPos val="b"/>
        <c:majorGridlines>
          <c:spPr>
            <a:ln>
              <a:noFill/>
            </a:ln>
          </c:spPr>
        </c:majorGridlines>
        <c:minorGridlines>
          <c:spPr>
            <a:ln>
              <a:noFill/>
            </a:ln>
          </c:spPr>
        </c:minorGridlines>
        <c:title>
          <c:tx>
            <c:rich>
              <a:bodyPr/>
              <a:lstStyle/>
              <a:p>
                <a:pPr>
                  <a:defRPr/>
                </a:pPr>
                <a:r>
                  <a:rPr lang="en-US"/>
                  <a:t>P</a:t>
                </a:r>
                <a:r>
                  <a:rPr lang="en-US" baseline="-25000"/>
                  <a:t>max</a:t>
                </a:r>
                <a:r>
                  <a:rPr lang="en-US" baseline="0"/>
                  <a:t>   [bar]</a:t>
                </a:r>
              </a:p>
            </c:rich>
          </c:tx>
          <c:overlay val="0"/>
        </c:title>
        <c:numFmt formatCode="General" sourceLinked="1"/>
        <c:majorTickMark val="out"/>
        <c:minorTickMark val="none"/>
        <c:tickLblPos val="nextTo"/>
        <c:crossAx val="89667456"/>
        <c:crosses val="autoZero"/>
        <c:crossBetween val="midCat"/>
      </c:valAx>
      <c:valAx>
        <c:axId val="89667456"/>
        <c:scaling>
          <c:orientation val="minMax"/>
          <c:max val="100"/>
          <c:min val="0"/>
        </c:scaling>
        <c:delete val="0"/>
        <c:axPos val="l"/>
        <c:majorGridlines>
          <c:spPr>
            <a:ln>
              <a:noFill/>
            </a:ln>
          </c:spPr>
        </c:majorGridlines>
        <c:minorGridlines>
          <c:spPr>
            <a:ln>
              <a:noFill/>
            </a:ln>
          </c:spPr>
        </c:minorGridlines>
        <c:title>
          <c:tx>
            <c:rich>
              <a:bodyPr rot="-5400000" vert="horz"/>
              <a:lstStyle/>
              <a:p>
                <a:pPr>
                  <a:defRPr/>
                </a:pPr>
                <a:r>
                  <a:rPr lang="en-US"/>
                  <a:t>MEC   [g/m</a:t>
                </a:r>
                <a:r>
                  <a:rPr lang="en-US" baseline="30000"/>
                  <a:t>3</a:t>
                </a:r>
                <a:r>
                  <a:rPr lang="en-US"/>
                  <a:t>]</a:t>
                </a:r>
              </a:p>
            </c:rich>
          </c:tx>
          <c:overlay val="0"/>
        </c:title>
        <c:numFmt formatCode="General" sourceLinked="1"/>
        <c:majorTickMark val="out"/>
        <c:minorTickMark val="none"/>
        <c:tickLblPos val="nextTo"/>
        <c:crossAx val="89665536"/>
        <c:crosses val="autoZero"/>
        <c:crossBetween val="midCat"/>
        <c:majorUnit val="10"/>
        <c:minorUnit val="5"/>
      </c:valAx>
    </c:plotArea>
    <c:plotVisOnly val="1"/>
    <c:dispBlanksAs val="gap"/>
    <c:showDLblsOverMax val="0"/>
  </c:chart>
  <c:externalData r:id="rId2">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scatterChart>
        <c:scatterStyle val="lineMarker"/>
        <c:varyColors val="0"/>
        <c:ser>
          <c:idx val="0"/>
          <c:order val="0"/>
          <c:spPr>
            <a:ln w="28575">
              <a:noFill/>
            </a:ln>
          </c:spPr>
          <c:trendline>
            <c:trendlineType val="linear"/>
            <c:dispRSqr val="1"/>
            <c:dispEq val="0"/>
            <c:trendlineLbl>
              <c:layout>
                <c:manualLayout>
                  <c:x val="-0.32688276465441818"/>
                  <c:y val="-0.12360527850685331"/>
                </c:manualLayout>
              </c:layout>
              <c:numFmt formatCode="General" sourceLinked="0"/>
            </c:trendlineLbl>
          </c:trendline>
          <c:xVal>
            <c:numRef>
              <c:f>Sheet1!$K$73:$K$79</c:f>
              <c:numCache>
                <c:formatCode>General</c:formatCode>
                <c:ptCount val="7"/>
                <c:pt idx="0">
                  <c:v>18</c:v>
                </c:pt>
                <c:pt idx="1">
                  <c:v>18</c:v>
                </c:pt>
                <c:pt idx="2">
                  <c:v>4</c:v>
                </c:pt>
                <c:pt idx="3">
                  <c:v>19</c:v>
                </c:pt>
                <c:pt idx="4">
                  <c:v>2.8</c:v>
                </c:pt>
                <c:pt idx="5">
                  <c:v>1.3</c:v>
                </c:pt>
                <c:pt idx="6">
                  <c:v>13</c:v>
                </c:pt>
              </c:numCache>
            </c:numRef>
          </c:xVal>
          <c:yVal>
            <c:numRef>
              <c:f>Sheet1!$M$73:$M$79</c:f>
              <c:numCache>
                <c:formatCode>General</c:formatCode>
                <c:ptCount val="7"/>
                <c:pt idx="0">
                  <c:v>123</c:v>
                </c:pt>
                <c:pt idx="1">
                  <c:v>199</c:v>
                </c:pt>
                <c:pt idx="2">
                  <c:v>112</c:v>
                </c:pt>
                <c:pt idx="3">
                  <c:v>104</c:v>
                </c:pt>
                <c:pt idx="4">
                  <c:v>70</c:v>
                </c:pt>
                <c:pt idx="5">
                  <c:v>96</c:v>
                </c:pt>
                <c:pt idx="6">
                  <c:v>64</c:v>
                </c:pt>
              </c:numCache>
            </c:numRef>
          </c:yVal>
          <c:smooth val="0"/>
        </c:ser>
        <c:dLbls>
          <c:showLegendKey val="0"/>
          <c:showVal val="0"/>
          <c:showCatName val="0"/>
          <c:showSerName val="0"/>
          <c:showPercent val="0"/>
          <c:showBubbleSize val="0"/>
        </c:dLbls>
        <c:axId val="99741056"/>
        <c:axId val="99751424"/>
      </c:scatterChart>
      <c:valAx>
        <c:axId val="99741056"/>
        <c:scaling>
          <c:orientation val="minMax"/>
          <c:max val="20"/>
          <c:min val="0"/>
        </c:scaling>
        <c:delete val="0"/>
        <c:axPos val="b"/>
        <c:majorGridlines>
          <c:spPr>
            <a:ln>
              <a:noFill/>
            </a:ln>
          </c:spPr>
        </c:majorGridlines>
        <c:minorGridlines>
          <c:spPr>
            <a:ln>
              <a:noFill/>
            </a:ln>
          </c:spPr>
        </c:minorGridlines>
        <c:title>
          <c:tx>
            <c:rich>
              <a:bodyPr/>
              <a:lstStyle/>
              <a:p>
                <a:pPr>
                  <a:defRPr/>
                </a:pPr>
                <a:r>
                  <a:rPr lang="en-US"/>
                  <a:t>d</a:t>
                </a:r>
                <a:r>
                  <a:rPr lang="en-US" baseline="-25000"/>
                  <a:t>min</a:t>
                </a:r>
                <a:r>
                  <a:rPr lang="en-US" baseline="0"/>
                  <a:t>  </a:t>
                </a:r>
                <a:r>
                  <a:rPr lang="en-US"/>
                  <a:t> [micron]</a:t>
                </a:r>
              </a:p>
            </c:rich>
          </c:tx>
          <c:overlay val="0"/>
        </c:title>
        <c:numFmt formatCode="General" sourceLinked="1"/>
        <c:majorTickMark val="out"/>
        <c:minorTickMark val="none"/>
        <c:tickLblPos val="nextTo"/>
        <c:crossAx val="99751424"/>
        <c:crosses val="autoZero"/>
        <c:crossBetween val="midCat"/>
        <c:majorUnit val="5"/>
        <c:minorUnit val="1"/>
      </c:valAx>
      <c:valAx>
        <c:axId val="99751424"/>
        <c:scaling>
          <c:orientation val="minMax"/>
          <c:max val="200"/>
          <c:min val="50"/>
        </c:scaling>
        <c:delete val="0"/>
        <c:axPos val="l"/>
        <c:majorGridlines>
          <c:spPr>
            <a:ln>
              <a:noFill/>
            </a:ln>
          </c:spPr>
        </c:majorGridlines>
        <c:minorGridlines>
          <c:spPr>
            <a:ln>
              <a:noFill/>
            </a:ln>
          </c:spPr>
        </c:minorGridlines>
        <c:title>
          <c:tx>
            <c:rich>
              <a:bodyPr rot="-5400000" vert="horz"/>
              <a:lstStyle/>
              <a:p>
                <a:pPr>
                  <a:defRPr/>
                </a:pPr>
                <a:r>
                  <a:rPr lang="en-US"/>
                  <a:t>K</a:t>
                </a:r>
                <a:r>
                  <a:rPr lang="en-US" baseline="-25000"/>
                  <a:t>St</a:t>
                </a:r>
                <a:r>
                  <a:rPr lang="en-US"/>
                  <a:t> [bar-m/sec]</a:t>
                </a:r>
              </a:p>
            </c:rich>
          </c:tx>
          <c:overlay val="0"/>
        </c:title>
        <c:numFmt formatCode="General" sourceLinked="1"/>
        <c:majorTickMark val="out"/>
        <c:minorTickMark val="none"/>
        <c:tickLblPos val="nextTo"/>
        <c:crossAx val="99741056"/>
        <c:crosses val="autoZero"/>
        <c:crossBetween val="midCat"/>
        <c:majorUnit val="50"/>
        <c:minorUnit val="10"/>
      </c:valAx>
    </c:plotArea>
    <c:plotVisOnly val="1"/>
    <c:dispBlanksAs val="gap"/>
    <c:showDLblsOverMax val="0"/>
  </c:chart>
  <c:externalData r:id="rId2">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scatterChart>
        <c:scatterStyle val="lineMarker"/>
        <c:varyColors val="0"/>
        <c:ser>
          <c:idx val="0"/>
          <c:order val="0"/>
          <c:spPr>
            <a:ln w="28575">
              <a:noFill/>
            </a:ln>
          </c:spPr>
          <c:trendline>
            <c:trendlineType val="linear"/>
            <c:dispRSqr val="1"/>
            <c:dispEq val="0"/>
            <c:trendlineLbl>
              <c:layout>
                <c:manualLayout>
                  <c:x val="-0.37275481189851267"/>
                  <c:y val="-2.7073126275882181E-2"/>
                </c:manualLayout>
              </c:layout>
              <c:numFmt formatCode="General" sourceLinked="0"/>
            </c:trendlineLbl>
          </c:trendline>
          <c:xVal>
            <c:numRef>
              <c:f>Sheet1!$E$3:$E$9</c:f>
              <c:numCache>
                <c:formatCode>General</c:formatCode>
                <c:ptCount val="7"/>
                <c:pt idx="0">
                  <c:v>46.14</c:v>
                </c:pt>
                <c:pt idx="1">
                  <c:v>97.23</c:v>
                </c:pt>
                <c:pt idx="2">
                  <c:v>6.47</c:v>
                </c:pt>
                <c:pt idx="3">
                  <c:v>31.64</c:v>
                </c:pt>
                <c:pt idx="4">
                  <c:v>7.89</c:v>
                </c:pt>
                <c:pt idx="5">
                  <c:v>68.23</c:v>
                </c:pt>
                <c:pt idx="6">
                  <c:v>9.81</c:v>
                </c:pt>
              </c:numCache>
            </c:numRef>
          </c:xVal>
          <c:yVal>
            <c:numRef>
              <c:f>Sheet1!$L$3:$L$9</c:f>
              <c:numCache>
                <c:formatCode>General</c:formatCode>
                <c:ptCount val="7"/>
                <c:pt idx="0">
                  <c:v>64</c:v>
                </c:pt>
                <c:pt idx="1">
                  <c:v>17</c:v>
                </c:pt>
                <c:pt idx="2">
                  <c:v>53</c:v>
                </c:pt>
                <c:pt idx="3">
                  <c:v>48</c:v>
                </c:pt>
                <c:pt idx="4">
                  <c:v>73</c:v>
                </c:pt>
                <c:pt idx="5">
                  <c:v>51</c:v>
                </c:pt>
                <c:pt idx="6">
                  <c:v>92</c:v>
                </c:pt>
              </c:numCache>
            </c:numRef>
          </c:yVal>
          <c:smooth val="0"/>
        </c:ser>
        <c:dLbls>
          <c:showLegendKey val="0"/>
          <c:showVal val="0"/>
          <c:showCatName val="0"/>
          <c:showSerName val="0"/>
          <c:showPercent val="0"/>
          <c:showBubbleSize val="0"/>
        </c:dLbls>
        <c:axId val="99788288"/>
        <c:axId val="99790208"/>
      </c:scatterChart>
      <c:valAx>
        <c:axId val="99788288"/>
        <c:scaling>
          <c:orientation val="minMax"/>
          <c:max val="100"/>
          <c:min val="0"/>
        </c:scaling>
        <c:delete val="0"/>
        <c:axPos val="b"/>
        <c:majorGridlines>
          <c:spPr>
            <a:ln>
              <a:noFill/>
            </a:ln>
          </c:spPr>
        </c:majorGridlines>
        <c:minorGridlines>
          <c:spPr>
            <a:ln>
              <a:noFill/>
            </a:ln>
          </c:spPr>
        </c:minorGridlines>
        <c:title>
          <c:tx>
            <c:rich>
              <a:bodyPr/>
              <a:lstStyle/>
              <a:p>
                <a:pPr>
                  <a:defRPr/>
                </a:pPr>
                <a:r>
                  <a:rPr lang="en-US"/>
                  <a:t>d</a:t>
                </a:r>
                <a:r>
                  <a:rPr lang="en-US" baseline="-25000"/>
                  <a:t>mean</a:t>
                </a:r>
                <a:r>
                  <a:rPr lang="en-US" baseline="0"/>
                  <a:t>  </a:t>
                </a:r>
                <a:r>
                  <a:rPr lang="en-US"/>
                  <a:t> [micron]</a:t>
                </a:r>
              </a:p>
            </c:rich>
          </c:tx>
          <c:overlay val="0"/>
        </c:title>
        <c:numFmt formatCode="General" sourceLinked="1"/>
        <c:majorTickMark val="out"/>
        <c:minorTickMark val="none"/>
        <c:tickLblPos val="nextTo"/>
        <c:crossAx val="99790208"/>
        <c:crosses val="autoZero"/>
        <c:crossBetween val="midCat"/>
        <c:majorUnit val="20"/>
        <c:minorUnit val="5"/>
      </c:valAx>
      <c:valAx>
        <c:axId val="99790208"/>
        <c:scaling>
          <c:orientation val="minMax"/>
          <c:max val="100"/>
          <c:min val="0"/>
        </c:scaling>
        <c:delete val="0"/>
        <c:axPos val="l"/>
        <c:majorGridlines>
          <c:spPr>
            <a:ln>
              <a:noFill/>
            </a:ln>
          </c:spPr>
        </c:majorGridlines>
        <c:minorGridlines>
          <c:spPr>
            <a:ln>
              <a:noFill/>
            </a:ln>
          </c:spPr>
        </c:minorGridlines>
        <c:title>
          <c:tx>
            <c:rich>
              <a:bodyPr rot="-5400000" vert="horz"/>
              <a:lstStyle/>
              <a:p>
                <a:pPr>
                  <a:defRPr/>
                </a:pPr>
                <a:r>
                  <a:rPr lang="en-US"/>
                  <a:t>MEC [g/m</a:t>
                </a:r>
                <a:r>
                  <a:rPr lang="en-US" baseline="30000"/>
                  <a:t>3</a:t>
                </a:r>
                <a:r>
                  <a:rPr lang="en-US"/>
                  <a:t>]</a:t>
                </a:r>
              </a:p>
            </c:rich>
          </c:tx>
          <c:overlay val="0"/>
        </c:title>
        <c:numFmt formatCode="General" sourceLinked="1"/>
        <c:majorTickMark val="out"/>
        <c:minorTickMark val="none"/>
        <c:tickLblPos val="nextTo"/>
        <c:crossAx val="99788288"/>
        <c:crosses val="autoZero"/>
        <c:crossBetween val="midCat"/>
        <c:majorUnit val="10"/>
        <c:minorUnit val="5"/>
      </c:valAx>
    </c:plotArea>
    <c:plotVisOnly val="1"/>
    <c:dispBlanksAs val="gap"/>
    <c:showDLblsOverMax val="0"/>
  </c:chart>
  <c:externalData r:id="rId2">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1"/>
          <c:order val="0"/>
          <c:spPr>
            <a:ln w="28575">
              <a:noFill/>
            </a:ln>
          </c:spPr>
          <c:trendline>
            <c:trendlineType val="linear"/>
            <c:dispRSqr val="1"/>
            <c:dispEq val="0"/>
            <c:trendlineLbl>
              <c:layout>
                <c:manualLayout>
                  <c:x val="-0.30702515310586176"/>
                  <c:y val="1.1097987751531058E-2"/>
                </c:manualLayout>
              </c:layout>
              <c:numFmt formatCode="General" sourceLinked="0"/>
            </c:trendlineLbl>
          </c:trendline>
          <c:xVal>
            <c:numRef>
              <c:f>Sheet1!$C$3:$C$9</c:f>
              <c:numCache>
                <c:formatCode>General</c:formatCode>
                <c:ptCount val="7"/>
                <c:pt idx="0">
                  <c:v>38.340000000000003</c:v>
                </c:pt>
                <c:pt idx="1">
                  <c:v>99.17</c:v>
                </c:pt>
                <c:pt idx="2">
                  <c:v>4.47</c:v>
                </c:pt>
                <c:pt idx="3">
                  <c:v>28.54</c:v>
                </c:pt>
                <c:pt idx="4">
                  <c:v>4.0199999999999996</c:v>
                </c:pt>
                <c:pt idx="5">
                  <c:v>66.02</c:v>
                </c:pt>
                <c:pt idx="6">
                  <c:v>9</c:v>
                </c:pt>
              </c:numCache>
            </c:numRef>
          </c:xVal>
          <c:yVal>
            <c:numRef>
              <c:f>Sheet1!$L$3:$L$9</c:f>
              <c:numCache>
                <c:formatCode>General</c:formatCode>
                <c:ptCount val="7"/>
                <c:pt idx="0">
                  <c:v>64</c:v>
                </c:pt>
                <c:pt idx="1">
                  <c:v>17</c:v>
                </c:pt>
                <c:pt idx="2">
                  <c:v>53</c:v>
                </c:pt>
                <c:pt idx="3">
                  <c:v>48</c:v>
                </c:pt>
                <c:pt idx="4">
                  <c:v>73</c:v>
                </c:pt>
                <c:pt idx="5">
                  <c:v>51</c:v>
                </c:pt>
                <c:pt idx="6">
                  <c:v>92</c:v>
                </c:pt>
              </c:numCache>
            </c:numRef>
          </c:yVal>
          <c:smooth val="0"/>
        </c:ser>
        <c:dLbls>
          <c:showLegendKey val="0"/>
          <c:showVal val="0"/>
          <c:showCatName val="0"/>
          <c:showSerName val="0"/>
          <c:showPercent val="0"/>
          <c:showBubbleSize val="0"/>
        </c:dLbls>
        <c:axId val="99824000"/>
        <c:axId val="99825920"/>
      </c:scatterChart>
      <c:valAx>
        <c:axId val="99824000"/>
        <c:scaling>
          <c:orientation val="minMax"/>
          <c:max val="100"/>
          <c:min val="0"/>
        </c:scaling>
        <c:delete val="0"/>
        <c:axPos val="b"/>
        <c:title>
          <c:tx>
            <c:rich>
              <a:bodyPr/>
              <a:lstStyle/>
              <a:p>
                <a:pPr>
                  <a:defRPr/>
                </a:pPr>
                <a:r>
                  <a:rPr lang="en-US"/>
                  <a:t>d</a:t>
                </a:r>
                <a:r>
                  <a:rPr lang="en-US" baseline="-25000"/>
                  <a:t>50</a:t>
                </a:r>
                <a:r>
                  <a:rPr lang="en-US"/>
                  <a:t>   [micron]</a:t>
                </a:r>
              </a:p>
            </c:rich>
          </c:tx>
          <c:overlay val="0"/>
        </c:title>
        <c:numFmt formatCode="General" sourceLinked="1"/>
        <c:majorTickMark val="out"/>
        <c:minorTickMark val="none"/>
        <c:tickLblPos val="nextTo"/>
        <c:crossAx val="99825920"/>
        <c:crosses val="autoZero"/>
        <c:crossBetween val="midCat"/>
      </c:valAx>
      <c:valAx>
        <c:axId val="99825920"/>
        <c:scaling>
          <c:orientation val="minMax"/>
        </c:scaling>
        <c:delete val="0"/>
        <c:axPos val="l"/>
        <c:majorGridlines>
          <c:spPr>
            <a:ln>
              <a:noFill/>
            </a:ln>
          </c:spPr>
        </c:majorGridlines>
        <c:title>
          <c:tx>
            <c:rich>
              <a:bodyPr rot="-5400000" vert="horz"/>
              <a:lstStyle/>
              <a:p>
                <a:pPr>
                  <a:defRPr/>
                </a:pPr>
                <a:r>
                  <a:rPr lang="en-US"/>
                  <a:t>MEC [g/m</a:t>
                </a:r>
                <a:r>
                  <a:rPr lang="en-US" baseline="30000"/>
                  <a:t>3</a:t>
                </a:r>
                <a:r>
                  <a:rPr lang="en-US"/>
                  <a:t>]</a:t>
                </a:r>
              </a:p>
            </c:rich>
          </c:tx>
          <c:overlay val="0"/>
        </c:title>
        <c:numFmt formatCode="General" sourceLinked="1"/>
        <c:majorTickMark val="out"/>
        <c:minorTickMark val="none"/>
        <c:tickLblPos val="nextTo"/>
        <c:crossAx val="99824000"/>
        <c:crosses val="autoZero"/>
        <c:crossBetween val="midCat"/>
      </c:valAx>
    </c:plotArea>
    <c:plotVisOnly val="1"/>
    <c:dispBlanksAs val="gap"/>
    <c:showDLblsOverMax val="0"/>
  </c:chart>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scatterChart>
        <c:scatterStyle val="lineMarker"/>
        <c:varyColors val="0"/>
        <c:ser>
          <c:idx val="1"/>
          <c:order val="0"/>
          <c:spPr>
            <a:ln w="28575">
              <a:noFill/>
            </a:ln>
          </c:spPr>
          <c:trendline>
            <c:trendlineType val="linear"/>
            <c:dispRSqr val="1"/>
            <c:dispEq val="0"/>
            <c:trendlineLbl>
              <c:layout>
                <c:manualLayout>
                  <c:x val="-0.32268066491688541"/>
                  <c:y val="6.0014216972878391E-2"/>
                </c:manualLayout>
              </c:layout>
              <c:numFmt formatCode="General" sourceLinked="0"/>
            </c:trendlineLbl>
          </c:trendline>
          <c:xVal>
            <c:numRef>
              <c:f>Sheet1!$H$14:$H$20</c:f>
              <c:numCache>
                <c:formatCode>General</c:formatCode>
                <c:ptCount val="7"/>
                <c:pt idx="0">
                  <c:v>80</c:v>
                </c:pt>
                <c:pt idx="1">
                  <c:v>120</c:v>
                </c:pt>
                <c:pt idx="2">
                  <c:v>4</c:v>
                </c:pt>
                <c:pt idx="3">
                  <c:v>50</c:v>
                </c:pt>
                <c:pt idx="4">
                  <c:v>2.8</c:v>
                </c:pt>
                <c:pt idx="5">
                  <c:v>90</c:v>
                </c:pt>
                <c:pt idx="6">
                  <c:v>13</c:v>
                </c:pt>
              </c:numCache>
            </c:numRef>
          </c:xVal>
          <c:yVal>
            <c:numRef>
              <c:f>Sheet1!$K$14:$K$20</c:f>
              <c:numCache>
                <c:formatCode>General</c:formatCode>
                <c:ptCount val="7"/>
                <c:pt idx="0">
                  <c:v>64</c:v>
                </c:pt>
                <c:pt idx="1">
                  <c:v>17</c:v>
                </c:pt>
                <c:pt idx="2">
                  <c:v>53</c:v>
                </c:pt>
                <c:pt idx="3">
                  <c:v>48</c:v>
                </c:pt>
                <c:pt idx="4">
                  <c:v>73</c:v>
                </c:pt>
                <c:pt idx="5">
                  <c:v>51</c:v>
                </c:pt>
                <c:pt idx="6">
                  <c:v>92</c:v>
                </c:pt>
              </c:numCache>
            </c:numRef>
          </c:yVal>
          <c:smooth val="0"/>
        </c:ser>
        <c:dLbls>
          <c:showLegendKey val="0"/>
          <c:showVal val="0"/>
          <c:showCatName val="0"/>
          <c:showSerName val="0"/>
          <c:showPercent val="0"/>
          <c:showBubbleSize val="0"/>
        </c:dLbls>
        <c:axId val="99990144"/>
        <c:axId val="99881728"/>
      </c:scatterChart>
      <c:valAx>
        <c:axId val="99990144"/>
        <c:scaling>
          <c:orientation val="minMax"/>
          <c:max val="120"/>
          <c:min val="0"/>
        </c:scaling>
        <c:delete val="0"/>
        <c:axPos val="b"/>
        <c:majorGridlines>
          <c:spPr>
            <a:ln>
              <a:noFill/>
            </a:ln>
          </c:spPr>
        </c:majorGridlines>
        <c:minorGridlines>
          <c:spPr>
            <a:ln>
              <a:noFill/>
            </a:ln>
          </c:spPr>
        </c:minorGridlines>
        <c:title>
          <c:tx>
            <c:rich>
              <a:bodyPr/>
              <a:lstStyle/>
              <a:p>
                <a:pPr>
                  <a:defRPr/>
                </a:pPr>
                <a:r>
                  <a:rPr lang="en-US"/>
                  <a:t>d</a:t>
                </a:r>
                <a:r>
                  <a:rPr lang="en-US" baseline="-25000"/>
                  <a:t>dom</a:t>
                </a:r>
                <a:r>
                  <a:rPr lang="en-US"/>
                  <a:t>   [microns]</a:t>
                </a:r>
              </a:p>
            </c:rich>
          </c:tx>
          <c:overlay val="0"/>
        </c:title>
        <c:numFmt formatCode="General" sourceLinked="1"/>
        <c:majorTickMark val="out"/>
        <c:minorTickMark val="none"/>
        <c:tickLblPos val="nextTo"/>
        <c:crossAx val="99881728"/>
        <c:crosses val="autoZero"/>
        <c:crossBetween val="midCat"/>
      </c:valAx>
      <c:valAx>
        <c:axId val="99881728"/>
        <c:scaling>
          <c:orientation val="minMax"/>
        </c:scaling>
        <c:delete val="0"/>
        <c:axPos val="l"/>
        <c:majorGridlines>
          <c:spPr>
            <a:ln>
              <a:noFill/>
            </a:ln>
          </c:spPr>
        </c:majorGridlines>
        <c:minorGridlines>
          <c:spPr>
            <a:ln>
              <a:noFill/>
            </a:ln>
          </c:spPr>
        </c:minorGridlines>
        <c:title>
          <c:tx>
            <c:rich>
              <a:bodyPr rot="-5400000" vert="horz"/>
              <a:lstStyle/>
              <a:p>
                <a:pPr>
                  <a:defRPr/>
                </a:pPr>
                <a:r>
                  <a:rPr lang="en-US"/>
                  <a:t>MEC [g/m</a:t>
                </a:r>
                <a:r>
                  <a:rPr lang="en-US" baseline="30000"/>
                  <a:t>3</a:t>
                </a:r>
                <a:r>
                  <a:rPr lang="en-US"/>
                  <a:t>]</a:t>
                </a:r>
              </a:p>
            </c:rich>
          </c:tx>
          <c:overlay val="0"/>
        </c:title>
        <c:numFmt formatCode="General" sourceLinked="1"/>
        <c:majorTickMark val="out"/>
        <c:minorTickMark val="none"/>
        <c:tickLblPos val="nextTo"/>
        <c:crossAx val="99990144"/>
        <c:crosses val="autoZero"/>
        <c:crossBetween val="midCat"/>
        <c:minorUnit val="5"/>
      </c:valAx>
    </c:plotArea>
    <c:plotVisOnly val="1"/>
    <c:dispBlanksAs val="gap"/>
    <c:showDLblsOverMax val="0"/>
  </c:chart>
  <c:externalData r:id="rId2">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scatterChart>
        <c:scatterStyle val="lineMarker"/>
        <c:varyColors val="0"/>
        <c:ser>
          <c:idx val="0"/>
          <c:order val="0"/>
          <c:spPr>
            <a:ln w="28575">
              <a:noFill/>
            </a:ln>
          </c:spPr>
          <c:trendline>
            <c:trendlineType val="linear"/>
            <c:dispRSqr val="1"/>
            <c:dispEq val="0"/>
            <c:trendlineLbl>
              <c:layout>
                <c:manualLayout>
                  <c:x val="-0.24551640419947507"/>
                  <c:y val="6.6907990667833192E-2"/>
                </c:manualLayout>
              </c:layout>
              <c:numFmt formatCode="General" sourceLinked="0"/>
            </c:trendlineLbl>
          </c:trendline>
          <c:xVal>
            <c:numRef>
              <c:f>Sheet1!$K$81:$K$87</c:f>
              <c:numCache>
                <c:formatCode>General</c:formatCode>
                <c:ptCount val="7"/>
                <c:pt idx="0">
                  <c:v>80</c:v>
                </c:pt>
                <c:pt idx="1">
                  <c:v>120</c:v>
                </c:pt>
                <c:pt idx="2">
                  <c:v>15</c:v>
                </c:pt>
                <c:pt idx="3">
                  <c:v>50</c:v>
                </c:pt>
                <c:pt idx="4">
                  <c:v>27</c:v>
                </c:pt>
                <c:pt idx="5">
                  <c:v>90</c:v>
                </c:pt>
                <c:pt idx="6">
                  <c:v>13</c:v>
                </c:pt>
              </c:numCache>
            </c:numRef>
          </c:xVal>
          <c:yVal>
            <c:numRef>
              <c:f>Sheet1!$N$73:$N$79</c:f>
              <c:numCache>
                <c:formatCode>General</c:formatCode>
                <c:ptCount val="7"/>
                <c:pt idx="0">
                  <c:v>64</c:v>
                </c:pt>
                <c:pt idx="1">
                  <c:v>17</c:v>
                </c:pt>
                <c:pt idx="2">
                  <c:v>53</c:v>
                </c:pt>
                <c:pt idx="3">
                  <c:v>48</c:v>
                </c:pt>
                <c:pt idx="4">
                  <c:v>73</c:v>
                </c:pt>
                <c:pt idx="5">
                  <c:v>51</c:v>
                </c:pt>
                <c:pt idx="6">
                  <c:v>92</c:v>
                </c:pt>
              </c:numCache>
            </c:numRef>
          </c:yVal>
          <c:smooth val="0"/>
        </c:ser>
        <c:dLbls>
          <c:showLegendKey val="0"/>
          <c:showVal val="0"/>
          <c:showCatName val="0"/>
          <c:showSerName val="0"/>
          <c:showPercent val="0"/>
          <c:showBubbleSize val="0"/>
        </c:dLbls>
        <c:axId val="99918976"/>
        <c:axId val="99920896"/>
      </c:scatterChart>
      <c:valAx>
        <c:axId val="99918976"/>
        <c:scaling>
          <c:orientation val="minMax"/>
          <c:max val="120"/>
          <c:min val="0"/>
        </c:scaling>
        <c:delete val="0"/>
        <c:axPos val="b"/>
        <c:majorGridlines>
          <c:spPr>
            <a:ln>
              <a:noFill/>
            </a:ln>
          </c:spPr>
        </c:majorGridlines>
        <c:minorGridlines>
          <c:spPr>
            <a:ln>
              <a:noFill/>
            </a:ln>
          </c:spPr>
        </c:minorGridlines>
        <c:title>
          <c:tx>
            <c:rich>
              <a:bodyPr/>
              <a:lstStyle/>
              <a:p>
                <a:pPr>
                  <a:defRPr/>
                </a:pPr>
                <a:r>
                  <a:rPr lang="en-US"/>
                  <a:t>d</a:t>
                </a:r>
                <a:r>
                  <a:rPr lang="en-US" baseline="-25000"/>
                  <a:t>max</a:t>
                </a:r>
                <a:r>
                  <a:rPr lang="en-US"/>
                  <a:t>   [micron]</a:t>
                </a:r>
              </a:p>
            </c:rich>
          </c:tx>
          <c:overlay val="0"/>
        </c:title>
        <c:numFmt formatCode="General" sourceLinked="1"/>
        <c:majorTickMark val="out"/>
        <c:minorTickMark val="none"/>
        <c:tickLblPos val="nextTo"/>
        <c:crossAx val="99920896"/>
        <c:crosses val="autoZero"/>
        <c:crossBetween val="midCat"/>
      </c:valAx>
      <c:valAx>
        <c:axId val="99920896"/>
        <c:scaling>
          <c:orientation val="minMax"/>
        </c:scaling>
        <c:delete val="0"/>
        <c:axPos val="l"/>
        <c:majorGridlines>
          <c:spPr>
            <a:ln>
              <a:noFill/>
            </a:ln>
          </c:spPr>
        </c:majorGridlines>
        <c:title>
          <c:tx>
            <c:rich>
              <a:bodyPr rot="-5400000" vert="horz"/>
              <a:lstStyle/>
              <a:p>
                <a:pPr>
                  <a:defRPr/>
                </a:pPr>
                <a:r>
                  <a:rPr lang="en-US"/>
                  <a:t>MEC [g/m</a:t>
                </a:r>
                <a:r>
                  <a:rPr lang="en-US" baseline="30000"/>
                  <a:t>3</a:t>
                </a:r>
                <a:r>
                  <a:rPr lang="en-US"/>
                  <a:t>]</a:t>
                </a:r>
              </a:p>
            </c:rich>
          </c:tx>
          <c:overlay val="0"/>
        </c:title>
        <c:numFmt formatCode="General" sourceLinked="1"/>
        <c:majorTickMark val="out"/>
        <c:minorTickMark val="none"/>
        <c:tickLblPos val="nextTo"/>
        <c:crossAx val="99918976"/>
        <c:crosses val="autoZero"/>
        <c:crossBetween val="midCat"/>
      </c:valAx>
    </c:plotArea>
    <c:plotVisOnly val="1"/>
    <c:dispBlanksAs val="gap"/>
    <c:showDLblsOverMax val="0"/>
  </c:chart>
  <c:externalData r:id="rId2">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scatterChart>
        <c:scatterStyle val="lineMarker"/>
        <c:varyColors val="0"/>
        <c:ser>
          <c:idx val="0"/>
          <c:order val="0"/>
          <c:spPr>
            <a:ln w="28575">
              <a:noFill/>
            </a:ln>
          </c:spPr>
          <c:trendline>
            <c:trendlineType val="linear"/>
            <c:dispRSqr val="1"/>
            <c:dispEq val="0"/>
            <c:trendlineLbl>
              <c:layout>
                <c:manualLayout>
                  <c:x val="-0.24060498687664042"/>
                  <c:y val="0.17687190142898804"/>
                </c:manualLayout>
              </c:layout>
              <c:numFmt formatCode="General" sourceLinked="0"/>
            </c:trendlineLbl>
          </c:trendline>
          <c:xVal>
            <c:numRef>
              <c:f>Sheet1!$K$73:$K$79</c:f>
              <c:numCache>
                <c:formatCode>General</c:formatCode>
                <c:ptCount val="7"/>
                <c:pt idx="0">
                  <c:v>18</c:v>
                </c:pt>
                <c:pt idx="1">
                  <c:v>18</c:v>
                </c:pt>
                <c:pt idx="2">
                  <c:v>4</c:v>
                </c:pt>
                <c:pt idx="3">
                  <c:v>19</c:v>
                </c:pt>
                <c:pt idx="4">
                  <c:v>2.8</c:v>
                </c:pt>
                <c:pt idx="5">
                  <c:v>1.3</c:v>
                </c:pt>
                <c:pt idx="6">
                  <c:v>13</c:v>
                </c:pt>
              </c:numCache>
            </c:numRef>
          </c:xVal>
          <c:yVal>
            <c:numRef>
              <c:f>Sheet1!$N$73:$N$79</c:f>
              <c:numCache>
                <c:formatCode>General</c:formatCode>
                <c:ptCount val="7"/>
                <c:pt idx="0">
                  <c:v>64</c:v>
                </c:pt>
                <c:pt idx="1">
                  <c:v>17</c:v>
                </c:pt>
                <c:pt idx="2">
                  <c:v>53</c:v>
                </c:pt>
                <c:pt idx="3">
                  <c:v>48</c:v>
                </c:pt>
                <c:pt idx="4">
                  <c:v>73</c:v>
                </c:pt>
                <c:pt idx="5">
                  <c:v>51</c:v>
                </c:pt>
                <c:pt idx="6">
                  <c:v>92</c:v>
                </c:pt>
              </c:numCache>
            </c:numRef>
          </c:yVal>
          <c:smooth val="0"/>
        </c:ser>
        <c:dLbls>
          <c:showLegendKey val="0"/>
          <c:showVal val="0"/>
          <c:showCatName val="0"/>
          <c:showSerName val="0"/>
          <c:showPercent val="0"/>
          <c:showBubbleSize val="0"/>
        </c:dLbls>
        <c:axId val="99941760"/>
        <c:axId val="100361728"/>
      </c:scatterChart>
      <c:valAx>
        <c:axId val="99941760"/>
        <c:scaling>
          <c:orientation val="minMax"/>
          <c:max val="20"/>
          <c:min val="0"/>
        </c:scaling>
        <c:delete val="0"/>
        <c:axPos val="b"/>
        <c:majorGridlines>
          <c:spPr>
            <a:ln>
              <a:noFill/>
            </a:ln>
          </c:spPr>
        </c:majorGridlines>
        <c:minorGridlines>
          <c:spPr>
            <a:ln>
              <a:noFill/>
            </a:ln>
          </c:spPr>
        </c:minorGridlines>
        <c:title>
          <c:tx>
            <c:rich>
              <a:bodyPr/>
              <a:lstStyle/>
              <a:p>
                <a:pPr>
                  <a:defRPr/>
                </a:pPr>
                <a:r>
                  <a:rPr lang="en-US"/>
                  <a:t>d</a:t>
                </a:r>
                <a:r>
                  <a:rPr lang="en-US" baseline="-25000"/>
                  <a:t>min</a:t>
                </a:r>
                <a:r>
                  <a:rPr lang="en-US" baseline="0"/>
                  <a:t>  </a:t>
                </a:r>
                <a:r>
                  <a:rPr lang="en-US"/>
                  <a:t> [micron]</a:t>
                </a:r>
              </a:p>
            </c:rich>
          </c:tx>
          <c:overlay val="0"/>
        </c:title>
        <c:numFmt formatCode="General" sourceLinked="1"/>
        <c:majorTickMark val="out"/>
        <c:minorTickMark val="none"/>
        <c:tickLblPos val="nextTo"/>
        <c:crossAx val="100361728"/>
        <c:crosses val="autoZero"/>
        <c:crossBetween val="midCat"/>
        <c:majorUnit val="5"/>
        <c:minorUnit val="1"/>
      </c:valAx>
      <c:valAx>
        <c:axId val="100361728"/>
        <c:scaling>
          <c:orientation val="minMax"/>
        </c:scaling>
        <c:delete val="0"/>
        <c:axPos val="l"/>
        <c:majorGridlines>
          <c:spPr>
            <a:ln>
              <a:noFill/>
            </a:ln>
          </c:spPr>
        </c:majorGridlines>
        <c:title>
          <c:tx>
            <c:rich>
              <a:bodyPr rot="-5400000" vert="horz"/>
              <a:lstStyle/>
              <a:p>
                <a:pPr>
                  <a:defRPr/>
                </a:pPr>
                <a:r>
                  <a:rPr lang="en-US"/>
                  <a:t>MEC [g/m</a:t>
                </a:r>
                <a:r>
                  <a:rPr lang="en-US" baseline="30000"/>
                  <a:t>3</a:t>
                </a:r>
                <a:r>
                  <a:rPr lang="en-US"/>
                  <a:t>]</a:t>
                </a:r>
              </a:p>
            </c:rich>
          </c:tx>
          <c:overlay val="0"/>
        </c:title>
        <c:numFmt formatCode="General" sourceLinked="1"/>
        <c:majorTickMark val="out"/>
        <c:minorTickMark val="none"/>
        <c:tickLblPos val="nextTo"/>
        <c:crossAx val="99941760"/>
        <c:crosses val="autoZero"/>
        <c:crossBetween val="midCat"/>
      </c:valAx>
    </c:plotArea>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scatterChart>
        <c:scatterStyle val="lineMarker"/>
        <c:varyColors val="0"/>
        <c:ser>
          <c:idx val="0"/>
          <c:order val="0"/>
          <c:spPr>
            <a:ln w="28575">
              <a:noFill/>
            </a:ln>
          </c:spPr>
          <c:trendline>
            <c:trendlineType val="linear"/>
            <c:dispRSqr val="1"/>
            <c:dispEq val="0"/>
            <c:trendlineLbl>
              <c:layout>
                <c:manualLayout>
                  <c:x val="-0.46621738036170135"/>
                  <c:y val="2.3803720187150518E-2"/>
                </c:manualLayout>
              </c:layout>
              <c:numFmt formatCode="General" sourceLinked="0"/>
            </c:trendlineLbl>
          </c:trendline>
          <c:xVal>
            <c:numRef>
              <c:f>Sheet3!$K$3:$K$9</c:f>
              <c:numCache>
                <c:formatCode>General</c:formatCode>
                <c:ptCount val="7"/>
                <c:pt idx="0">
                  <c:v>123</c:v>
                </c:pt>
                <c:pt idx="1">
                  <c:v>199</c:v>
                </c:pt>
                <c:pt idx="2">
                  <c:v>112</c:v>
                </c:pt>
                <c:pt idx="3">
                  <c:v>104</c:v>
                </c:pt>
                <c:pt idx="4">
                  <c:v>70</c:v>
                </c:pt>
                <c:pt idx="5">
                  <c:v>96</c:v>
                </c:pt>
                <c:pt idx="6">
                  <c:v>64</c:v>
                </c:pt>
              </c:numCache>
            </c:numRef>
          </c:xVal>
          <c:yVal>
            <c:numRef>
              <c:f>Sheet3!$M$3:$M$9</c:f>
              <c:numCache>
                <c:formatCode>General</c:formatCode>
                <c:ptCount val="7"/>
                <c:pt idx="0">
                  <c:v>64</c:v>
                </c:pt>
                <c:pt idx="1">
                  <c:v>17</c:v>
                </c:pt>
                <c:pt idx="2">
                  <c:v>53</c:v>
                </c:pt>
                <c:pt idx="3">
                  <c:v>48</c:v>
                </c:pt>
                <c:pt idx="4">
                  <c:v>73</c:v>
                </c:pt>
                <c:pt idx="5">
                  <c:v>51</c:v>
                </c:pt>
                <c:pt idx="6">
                  <c:v>92</c:v>
                </c:pt>
              </c:numCache>
            </c:numRef>
          </c:yVal>
          <c:smooth val="0"/>
        </c:ser>
        <c:dLbls>
          <c:showLegendKey val="0"/>
          <c:showVal val="0"/>
          <c:showCatName val="0"/>
          <c:showSerName val="0"/>
          <c:showPercent val="0"/>
          <c:showBubbleSize val="0"/>
        </c:dLbls>
        <c:axId val="89696512"/>
        <c:axId val="89702784"/>
      </c:scatterChart>
      <c:valAx>
        <c:axId val="89696512"/>
        <c:scaling>
          <c:orientation val="minMax"/>
          <c:max val="200"/>
          <c:min val="50"/>
        </c:scaling>
        <c:delete val="0"/>
        <c:axPos val="b"/>
        <c:majorGridlines>
          <c:spPr>
            <a:ln>
              <a:noFill/>
            </a:ln>
          </c:spPr>
        </c:majorGridlines>
        <c:minorGridlines>
          <c:spPr>
            <a:ln>
              <a:noFill/>
            </a:ln>
          </c:spPr>
        </c:minorGridlines>
        <c:title>
          <c:tx>
            <c:rich>
              <a:bodyPr/>
              <a:lstStyle/>
              <a:p>
                <a:pPr>
                  <a:defRPr/>
                </a:pPr>
                <a:r>
                  <a:rPr lang="en-US"/>
                  <a:t>K</a:t>
                </a:r>
                <a:r>
                  <a:rPr lang="en-US" baseline="-25000"/>
                  <a:t>St</a:t>
                </a:r>
                <a:r>
                  <a:rPr lang="en-US" baseline="0"/>
                  <a:t>   [bar-m/s]</a:t>
                </a:r>
                <a:endParaRPr lang="en-US" baseline="-25000"/>
              </a:p>
            </c:rich>
          </c:tx>
          <c:overlay val="0"/>
        </c:title>
        <c:numFmt formatCode="General" sourceLinked="1"/>
        <c:majorTickMark val="out"/>
        <c:minorTickMark val="none"/>
        <c:tickLblPos val="nextTo"/>
        <c:crossAx val="89702784"/>
        <c:crosses val="autoZero"/>
        <c:crossBetween val="midCat"/>
        <c:majorUnit val="50"/>
        <c:minorUnit val="10"/>
      </c:valAx>
      <c:valAx>
        <c:axId val="89702784"/>
        <c:scaling>
          <c:orientation val="minMax"/>
          <c:max val="100"/>
          <c:min val="0"/>
        </c:scaling>
        <c:delete val="0"/>
        <c:axPos val="l"/>
        <c:majorGridlines>
          <c:spPr>
            <a:ln>
              <a:noFill/>
            </a:ln>
          </c:spPr>
        </c:majorGridlines>
        <c:minorGridlines>
          <c:spPr>
            <a:ln>
              <a:noFill/>
            </a:ln>
          </c:spPr>
        </c:minorGridlines>
        <c:title>
          <c:tx>
            <c:rich>
              <a:bodyPr rot="-5400000" vert="horz"/>
              <a:lstStyle/>
              <a:p>
                <a:pPr>
                  <a:defRPr/>
                </a:pPr>
                <a:r>
                  <a:rPr lang="en-US"/>
                  <a:t>MEC   [g/m</a:t>
                </a:r>
                <a:r>
                  <a:rPr lang="en-US" baseline="30000"/>
                  <a:t>3</a:t>
                </a:r>
                <a:r>
                  <a:rPr lang="en-US"/>
                  <a:t>]</a:t>
                </a:r>
              </a:p>
            </c:rich>
          </c:tx>
          <c:overlay val="0"/>
        </c:title>
        <c:numFmt formatCode="General" sourceLinked="1"/>
        <c:majorTickMark val="out"/>
        <c:minorTickMark val="none"/>
        <c:tickLblPos val="nextTo"/>
        <c:crossAx val="89696512"/>
        <c:crosses val="autoZero"/>
        <c:crossBetween val="midCat"/>
        <c:majorUnit val="10"/>
        <c:minorUnit val="5"/>
      </c:valAx>
    </c:plotArea>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scatterChart>
        <c:scatterStyle val="lineMarker"/>
        <c:varyColors val="0"/>
        <c:ser>
          <c:idx val="0"/>
          <c:order val="0"/>
          <c:spPr>
            <a:ln w="28575">
              <a:noFill/>
            </a:ln>
          </c:spPr>
          <c:trendline>
            <c:trendlineType val="linear"/>
            <c:dispRSqr val="1"/>
            <c:dispEq val="0"/>
            <c:trendlineLbl>
              <c:layout>
                <c:manualLayout>
                  <c:x val="-0.10638910761154856"/>
                  <c:y val="-0.35352471566054244"/>
                </c:manualLayout>
              </c:layout>
              <c:numFmt formatCode="General" sourceLinked="0"/>
            </c:trendlineLbl>
          </c:trendline>
          <c:xVal>
            <c:numRef>
              <c:f>Sheet3!$J$3:$J$9</c:f>
              <c:numCache>
                <c:formatCode>General</c:formatCode>
                <c:ptCount val="7"/>
                <c:pt idx="0">
                  <c:v>7.3</c:v>
                </c:pt>
                <c:pt idx="1">
                  <c:v>8</c:v>
                </c:pt>
                <c:pt idx="2">
                  <c:v>7.2</c:v>
                </c:pt>
                <c:pt idx="3">
                  <c:v>6.7</c:v>
                </c:pt>
                <c:pt idx="4">
                  <c:v>6.6</c:v>
                </c:pt>
                <c:pt idx="5">
                  <c:v>7.1</c:v>
                </c:pt>
                <c:pt idx="6">
                  <c:v>6.3</c:v>
                </c:pt>
              </c:numCache>
            </c:numRef>
          </c:xVal>
          <c:yVal>
            <c:numRef>
              <c:f>Sheet3!$S$3:$S$9</c:f>
              <c:numCache>
                <c:formatCode>General</c:formatCode>
                <c:ptCount val="7"/>
                <c:pt idx="0">
                  <c:v>0.125</c:v>
                </c:pt>
                <c:pt idx="1">
                  <c:v>0.375</c:v>
                </c:pt>
                <c:pt idx="2">
                  <c:v>0.375</c:v>
                </c:pt>
                <c:pt idx="3">
                  <c:v>0.375</c:v>
                </c:pt>
                <c:pt idx="4">
                  <c:v>0.75</c:v>
                </c:pt>
                <c:pt idx="5">
                  <c:v>1.75</c:v>
                </c:pt>
                <c:pt idx="6">
                  <c:v>1.75</c:v>
                </c:pt>
              </c:numCache>
            </c:numRef>
          </c:yVal>
          <c:smooth val="0"/>
        </c:ser>
        <c:dLbls>
          <c:showLegendKey val="0"/>
          <c:showVal val="0"/>
          <c:showCatName val="0"/>
          <c:showSerName val="0"/>
          <c:showPercent val="0"/>
          <c:showBubbleSize val="0"/>
        </c:dLbls>
        <c:axId val="90391296"/>
        <c:axId val="90393216"/>
      </c:scatterChart>
      <c:valAx>
        <c:axId val="90391296"/>
        <c:scaling>
          <c:orientation val="minMax"/>
          <c:max val="8"/>
          <c:min val="6"/>
        </c:scaling>
        <c:delete val="0"/>
        <c:axPos val="b"/>
        <c:majorGridlines>
          <c:spPr>
            <a:ln>
              <a:noFill/>
            </a:ln>
          </c:spPr>
        </c:majorGridlines>
        <c:minorGridlines>
          <c:spPr>
            <a:ln>
              <a:noFill/>
            </a:ln>
          </c:spPr>
        </c:minorGridlines>
        <c:title>
          <c:tx>
            <c:rich>
              <a:bodyPr/>
              <a:lstStyle/>
              <a:p>
                <a:pPr>
                  <a:defRPr/>
                </a:pPr>
                <a:r>
                  <a:rPr lang="en-US"/>
                  <a:t>P</a:t>
                </a:r>
                <a:r>
                  <a:rPr lang="en-US" baseline="-25000"/>
                  <a:t>max</a:t>
                </a:r>
                <a:r>
                  <a:rPr lang="en-US" baseline="0"/>
                  <a:t>   [bar]</a:t>
                </a:r>
                <a:endParaRPr lang="en-US" baseline="-25000"/>
              </a:p>
            </c:rich>
          </c:tx>
          <c:overlay val="0"/>
        </c:title>
        <c:numFmt formatCode="General" sourceLinked="1"/>
        <c:majorTickMark val="out"/>
        <c:minorTickMark val="none"/>
        <c:tickLblPos val="nextTo"/>
        <c:crossAx val="90393216"/>
        <c:crosses val="autoZero"/>
        <c:crossBetween val="midCat"/>
      </c:valAx>
      <c:valAx>
        <c:axId val="90393216"/>
        <c:scaling>
          <c:orientation val="minMax"/>
          <c:max val="2"/>
          <c:min val="0"/>
        </c:scaling>
        <c:delete val="0"/>
        <c:axPos val="l"/>
        <c:majorGridlines>
          <c:spPr>
            <a:ln>
              <a:noFill/>
            </a:ln>
          </c:spPr>
        </c:majorGridlines>
        <c:minorGridlines>
          <c:spPr>
            <a:ln>
              <a:noFill/>
            </a:ln>
          </c:spPr>
        </c:minorGridlines>
        <c:title>
          <c:tx>
            <c:rich>
              <a:bodyPr rot="-5400000" vert="horz"/>
              <a:lstStyle/>
              <a:p>
                <a:pPr>
                  <a:defRPr/>
                </a:pPr>
                <a:r>
                  <a:rPr lang="en-US"/>
                  <a:t>MIE   [kJ]</a:t>
                </a:r>
              </a:p>
            </c:rich>
          </c:tx>
          <c:overlay val="0"/>
        </c:title>
        <c:numFmt formatCode="General" sourceLinked="1"/>
        <c:majorTickMark val="out"/>
        <c:minorTickMark val="none"/>
        <c:tickLblPos val="nextTo"/>
        <c:crossAx val="90391296"/>
        <c:crosses val="autoZero"/>
        <c:crossBetween val="midCat"/>
        <c:majorUnit val="0.5"/>
        <c:minorUnit val="0.1"/>
      </c:valAx>
    </c:plotArea>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scatterChart>
        <c:scatterStyle val="lineMarker"/>
        <c:varyColors val="0"/>
        <c:ser>
          <c:idx val="0"/>
          <c:order val="0"/>
          <c:spPr>
            <a:ln w="28575">
              <a:noFill/>
            </a:ln>
          </c:spPr>
          <c:trendline>
            <c:trendlineType val="linear"/>
            <c:dispRSqr val="1"/>
            <c:dispEq val="0"/>
            <c:trendlineLbl>
              <c:layout>
                <c:manualLayout>
                  <c:x val="-0.1341253280839895"/>
                  <c:y val="-0.42378827646544182"/>
                </c:manualLayout>
              </c:layout>
              <c:numFmt formatCode="General" sourceLinked="0"/>
            </c:trendlineLbl>
          </c:trendline>
          <c:xVal>
            <c:numRef>
              <c:f>Sheet3!$K$3:$K$9</c:f>
              <c:numCache>
                <c:formatCode>General</c:formatCode>
                <c:ptCount val="7"/>
                <c:pt idx="0">
                  <c:v>123</c:v>
                </c:pt>
                <c:pt idx="1">
                  <c:v>199</c:v>
                </c:pt>
                <c:pt idx="2">
                  <c:v>112</c:v>
                </c:pt>
                <c:pt idx="3">
                  <c:v>104</c:v>
                </c:pt>
                <c:pt idx="4">
                  <c:v>70</c:v>
                </c:pt>
                <c:pt idx="5">
                  <c:v>96</c:v>
                </c:pt>
                <c:pt idx="6">
                  <c:v>64</c:v>
                </c:pt>
              </c:numCache>
            </c:numRef>
          </c:xVal>
          <c:yVal>
            <c:numRef>
              <c:f>Sheet3!$S$3:$S$9</c:f>
              <c:numCache>
                <c:formatCode>General</c:formatCode>
                <c:ptCount val="7"/>
                <c:pt idx="0">
                  <c:v>0.125</c:v>
                </c:pt>
                <c:pt idx="1">
                  <c:v>0.375</c:v>
                </c:pt>
                <c:pt idx="2">
                  <c:v>0.375</c:v>
                </c:pt>
                <c:pt idx="3">
                  <c:v>0.375</c:v>
                </c:pt>
                <c:pt idx="4">
                  <c:v>0.75</c:v>
                </c:pt>
                <c:pt idx="5">
                  <c:v>1.75</c:v>
                </c:pt>
                <c:pt idx="6">
                  <c:v>1.75</c:v>
                </c:pt>
              </c:numCache>
            </c:numRef>
          </c:yVal>
          <c:smooth val="0"/>
        </c:ser>
        <c:dLbls>
          <c:showLegendKey val="0"/>
          <c:showVal val="0"/>
          <c:showCatName val="0"/>
          <c:showSerName val="0"/>
          <c:showPercent val="0"/>
          <c:showBubbleSize val="0"/>
        </c:dLbls>
        <c:axId val="90430848"/>
        <c:axId val="97662464"/>
      </c:scatterChart>
      <c:valAx>
        <c:axId val="90430848"/>
        <c:scaling>
          <c:orientation val="minMax"/>
          <c:max val="200"/>
          <c:min val="50"/>
        </c:scaling>
        <c:delete val="0"/>
        <c:axPos val="b"/>
        <c:majorGridlines>
          <c:spPr>
            <a:ln>
              <a:noFill/>
            </a:ln>
          </c:spPr>
        </c:majorGridlines>
        <c:minorGridlines>
          <c:spPr>
            <a:ln>
              <a:noFill/>
            </a:ln>
          </c:spPr>
        </c:minorGridlines>
        <c:title>
          <c:tx>
            <c:rich>
              <a:bodyPr/>
              <a:lstStyle/>
              <a:p>
                <a:pPr>
                  <a:defRPr/>
                </a:pPr>
                <a:r>
                  <a:rPr lang="en-US"/>
                  <a:t>K</a:t>
                </a:r>
                <a:r>
                  <a:rPr lang="en-US" baseline="-25000"/>
                  <a:t>St</a:t>
                </a:r>
                <a:r>
                  <a:rPr lang="en-US" baseline="0"/>
                  <a:t>   [bar-m/s]</a:t>
                </a:r>
                <a:endParaRPr lang="en-US" baseline="-25000"/>
              </a:p>
            </c:rich>
          </c:tx>
          <c:overlay val="0"/>
        </c:title>
        <c:numFmt formatCode="General" sourceLinked="1"/>
        <c:majorTickMark val="out"/>
        <c:minorTickMark val="none"/>
        <c:tickLblPos val="nextTo"/>
        <c:crossAx val="97662464"/>
        <c:crosses val="autoZero"/>
        <c:crossBetween val="midCat"/>
        <c:majorUnit val="50"/>
        <c:minorUnit val="10"/>
      </c:valAx>
      <c:valAx>
        <c:axId val="97662464"/>
        <c:scaling>
          <c:orientation val="minMax"/>
          <c:max val="2"/>
          <c:min val="0"/>
        </c:scaling>
        <c:delete val="0"/>
        <c:axPos val="l"/>
        <c:majorGridlines>
          <c:spPr>
            <a:ln>
              <a:noFill/>
            </a:ln>
          </c:spPr>
        </c:majorGridlines>
        <c:minorGridlines>
          <c:spPr>
            <a:ln>
              <a:noFill/>
            </a:ln>
          </c:spPr>
        </c:minorGridlines>
        <c:title>
          <c:tx>
            <c:rich>
              <a:bodyPr rot="-5400000" vert="horz"/>
              <a:lstStyle/>
              <a:p>
                <a:pPr>
                  <a:defRPr/>
                </a:pPr>
                <a:r>
                  <a:rPr lang="en-US"/>
                  <a:t>MIE   [kJ]</a:t>
                </a:r>
              </a:p>
            </c:rich>
          </c:tx>
          <c:overlay val="0"/>
        </c:title>
        <c:numFmt formatCode="General" sourceLinked="1"/>
        <c:majorTickMark val="out"/>
        <c:minorTickMark val="none"/>
        <c:tickLblPos val="nextTo"/>
        <c:crossAx val="90430848"/>
        <c:crosses val="autoZero"/>
        <c:crossBetween val="midCat"/>
        <c:majorUnit val="0.5"/>
        <c:minorUnit val="0.1"/>
      </c:valAx>
    </c:plotArea>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scatterChart>
        <c:scatterStyle val="lineMarker"/>
        <c:varyColors val="0"/>
        <c:ser>
          <c:idx val="0"/>
          <c:order val="0"/>
          <c:spPr>
            <a:ln w="28575">
              <a:noFill/>
            </a:ln>
          </c:spPr>
          <c:trendline>
            <c:trendlineType val="linear"/>
            <c:dispRSqr val="1"/>
            <c:dispEq val="0"/>
            <c:trendlineLbl>
              <c:layout>
                <c:manualLayout>
                  <c:x val="-0.4858059930008749"/>
                  <c:y val="3.8103674540682413E-2"/>
                </c:manualLayout>
              </c:layout>
              <c:numFmt formatCode="General" sourceLinked="0"/>
            </c:trendlineLbl>
          </c:trendline>
          <c:xVal>
            <c:numRef>
              <c:f>Sheet3!$M$3:$M$9</c:f>
              <c:numCache>
                <c:formatCode>General</c:formatCode>
                <c:ptCount val="7"/>
                <c:pt idx="0">
                  <c:v>64</c:v>
                </c:pt>
                <c:pt idx="1">
                  <c:v>17</c:v>
                </c:pt>
                <c:pt idx="2">
                  <c:v>53</c:v>
                </c:pt>
                <c:pt idx="3">
                  <c:v>48</c:v>
                </c:pt>
                <c:pt idx="4">
                  <c:v>73</c:v>
                </c:pt>
                <c:pt idx="5">
                  <c:v>51</c:v>
                </c:pt>
                <c:pt idx="6">
                  <c:v>92</c:v>
                </c:pt>
              </c:numCache>
            </c:numRef>
          </c:xVal>
          <c:yVal>
            <c:numRef>
              <c:f>Sheet3!$S$3:$S$9</c:f>
              <c:numCache>
                <c:formatCode>General</c:formatCode>
                <c:ptCount val="7"/>
                <c:pt idx="0">
                  <c:v>0.125</c:v>
                </c:pt>
                <c:pt idx="1">
                  <c:v>0.375</c:v>
                </c:pt>
                <c:pt idx="2">
                  <c:v>0.375</c:v>
                </c:pt>
                <c:pt idx="3">
                  <c:v>0.375</c:v>
                </c:pt>
                <c:pt idx="4">
                  <c:v>0.75</c:v>
                </c:pt>
                <c:pt idx="5">
                  <c:v>1.75</c:v>
                </c:pt>
                <c:pt idx="6">
                  <c:v>1.75</c:v>
                </c:pt>
              </c:numCache>
            </c:numRef>
          </c:yVal>
          <c:smooth val="0"/>
        </c:ser>
        <c:dLbls>
          <c:showLegendKey val="0"/>
          <c:showVal val="0"/>
          <c:showCatName val="0"/>
          <c:showSerName val="0"/>
          <c:showPercent val="0"/>
          <c:showBubbleSize val="0"/>
        </c:dLbls>
        <c:axId val="97687424"/>
        <c:axId val="97697792"/>
      </c:scatterChart>
      <c:valAx>
        <c:axId val="97687424"/>
        <c:scaling>
          <c:orientation val="minMax"/>
        </c:scaling>
        <c:delete val="0"/>
        <c:axPos val="b"/>
        <c:majorGridlines>
          <c:spPr>
            <a:ln>
              <a:noFill/>
            </a:ln>
          </c:spPr>
        </c:majorGridlines>
        <c:minorGridlines>
          <c:spPr>
            <a:ln>
              <a:noFill/>
            </a:ln>
          </c:spPr>
        </c:minorGridlines>
        <c:title>
          <c:tx>
            <c:rich>
              <a:bodyPr/>
              <a:lstStyle/>
              <a:p>
                <a:pPr>
                  <a:defRPr/>
                </a:pPr>
                <a:r>
                  <a:rPr lang="en-US"/>
                  <a:t>MEC   [g/m</a:t>
                </a:r>
                <a:r>
                  <a:rPr lang="en-US" baseline="30000"/>
                  <a:t>3</a:t>
                </a:r>
                <a:r>
                  <a:rPr lang="en-US"/>
                  <a:t>]</a:t>
                </a:r>
              </a:p>
            </c:rich>
          </c:tx>
          <c:overlay val="0"/>
        </c:title>
        <c:numFmt formatCode="General" sourceLinked="1"/>
        <c:majorTickMark val="out"/>
        <c:minorTickMark val="none"/>
        <c:tickLblPos val="nextTo"/>
        <c:crossAx val="97697792"/>
        <c:crosses val="autoZero"/>
        <c:crossBetween val="midCat"/>
      </c:valAx>
      <c:valAx>
        <c:axId val="97697792"/>
        <c:scaling>
          <c:orientation val="minMax"/>
          <c:max val="2"/>
          <c:min val="0"/>
        </c:scaling>
        <c:delete val="0"/>
        <c:axPos val="l"/>
        <c:majorGridlines>
          <c:spPr>
            <a:ln>
              <a:noFill/>
            </a:ln>
          </c:spPr>
        </c:majorGridlines>
        <c:minorGridlines>
          <c:spPr>
            <a:ln>
              <a:noFill/>
            </a:ln>
          </c:spPr>
        </c:minorGridlines>
        <c:title>
          <c:tx>
            <c:rich>
              <a:bodyPr rot="-5400000" vert="horz"/>
              <a:lstStyle/>
              <a:p>
                <a:pPr>
                  <a:defRPr/>
                </a:pPr>
                <a:r>
                  <a:rPr lang="en-US"/>
                  <a:t>MIE   [kJ]</a:t>
                </a:r>
              </a:p>
            </c:rich>
          </c:tx>
          <c:overlay val="0"/>
        </c:title>
        <c:numFmt formatCode="General" sourceLinked="1"/>
        <c:majorTickMark val="out"/>
        <c:minorTickMark val="none"/>
        <c:tickLblPos val="nextTo"/>
        <c:crossAx val="97687424"/>
        <c:crosses val="autoZero"/>
        <c:crossBetween val="midCat"/>
        <c:majorUnit val="0.5"/>
        <c:minorUnit val="0.1"/>
      </c:valAx>
    </c:plotArea>
    <c:plotVisOnly val="1"/>
    <c:dispBlanksAs val="gap"/>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scatterChart>
        <c:scatterStyle val="lineMarker"/>
        <c:varyColors val="0"/>
        <c:ser>
          <c:idx val="1"/>
          <c:order val="0"/>
          <c:spPr>
            <a:ln w="28575">
              <a:noFill/>
            </a:ln>
          </c:spPr>
          <c:trendline>
            <c:trendlineType val="linear"/>
            <c:dispRSqr val="1"/>
            <c:dispEq val="0"/>
            <c:trendlineLbl>
              <c:layout>
                <c:manualLayout>
                  <c:x val="-0.48720844269466318"/>
                  <c:y val="-4.7151501895596387E-2"/>
                </c:manualLayout>
              </c:layout>
              <c:numFmt formatCode="General" sourceLinked="0"/>
            </c:trendlineLbl>
          </c:trendline>
          <c:xVal>
            <c:numRef>
              <c:f>Sheet3!$J$3:$J$9</c:f>
              <c:numCache>
                <c:formatCode>General</c:formatCode>
                <c:ptCount val="7"/>
                <c:pt idx="0">
                  <c:v>7.3</c:v>
                </c:pt>
                <c:pt idx="1">
                  <c:v>8</c:v>
                </c:pt>
                <c:pt idx="2">
                  <c:v>7.2</c:v>
                </c:pt>
                <c:pt idx="3">
                  <c:v>6.7</c:v>
                </c:pt>
                <c:pt idx="4">
                  <c:v>6.6</c:v>
                </c:pt>
                <c:pt idx="5">
                  <c:v>7.1</c:v>
                </c:pt>
                <c:pt idx="6">
                  <c:v>6.3</c:v>
                </c:pt>
              </c:numCache>
            </c:numRef>
          </c:xVal>
          <c:yVal>
            <c:numRef>
              <c:f>Sheet3!$L$3:$L$9</c:f>
              <c:numCache>
                <c:formatCode>General</c:formatCode>
                <c:ptCount val="7"/>
                <c:pt idx="0">
                  <c:v>570</c:v>
                </c:pt>
                <c:pt idx="1">
                  <c:v>550</c:v>
                </c:pt>
                <c:pt idx="2">
                  <c:v>650</c:v>
                </c:pt>
                <c:pt idx="3">
                  <c:v>650</c:v>
                </c:pt>
                <c:pt idx="4">
                  <c:v>650</c:v>
                </c:pt>
                <c:pt idx="5">
                  <c:v>650</c:v>
                </c:pt>
                <c:pt idx="6">
                  <c:v>650</c:v>
                </c:pt>
              </c:numCache>
            </c:numRef>
          </c:yVal>
          <c:smooth val="0"/>
        </c:ser>
        <c:dLbls>
          <c:showLegendKey val="0"/>
          <c:showVal val="0"/>
          <c:showCatName val="0"/>
          <c:showSerName val="0"/>
          <c:showPercent val="0"/>
          <c:showBubbleSize val="0"/>
        </c:dLbls>
        <c:axId val="97214848"/>
        <c:axId val="97216768"/>
      </c:scatterChart>
      <c:valAx>
        <c:axId val="97214848"/>
        <c:scaling>
          <c:orientation val="minMax"/>
          <c:max val="8"/>
          <c:min val="6"/>
        </c:scaling>
        <c:delete val="0"/>
        <c:axPos val="b"/>
        <c:title>
          <c:tx>
            <c:rich>
              <a:bodyPr/>
              <a:lstStyle/>
              <a:p>
                <a:pPr>
                  <a:defRPr/>
                </a:pPr>
                <a:r>
                  <a:rPr lang="en-US"/>
                  <a:t>P</a:t>
                </a:r>
                <a:r>
                  <a:rPr lang="en-US" baseline="-25000"/>
                  <a:t>max</a:t>
                </a:r>
                <a:r>
                  <a:rPr lang="en-US"/>
                  <a:t> [bar]</a:t>
                </a:r>
              </a:p>
            </c:rich>
          </c:tx>
          <c:overlay val="0"/>
        </c:title>
        <c:numFmt formatCode="General" sourceLinked="1"/>
        <c:majorTickMark val="out"/>
        <c:minorTickMark val="none"/>
        <c:tickLblPos val="nextTo"/>
        <c:crossAx val="97216768"/>
        <c:crosses val="autoZero"/>
        <c:crossBetween val="midCat"/>
        <c:majorUnit val="0.5"/>
        <c:minorUnit val="0.1"/>
      </c:valAx>
      <c:valAx>
        <c:axId val="97216768"/>
        <c:scaling>
          <c:orientation val="minMax"/>
          <c:max val="675"/>
          <c:min val="525"/>
        </c:scaling>
        <c:delete val="0"/>
        <c:axPos val="l"/>
        <c:majorGridlines>
          <c:spPr>
            <a:ln>
              <a:noFill/>
            </a:ln>
          </c:spPr>
        </c:majorGridlines>
        <c:title>
          <c:tx>
            <c:rich>
              <a:bodyPr rot="-5400000" vert="horz"/>
              <a:lstStyle/>
              <a:p>
                <a:pPr>
                  <a:defRPr/>
                </a:pPr>
                <a:r>
                  <a:rPr lang="en-US"/>
                  <a:t>MIT</a:t>
                </a:r>
                <a:r>
                  <a:rPr lang="en-US" baseline="-25000"/>
                  <a:t>cloud</a:t>
                </a:r>
                <a:r>
                  <a:rPr lang="en-US"/>
                  <a:t> [</a:t>
                </a:r>
                <a:r>
                  <a:rPr lang="en-US" baseline="30000"/>
                  <a:t>o</a:t>
                </a:r>
                <a:r>
                  <a:rPr lang="en-US"/>
                  <a:t>C]</a:t>
                </a:r>
              </a:p>
            </c:rich>
          </c:tx>
          <c:overlay val="0"/>
        </c:title>
        <c:numFmt formatCode="General" sourceLinked="1"/>
        <c:majorTickMark val="out"/>
        <c:minorTickMark val="none"/>
        <c:tickLblPos val="nextTo"/>
        <c:crossAx val="97214848"/>
        <c:crosses val="autoZero"/>
        <c:crossBetween val="midCat"/>
        <c:majorUnit val="25"/>
        <c:minorUnit val="5"/>
      </c:valAx>
    </c:plotArea>
    <c:plotVisOnly val="1"/>
    <c:dispBlanksAs val="gap"/>
    <c:showDLblsOverMax val="0"/>
  </c:chart>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scatterChart>
        <c:scatterStyle val="lineMarker"/>
        <c:varyColors val="0"/>
        <c:ser>
          <c:idx val="1"/>
          <c:order val="0"/>
          <c:spPr>
            <a:ln w="28575">
              <a:noFill/>
            </a:ln>
          </c:spPr>
          <c:trendline>
            <c:trendlineType val="linear"/>
            <c:dispRSqr val="1"/>
            <c:dispEq val="0"/>
            <c:trendlineLbl>
              <c:layout>
                <c:manualLayout>
                  <c:x val="-0.47722790901137357"/>
                  <c:y val="-2.4935841353164189E-2"/>
                </c:manualLayout>
              </c:layout>
              <c:numFmt formatCode="General" sourceLinked="0"/>
            </c:trendlineLbl>
          </c:trendline>
          <c:xVal>
            <c:numRef>
              <c:f>Sheet3!$K$3:$K$9</c:f>
              <c:numCache>
                <c:formatCode>General</c:formatCode>
                <c:ptCount val="7"/>
                <c:pt idx="0">
                  <c:v>123</c:v>
                </c:pt>
                <c:pt idx="1">
                  <c:v>199</c:v>
                </c:pt>
                <c:pt idx="2">
                  <c:v>112</c:v>
                </c:pt>
                <c:pt idx="3">
                  <c:v>104</c:v>
                </c:pt>
                <c:pt idx="4">
                  <c:v>70</c:v>
                </c:pt>
                <c:pt idx="5">
                  <c:v>96</c:v>
                </c:pt>
                <c:pt idx="6">
                  <c:v>64</c:v>
                </c:pt>
              </c:numCache>
            </c:numRef>
          </c:xVal>
          <c:yVal>
            <c:numRef>
              <c:f>Sheet3!$L$3:$L$9</c:f>
              <c:numCache>
                <c:formatCode>General</c:formatCode>
                <c:ptCount val="7"/>
                <c:pt idx="0">
                  <c:v>570</c:v>
                </c:pt>
                <c:pt idx="1">
                  <c:v>550</c:v>
                </c:pt>
                <c:pt idx="2">
                  <c:v>650</c:v>
                </c:pt>
                <c:pt idx="3">
                  <c:v>650</c:v>
                </c:pt>
                <c:pt idx="4">
                  <c:v>650</c:v>
                </c:pt>
                <c:pt idx="5">
                  <c:v>650</c:v>
                </c:pt>
                <c:pt idx="6">
                  <c:v>650</c:v>
                </c:pt>
              </c:numCache>
            </c:numRef>
          </c:yVal>
          <c:smooth val="0"/>
        </c:ser>
        <c:dLbls>
          <c:showLegendKey val="0"/>
          <c:showVal val="0"/>
          <c:showCatName val="0"/>
          <c:showSerName val="0"/>
          <c:showPercent val="0"/>
          <c:showBubbleSize val="0"/>
        </c:dLbls>
        <c:axId val="97254016"/>
        <c:axId val="97264384"/>
      </c:scatterChart>
      <c:valAx>
        <c:axId val="97254016"/>
        <c:scaling>
          <c:orientation val="minMax"/>
          <c:max val="200"/>
          <c:min val="50"/>
        </c:scaling>
        <c:delete val="0"/>
        <c:axPos val="b"/>
        <c:title>
          <c:tx>
            <c:rich>
              <a:bodyPr/>
              <a:lstStyle/>
              <a:p>
                <a:pPr>
                  <a:defRPr/>
                </a:pPr>
                <a:r>
                  <a:rPr lang="en-US"/>
                  <a:t>K</a:t>
                </a:r>
                <a:r>
                  <a:rPr lang="en-US" baseline="-25000"/>
                  <a:t>St</a:t>
                </a:r>
                <a:r>
                  <a:rPr lang="en-US"/>
                  <a:t> [bar-m/s]</a:t>
                </a:r>
              </a:p>
            </c:rich>
          </c:tx>
          <c:overlay val="0"/>
        </c:title>
        <c:numFmt formatCode="General" sourceLinked="1"/>
        <c:majorTickMark val="out"/>
        <c:minorTickMark val="none"/>
        <c:tickLblPos val="nextTo"/>
        <c:crossAx val="97264384"/>
        <c:crosses val="autoZero"/>
        <c:crossBetween val="midCat"/>
        <c:majorUnit val="50"/>
        <c:minorUnit val="10"/>
      </c:valAx>
      <c:valAx>
        <c:axId val="97264384"/>
        <c:scaling>
          <c:orientation val="minMax"/>
          <c:max val="675"/>
          <c:min val="525"/>
        </c:scaling>
        <c:delete val="0"/>
        <c:axPos val="l"/>
        <c:majorGridlines>
          <c:spPr>
            <a:ln>
              <a:noFill/>
            </a:ln>
          </c:spPr>
        </c:majorGridlines>
        <c:title>
          <c:tx>
            <c:rich>
              <a:bodyPr rot="-5400000" vert="horz"/>
              <a:lstStyle/>
              <a:p>
                <a:pPr>
                  <a:defRPr/>
                </a:pPr>
                <a:r>
                  <a:rPr lang="en-US"/>
                  <a:t>MIT</a:t>
                </a:r>
                <a:r>
                  <a:rPr lang="en-US" baseline="-25000"/>
                  <a:t>cloud</a:t>
                </a:r>
                <a:r>
                  <a:rPr lang="en-US"/>
                  <a:t> [</a:t>
                </a:r>
                <a:r>
                  <a:rPr lang="en-US" baseline="30000"/>
                  <a:t>o</a:t>
                </a:r>
                <a:r>
                  <a:rPr lang="en-US"/>
                  <a:t>C]</a:t>
                </a:r>
              </a:p>
            </c:rich>
          </c:tx>
          <c:overlay val="0"/>
        </c:title>
        <c:numFmt formatCode="General" sourceLinked="1"/>
        <c:majorTickMark val="out"/>
        <c:minorTickMark val="none"/>
        <c:tickLblPos val="nextTo"/>
        <c:crossAx val="97254016"/>
        <c:crosses val="autoZero"/>
        <c:crossBetween val="midCat"/>
        <c:majorUnit val="25"/>
        <c:minorUnit val="5"/>
      </c:valAx>
    </c:plotArea>
    <c:plotVisOnly val="1"/>
    <c:dispBlanksAs val="gap"/>
    <c:showDLblsOverMax val="0"/>
  </c:chart>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scatterChart>
        <c:scatterStyle val="lineMarker"/>
        <c:varyColors val="0"/>
        <c:ser>
          <c:idx val="0"/>
          <c:order val="0"/>
          <c:spPr>
            <a:ln w="28575">
              <a:noFill/>
            </a:ln>
          </c:spPr>
          <c:trendline>
            <c:trendlineType val="linear"/>
            <c:dispRSqr val="1"/>
            <c:dispEq val="0"/>
            <c:trendlineLbl>
              <c:layout>
                <c:manualLayout>
                  <c:x val="-0.39903827646544182"/>
                  <c:y val="0.12915500145815106"/>
                </c:manualLayout>
              </c:layout>
              <c:numFmt formatCode="General" sourceLinked="0"/>
            </c:trendlineLbl>
          </c:trendline>
          <c:xVal>
            <c:numRef>
              <c:f>Sheet3!$M$3:$M$9</c:f>
              <c:numCache>
                <c:formatCode>General</c:formatCode>
                <c:ptCount val="7"/>
                <c:pt idx="0">
                  <c:v>64</c:v>
                </c:pt>
                <c:pt idx="1">
                  <c:v>17</c:v>
                </c:pt>
                <c:pt idx="2">
                  <c:v>53</c:v>
                </c:pt>
                <c:pt idx="3">
                  <c:v>48</c:v>
                </c:pt>
                <c:pt idx="4">
                  <c:v>73</c:v>
                </c:pt>
                <c:pt idx="5">
                  <c:v>51</c:v>
                </c:pt>
                <c:pt idx="6">
                  <c:v>92</c:v>
                </c:pt>
              </c:numCache>
            </c:numRef>
          </c:xVal>
          <c:yVal>
            <c:numRef>
              <c:f>Sheet3!$L$3:$L$9</c:f>
              <c:numCache>
                <c:formatCode>General</c:formatCode>
                <c:ptCount val="7"/>
                <c:pt idx="0">
                  <c:v>570</c:v>
                </c:pt>
                <c:pt idx="1">
                  <c:v>550</c:v>
                </c:pt>
                <c:pt idx="2">
                  <c:v>650</c:v>
                </c:pt>
                <c:pt idx="3">
                  <c:v>650</c:v>
                </c:pt>
                <c:pt idx="4">
                  <c:v>650</c:v>
                </c:pt>
                <c:pt idx="5">
                  <c:v>650</c:v>
                </c:pt>
                <c:pt idx="6">
                  <c:v>650</c:v>
                </c:pt>
              </c:numCache>
            </c:numRef>
          </c:yVal>
          <c:smooth val="0"/>
        </c:ser>
        <c:dLbls>
          <c:showLegendKey val="0"/>
          <c:showVal val="0"/>
          <c:showCatName val="0"/>
          <c:showSerName val="0"/>
          <c:showPercent val="0"/>
          <c:showBubbleSize val="0"/>
        </c:dLbls>
        <c:axId val="97297920"/>
        <c:axId val="97299840"/>
      </c:scatterChart>
      <c:valAx>
        <c:axId val="97297920"/>
        <c:scaling>
          <c:orientation val="minMax"/>
        </c:scaling>
        <c:delete val="0"/>
        <c:axPos val="b"/>
        <c:title>
          <c:tx>
            <c:rich>
              <a:bodyPr/>
              <a:lstStyle/>
              <a:p>
                <a:pPr>
                  <a:defRPr/>
                </a:pPr>
                <a:r>
                  <a:rPr lang="en-US"/>
                  <a:t>MEC [g/m</a:t>
                </a:r>
                <a:r>
                  <a:rPr lang="en-US" baseline="30000"/>
                  <a:t>3</a:t>
                </a:r>
                <a:r>
                  <a:rPr lang="en-US"/>
                  <a:t>]</a:t>
                </a:r>
              </a:p>
            </c:rich>
          </c:tx>
          <c:overlay val="0"/>
        </c:title>
        <c:numFmt formatCode="General" sourceLinked="1"/>
        <c:majorTickMark val="out"/>
        <c:minorTickMark val="none"/>
        <c:tickLblPos val="nextTo"/>
        <c:crossAx val="97299840"/>
        <c:crosses val="autoZero"/>
        <c:crossBetween val="midCat"/>
      </c:valAx>
      <c:valAx>
        <c:axId val="97299840"/>
        <c:scaling>
          <c:orientation val="minMax"/>
          <c:max val="675"/>
          <c:min val="525"/>
        </c:scaling>
        <c:delete val="0"/>
        <c:axPos val="l"/>
        <c:majorGridlines>
          <c:spPr>
            <a:ln>
              <a:noFill/>
            </a:ln>
          </c:spPr>
        </c:majorGridlines>
        <c:title>
          <c:tx>
            <c:rich>
              <a:bodyPr rot="-5400000" vert="horz"/>
              <a:lstStyle/>
              <a:p>
                <a:pPr>
                  <a:defRPr/>
                </a:pPr>
                <a:r>
                  <a:rPr lang="en-US"/>
                  <a:t>MIT</a:t>
                </a:r>
                <a:r>
                  <a:rPr lang="en-US" baseline="-25000"/>
                  <a:t>cloud</a:t>
                </a:r>
                <a:r>
                  <a:rPr lang="en-US"/>
                  <a:t> [</a:t>
                </a:r>
                <a:r>
                  <a:rPr lang="en-US" baseline="30000"/>
                  <a:t>o</a:t>
                </a:r>
                <a:r>
                  <a:rPr lang="en-US"/>
                  <a:t>C]</a:t>
                </a:r>
              </a:p>
            </c:rich>
          </c:tx>
          <c:overlay val="0"/>
        </c:title>
        <c:numFmt formatCode="General" sourceLinked="1"/>
        <c:majorTickMark val="out"/>
        <c:minorTickMark val="none"/>
        <c:tickLblPos val="nextTo"/>
        <c:crossAx val="97297920"/>
        <c:crosses val="autoZero"/>
        <c:crossBetween val="midCat"/>
        <c:majorUnit val="25"/>
        <c:minorUnit val="5"/>
      </c:valAx>
    </c:plotArea>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791</TotalTime>
  <Pages>10</Pages>
  <Words>846</Words>
  <Characters>4779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Turkevich, Leonid A. (CDC/NIOSH/DART)</dc:creator>
  <cp:keywords/>
  <dc:description/>
  <cp:lastModifiedBy>CDC User</cp:lastModifiedBy>
  <cp:revision>46</cp:revision>
  <cp:lastPrinted>2014-11-20T20:08:00Z</cp:lastPrinted>
  <dcterms:created xsi:type="dcterms:W3CDTF">2011-12-30T21:19:00Z</dcterms:created>
  <dcterms:modified xsi:type="dcterms:W3CDTF">2015-01-29T18:20:00Z</dcterms:modified>
</cp:coreProperties>
</file>