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34" w:rsidRPr="00276134" w:rsidRDefault="00276134" w:rsidP="00276134">
      <w:pPr>
        <w:spacing w:line="480" w:lineRule="auto"/>
        <w:jc w:val="both"/>
        <w:rPr>
          <w:rFonts w:eastAsia="Arial Unicode MS" w:cs="Arial Unicode MS"/>
          <w:b/>
          <w:i/>
          <w:color w:val="232323"/>
        </w:rPr>
      </w:pPr>
      <w:r w:rsidRPr="00276134">
        <w:rPr>
          <w:rFonts w:eastAsia="Arial Unicode MS" w:cs="Arial Unicode MS"/>
          <w:b/>
          <w:i/>
          <w:color w:val="232323"/>
        </w:rPr>
        <w:t xml:space="preserve">Whole and targeted exome sequencing </w:t>
      </w:r>
      <w:r>
        <w:rPr>
          <w:rFonts w:eastAsia="Arial Unicode MS" w:cs="Arial Unicode MS"/>
          <w:b/>
          <w:i/>
          <w:color w:val="232323"/>
        </w:rPr>
        <w:t>JPSS trios</w:t>
      </w:r>
    </w:p>
    <w:p w:rsidR="00276134" w:rsidRDefault="00276134" w:rsidP="00276134">
      <w:pPr>
        <w:spacing w:line="480" w:lineRule="auto"/>
        <w:ind w:firstLine="720"/>
        <w:jc w:val="both"/>
        <w:rPr>
          <w:rFonts w:eastAsia="Arial Unicode MS" w:cs="Arial Unicode MS"/>
          <w:color w:val="232323"/>
        </w:rPr>
      </w:pPr>
    </w:p>
    <w:p w:rsidR="00276134" w:rsidRDefault="00276134" w:rsidP="00276134">
      <w:pPr>
        <w:spacing w:line="480" w:lineRule="auto"/>
        <w:ind w:firstLine="720"/>
        <w:jc w:val="both"/>
        <w:rPr>
          <w:rFonts w:cs="Arial"/>
          <w:color w:val="000000"/>
        </w:rPr>
      </w:pPr>
      <w:r w:rsidRPr="002C5168">
        <w:rPr>
          <w:rFonts w:eastAsia="Arial Unicode MS" w:cs="Arial Unicode MS"/>
          <w:color w:val="232323"/>
        </w:rPr>
        <w:t>G</w:t>
      </w:r>
      <w:r w:rsidRPr="002C5168">
        <w:rPr>
          <w:rFonts w:cs="Arial"/>
        </w:rPr>
        <w:t xml:space="preserve">enetic samples from the JPSS trios were sent to </w:t>
      </w:r>
      <w:r>
        <w:rPr>
          <w:rFonts w:cs="Arial"/>
        </w:rPr>
        <w:t xml:space="preserve">MC King’s laboratory </w:t>
      </w:r>
      <w:r w:rsidRPr="002C5168">
        <w:rPr>
          <w:rFonts w:cs="Arial"/>
          <w:color w:val="000000"/>
        </w:rPr>
        <w:t xml:space="preserve">for next generation sequencing. Exons were captured using the </w:t>
      </w:r>
      <w:proofErr w:type="spellStart"/>
      <w:r w:rsidRPr="002C5168">
        <w:rPr>
          <w:rFonts w:cs="Arial"/>
          <w:color w:val="000000"/>
        </w:rPr>
        <w:t>NimbleGen</w:t>
      </w:r>
      <w:proofErr w:type="spellEnd"/>
      <w:r w:rsidRPr="002C5168">
        <w:rPr>
          <w:rFonts w:cs="Arial"/>
          <w:color w:val="000000"/>
        </w:rPr>
        <w:t xml:space="preserve"> Se Cap EZ SR v2 and </w:t>
      </w:r>
      <w:proofErr w:type="spellStart"/>
      <w:r w:rsidRPr="002C5168">
        <w:rPr>
          <w:rFonts w:cs="Arial"/>
          <w:color w:val="000000"/>
        </w:rPr>
        <w:t>Illumina</w:t>
      </w:r>
      <w:proofErr w:type="spellEnd"/>
      <w:r w:rsidRPr="002C5168">
        <w:rPr>
          <w:rFonts w:cs="Arial"/>
          <w:color w:val="000000"/>
        </w:rPr>
        <w:t xml:space="preserve"> sequencing technology and run Multiplex, 4 libraries per lane on v3 </w:t>
      </w:r>
      <w:proofErr w:type="spellStart"/>
      <w:r w:rsidRPr="002C5168">
        <w:rPr>
          <w:rFonts w:cs="Arial"/>
          <w:color w:val="000000"/>
        </w:rPr>
        <w:t>HiSeq</w:t>
      </w:r>
      <w:proofErr w:type="spellEnd"/>
      <w:r w:rsidRPr="002C5168">
        <w:rPr>
          <w:rFonts w:cs="Arial"/>
          <w:color w:val="000000"/>
        </w:rPr>
        <w:t xml:space="preserve"> </w:t>
      </w:r>
      <w:proofErr w:type="spellStart"/>
      <w:r w:rsidRPr="002C5168">
        <w:rPr>
          <w:rFonts w:cs="Arial"/>
          <w:color w:val="000000"/>
        </w:rPr>
        <w:t>flowcell</w:t>
      </w:r>
      <w:proofErr w:type="spellEnd"/>
      <w:r w:rsidRPr="002C5168">
        <w:rPr>
          <w:rFonts w:cs="Arial"/>
          <w:color w:val="000000"/>
        </w:rPr>
        <w:t xml:space="preserve">. The </w:t>
      </w:r>
      <w:r w:rsidRPr="002C5168">
        <w:rPr>
          <w:rFonts w:eastAsia="Arial Unicode MS" w:cs="Arial Unicode MS"/>
          <w:color w:val="232323"/>
        </w:rPr>
        <w:t>median depth of coverage was &gt;100x, with 93% of base pairs covered at ≥ 10× per sample.</w:t>
      </w:r>
      <w:r w:rsidRPr="002C5168">
        <w:rPr>
          <w:rFonts w:cs="Arial"/>
          <w:color w:val="000000"/>
        </w:rPr>
        <w:t xml:space="preserve"> Sequences were aligned and SNVs and </w:t>
      </w:r>
      <w:proofErr w:type="spellStart"/>
      <w:r w:rsidRPr="002C5168">
        <w:rPr>
          <w:rFonts w:cs="Arial"/>
          <w:color w:val="000000"/>
        </w:rPr>
        <w:t>indels</w:t>
      </w:r>
      <w:proofErr w:type="spellEnd"/>
      <w:r w:rsidRPr="002C5168">
        <w:rPr>
          <w:rFonts w:cs="Arial"/>
          <w:color w:val="000000"/>
        </w:rPr>
        <w:t xml:space="preserve"> were identified with in-house scripts, filtered for variants that were present in the </w:t>
      </w:r>
      <w:proofErr w:type="spellStart"/>
      <w:r w:rsidRPr="002C5168">
        <w:rPr>
          <w:rFonts w:cs="Arial"/>
          <w:color w:val="000000"/>
        </w:rPr>
        <w:t>proband</w:t>
      </w:r>
      <w:proofErr w:type="spellEnd"/>
      <w:r w:rsidRPr="002C5168">
        <w:rPr>
          <w:rFonts w:cs="Arial"/>
          <w:color w:val="000000"/>
        </w:rPr>
        <w:t xml:space="preserve"> but neither parent, </w:t>
      </w:r>
      <w:r>
        <w:rPr>
          <w:rFonts w:cs="Arial"/>
          <w:color w:val="000000"/>
        </w:rPr>
        <w:t xml:space="preserve">which </w:t>
      </w:r>
      <w:r w:rsidRPr="002C5168">
        <w:rPr>
          <w:rFonts w:cs="Arial"/>
          <w:color w:val="000000"/>
        </w:rPr>
        <w:t xml:space="preserve">were potentially disruptive and were </w:t>
      </w:r>
      <w:proofErr w:type="spellStart"/>
      <w:r w:rsidRPr="002C5168">
        <w:rPr>
          <w:rFonts w:cs="Arial"/>
          <w:color w:val="000000"/>
        </w:rPr>
        <w:t>frameshift</w:t>
      </w:r>
      <w:proofErr w:type="spellEnd"/>
      <w:r w:rsidRPr="002C5168">
        <w:rPr>
          <w:rFonts w:cs="Arial"/>
          <w:color w:val="000000"/>
        </w:rPr>
        <w:t xml:space="preserve"> </w:t>
      </w:r>
      <w:r w:rsidRPr="002C5168">
        <w:rPr>
          <w:rFonts w:cs="Arial"/>
          <w:iCs/>
          <w:color w:val="000000"/>
        </w:rPr>
        <w:t>or</w:t>
      </w:r>
      <w:r w:rsidRPr="002C5168">
        <w:rPr>
          <w:rFonts w:cs="Arial"/>
          <w:color w:val="000000"/>
        </w:rPr>
        <w:t xml:space="preserve"> nonsense </w:t>
      </w:r>
      <w:r w:rsidRPr="002C5168">
        <w:rPr>
          <w:rFonts w:cs="Arial"/>
          <w:iCs/>
          <w:color w:val="000000"/>
        </w:rPr>
        <w:t xml:space="preserve">mutations, </w:t>
      </w:r>
      <w:r w:rsidRPr="002C5168">
        <w:rPr>
          <w:rFonts w:cs="Arial"/>
          <w:color w:val="000000"/>
        </w:rPr>
        <w:t xml:space="preserve">splice </w:t>
      </w:r>
      <w:r w:rsidRPr="002C5168">
        <w:rPr>
          <w:rFonts w:cs="Arial"/>
          <w:iCs/>
          <w:color w:val="000000"/>
        </w:rPr>
        <w:t>mutations</w:t>
      </w:r>
      <w:r w:rsidRPr="002C5168">
        <w:rPr>
          <w:rFonts w:cs="Arial"/>
          <w:color w:val="000000"/>
        </w:rPr>
        <w:t xml:space="preserve"> </w:t>
      </w:r>
      <w:r w:rsidRPr="002C5168">
        <w:rPr>
          <w:rFonts w:cs="Arial"/>
          <w:color w:val="000000"/>
          <w:u w:val="single"/>
        </w:rPr>
        <w:t>+</w:t>
      </w:r>
      <w:r w:rsidRPr="002C5168">
        <w:rPr>
          <w:rFonts w:cs="Arial"/>
          <w:color w:val="000000"/>
        </w:rPr>
        <w:t xml:space="preserve"> 3 </w:t>
      </w:r>
      <w:proofErr w:type="spellStart"/>
      <w:r w:rsidRPr="002C5168">
        <w:rPr>
          <w:rFonts w:cs="Arial"/>
          <w:color w:val="000000"/>
        </w:rPr>
        <w:t>bp</w:t>
      </w:r>
      <w:proofErr w:type="spellEnd"/>
      <w:r w:rsidRPr="002C5168">
        <w:rPr>
          <w:rFonts w:cs="Arial"/>
          <w:color w:val="000000"/>
        </w:rPr>
        <w:t xml:space="preserve">, or </w:t>
      </w:r>
      <w:proofErr w:type="spellStart"/>
      <w:r w:rsidRPr="002C5168">
        <w:rPr>
          <w:rFonts w:cs="Arial"/>
          <w:color w:val="000000"/>
        </w:rPr>
        <w:t>missense</w:t>
      </w:r>
      <w:proofErr w:type="spellEnd"/>
      <w:r w:rsidRPr="002C5168">
        <w:rPr>
          <w:rFonts w:cs="Arial"/>
          <w:color w:val="000000"/>
        </w:rPr>
        <w:t xml:space="preserve"> mutations </w:t>
      </w:r>
      <w:r>
        <w:rPr>
          <w:rFonts w:cs="Arial"/>
          <w:color w:val="000000"/>
        </w:rPr>
        <w:t xml:space="preserve">with </w:t>
      </w:r>
      <w:r w:rsidRPr="002C5168">
        <w:rPr>
          <w:rFonts w:cs="Arial"/>
          <w:color w:val="000000"/>
        </w:rPr>
        <w:t>a Polyphen-2 score &gt;0.5. The</w:t>
      </w:r>
      <w:r w:rsidRPr="00A642D7">
        <w:rPr>
          <w:rFonts w:cs="Arial"/>
          <w:color w:val="000000"/>
        </w:rPr>
        <w:t xml:space="preserve"> events were validated based on filtering set of &gt;800 in-house unrelated </w:t>
      </w:r>
      <w:proofErr w:type="spellStart"/>
      <w:r w:rsidRPr="00A642D7">
        <w:rPr>
          <w:rFonts w:cs="Arial"/>
          <w:color w:val="000000"/>
        </w:rPr>
        <w:t>exomes</w:t>
      </w:r>
      <w:proofErr w:type="spellEnd"/>
      <w:r>
        <w:rPr>
          <w:rFonts w:cs="Arial"/>
          <w:color w:val="000000"/>
        </w:rPr>
        <w:t xml:space="preserve"> for </w:t>
      </w:r>
      <w:r w:rsidRPr="00A642D7">
        <w:rPr>
          <w:rFonts w:cs="Arial"/>
          <w:color w:val="000000"/>
        </w:rPr>
        <w:t>point mutations that were novel</w:t>
      </w:r>
      <w:r>
        <w:rPr>
          <w:rFonts w:cs="Arial"/>
          <w:color w:val="000000"/>
        </w:rPr>
        <w:t xml:space="preserve">. </w:t>
      </w:r>
    </w:p>
    <w:p w:rsidR="00276134" w:rsidRDefault="00276134" w:rsidP="00276134">
      <w:pPr>
        <w:spacing w:line="480" w:lineRule="auto"/>
        <w:jc w:val="both"/>
      </w:pPr>
    </w:p>
    <w:p w:rsidR="00276134" w:rsidRDefault="00276134" w:rsidP="00276134">
      <w:pPr>
        <w:spacing w:line="480" w:lineRule="auto"/>
        <w:jc w:val="both"/>
        <w:rPr>
          <w:b/>
          <w:i/>
        </w:rPr>
      </w:pPr>
      <w:r w:rsidRPr="00276134">
        <w:rPr>
          <w:b/>
          <w:i/>
        </w:rPr>
        <w:t>Targeted exome capture in replication sample</w:t>
      </w:r>
    </w:p>
    <w:p w:rsidR="00276134" w:rsidRPr="00276134" w:rsidRDefault="00276134" w:rsidP="00276134">
      <w:pPr>
        <w:spacing w:line="480" w:lineRule="auto"/>
        <w:jc w:val="both"/>
        <w:rPr>
          <w:b/>
          <w:i/>
        </w:rPr>
      </w:pPr>
    </w:p>
    <w:p w:rsidR="00276134" w:rsidRDefault="00276134" w:rsidP="00276134">
      <w:pPr>
        <w:spacing w:line="480" w:lineRule="auto"/>
        <w:jc w:val="both"/>
        <w:rPr>
          <w:rFonts w:cs="Arial"/>
          <w:color w:val="000000"/>
        </w:rPr>
      </w:pPr>
      <w:r w:rsidRPr="00F62E07">
        <w:t xml:space="preserve">In the replication sample, </w:t>
      </w:r>
      <w:r>
        <w:t>all annotated</w:t>
      </w:r>
      <w:r w:rsidRPr="00F62E07">
        <w:t xml:space="preserve"> exons of the </w:t>
      </w:r>
      <w:r>
        <w:t xml:space="preserve">de novo </w:t>
      </w:r>
      <w:r w:rsidRPr="00F62E07">
        <w:t xml:space="preserve">JPSS genes were sequenced using the following methodology. 500ng of DNA from each sample </w:t>
      </w:r>
      <w:r>
        <w:t xml:space="preserve">were </w:t>
      </w:r>
      <w:r w:rsidRPr="00F62E07">
        <w:t xml:space="preserve">sheared to an average of 150 </w:t>
      </w:r>
      <w:proofErr w:type="spellStart"/>
      <w:r w:rsidRPr="00F62E07">
        <w:t>bp</w:t>
      </w:r>
      <w:proofErr w:type="spellEnd"/>
      <w:r w:rsidRPr="00F62E07">
        <w:t xml:space="preserve"> in a </w:t>
      </w:r>
      <w:proofErr w:type="spellStart"/>
      <w:r w:rsidRPr="00F62E07">
        <w:t>Covaris</w:t>
      </w:r>
      <w:proofErr w:type="spellEnd"/>
      <w:r w:rsidRPr="00F62E07">
        <w:t xml:space="preserve"> instrument for 360 seconds (Duty cycle - 10%; intensity - 5; cycles/Burst - 200). Barcoded libraries were prepared using the </w:t>
      </w:r>
      <w:proofErr w:type="spellStart"/>
      <w:r w:rsidRPr="00F62E07">
        <w:t>Kapa</w:t>
      </w:r>
      <w:proofErr w:type="spellEnd"/>
      <w:r w:rsidRPr="00F62E07">
        <w:t xml:space="preserve"> Low-Throughput Library Preparation Kit Standard (</w:t>
      </w:r>
      <w:proofErr w:type="spellStart"/>
      <w:r w:rsidRPr="00F62E07">
        <w:t>Kapa</w:t>
      </w:r>
      <w:proofErr w:type="spellEnd"/>
      <w:r w:rsidRPr="00F62E07">
        <w:t xml:space="preserve"> </w:t>
      </w:r>
      <w:proofErr w:type="spellStart"/>
      <w:r w:rsidRPr="00F62E07">
        <w:t>Biosystems</w:t>
      </w:r>
      <w:proofErr w:type="spellEnd"/>
      <w:r w:rsidRPr="00F62E07">
        <w:t xml:space="preserve">). Libraries were amplified using the KAPA </w:t>
      </w:r>
      <w:proofErr w:type="spellStart"/>
      <w:r w:rsidRPr="00F62E07">
        <w:t>HiFi</w:t>
      </w:r>
      <w:proofErr w:type="spellEnd"/>
      <w:r w:rsidRPr="00F62E07">
        <w:t xml:space="preserve"> Library Amplification kit (</w:t>
      </w:r>
      <w:proofErr w:type="spellStart"/>
      <w:r w:rsidRPr="00F62E07">
        <w:t>Kapa</w:t>
      </w:r>
      <w:proofErr w:type="spellEnd"/>
      <w:r w:rsidRPr="00F62E07">
        <w:t xml:space="preserve"> </w:t>
      </w:r>
      <w:proofErr w:type="spellStart"/>
      <w:r w:rsidRPr="00F62E07">
        <w:t>Biosystems</w:t>
      </w:r>
      <w:proofErr w:type="spellEnd"/>
      <w:r w:rsidRPr="00F62E07">
        <w:t xml:space="preserve">) (8 cycles) and quantified using </w:t>
      </w:r>
      <w:proofErr w:type="spellStart"/>
      <w:r w:rsidRPr="00F62E07">
        <w:t>Qubit</w:t>
      </w:r>
      <w:proofErr w:type="spellEnd"/>
      <w:r w:rsidRPr="00F62E07">
        <w:t xml:space="preserve"> </w:t>
      </w:r>
      <w:proofErr w:type="spellStart"/>
      <w:r w:rsidRPr="00F62E07">
        <w:t>Fluorimetric</w:t>
      </w:r>
      <w:proofErr w:type="spellEnd"/>
      <w:r w:rsidRPr="00F62E07">
        <w:t xml:space="preserve"> </w:t>
      </w:r>
      <w:proofErr w:type="spellStart"/>
      <w:r w:rsidRPr="00F62E07">
        <w:t>Quantitation</w:t>
      </w:r>
      <w:proofErr w:type="spellEnd"/>
      <w:r w:rsidRPr="00F62E07">
        <w:t xml:space="preserve"> (</w:t>
      </w:r>
      <w:proofErr w:type="spellStart"/>
      <w:r w:rsidRPr="00F62E07">
        <w:t>Invitrogen</w:t>
      </w:r>
      <w:proofErr w:type="spellEnd"/>
      <w:r w:rsidRPr="00F62E07">
        <w:t xml:space="preserve">) and Agilent </w:t>
      </w:r>
      <w:proofErr w:type="spellStart"/>
      <w:r w:rsidRPr="00F62E07">
        <w:t>Bioanalyzer</w:t>
      </w:r>
      <w:proofErr w:type="spellEnd"/>
      <w:r w:rsidRPr="00F62E07">
        <w:t xml:space="preserve">.  An </w:t>
      </w:r>
      <w:proofErr w:type="spellStart"/>
      <w:r w:rsidRPr="00F62E07">
        <w:t>equimolar</w:t>
      </w:r>
      <w:proofErr w:type="spellEnd"/>
      <w:r w:rsidRPr="00F62E07">
        <w:t xml:space="preserve"> pool of the 4 </w:t>
      </w:r>
      <w:proofErr w:type="spellStart"/>
      <w:r w:rsidRPr="00F62E07">
        <w:t>barcoded</w:t>
      </w:r>
      <w:proofErr w:type="spellEnd"/>
      <w:r w:rsidRPr="00F62E07">
        <w:t xml:space="preserve"> libraries </w:t>
      </w:r>
      <w:r w:rsidRPr="00F62E07">
        <w:lastRenderedPageBreak/>
        <w:t xml:space="preserve">(300 </w:t>
      </w:r>
      <w:proofErr w:type="spellStart"/>
      <w:r w:rsidRPr="00F62E07">
        <w:t>ng</w:t>
      </w:r>
      <w:proofErr w:type="spellEnd"/>
      <w:r w:rsidRPr="00F62E07">
        <w:t xml:space="preserve"> each) was used as input to exon capture using one reaction tube of the custom </w:t>
      </w:r>
      <w:proofErr w:type="spellStart"/>
      <w:r w:rsidRPr="00F62E07">
        <w:t>Nimblegen</w:t>
      </w:r>
      <w:proofErr w:type="spellEnd"/>
      <w:r w:rsidRPr="00F62E07">
        <w:t xml:space="preserve"> </w:t>
      </w:r>
      <w:proofErr w:type="spellStart"/>
      <w:r w:rsidRPr="00F62E07">
        <w:t>SeqCap</w:t>
      </w:r>
      <w:proofErr w:type="spellEnd"/>
      <w:r w:rsidRPr="00F62E07">
        <w:t xml:space="preserve"> EZ (Roche) with custom probes target the coding exons of the genes of interest. Capture by hybridization was performed according to the manufacturer’s protocols with the following modifications: 1 </w:t>
      </w:r>
      <w:proofErr w:type="spellStart"/>
      <w:r w:rsidRPr="00F62E07">
        <w:t>nmol</w:t>
      </w:r>
      <w:proofErr w:type="spellEnd"/>
      <w:r w:rsidRPr="00F62E07">
        <w:t xml:space="preserve"> of a pool of blocker oligonucleotides (complementary to the barcoded adapters), and (B) post-capture PCR amplification was done using the KAPA </w:t>
      </w:r>
      <w:proofErr w:type="spellStart"/>
      <w:r w:rsidRPr="00F62E07">
        <w:t>HiFi</w:t>
      </w:r>
      <w:proofErr w:type="spellEnd"/>
      <w:r w:rsidRPr="00F62E07">
        <w:t xml:space="preserve"> Library Amplification kit instead of the </w:t>
      </w:r>
      <w:proofErr w:type="spellStart"/>
      <w:r w:rsidRPr="00F62E07">
        <w:t>Phusion</w:t>
      </w:r>
      <w:proofErr w:type="spellEnd"/>
      <w:r w:rsidRPr="00F62E07">
        <w:t xml:space="preserve"> High-Fidelity PCR Master Mix with HF Buffer Kit, in a 60 </w:t>
      </w:r>
      <w:proofErr w:type="spellStart"/>
      <w:r w:rsidRPr="00F62E07">
        <w:t>ul</w:t>
      </w:r>
      <w:proofErr w:type="spellEnd"/>
      <w:r w:rsidRPr="00F62E07">
        <w:t xml:space="preserve"> volume, since we found that the </w:t>
      </w:r>
      <w:proofErr w:type="spellStart"/>
      <w:r w:rsidRPr="00F62E07">
        <w:t>Kapa</w:t>
      </w:r>
      <w:proofErr w:type="spellEnd"/>
      <w:r w:rsidRPr="00F62E07">
        <w:t xml:space="preserve"> </w:t>
      </w:r>
      <w:proofErr w:type="spellStart"/>
      <w:r w:rsidRPr="00F62E07">
        <w:t>HiFi</w:t>
      </w:r>
      <w:proofErr w:type="spellEnd"/>
      <w:r w:rsidRPr="00F62E07">
        <w:t xml:space="preserve"> kit greatly reduced or eliminated the bias against GC-rich regions. The pooled capture library was quantified by </w:t>
      </w:r>
      <w:proofErr w:type="spellStart"/>
      <w:r w:rsidRPr="00F62E07">
        <w:t>Qubit</w:t>
      </w:r>
      <w:proofErr w:type="spellEnd"/>
      <w:r w:rsidRPr="00F62E07">
        <w:t xml:space="preserve"> (</w:t>
      </w:r>
      <w:proofErr w:type="spellStart"/>
      <w:r w:rsidRPr="00F62E07">
        <w:t>Invitrogen</w:t>
      </w:r>
      <w:proofErr w:type="spellEnd"/>
      <w:r w:rsidRPr="00F62E07">
        <w:t xml:space="preserve">) and </w:t>
      </w:r>
      <w:proofErr w:type="spellStart"/>
      <w:r w:rsidRPr="00F62E07">
        <w:t>Bioanalyzer</w:t>
      </w:r>
      <w:proofErr w:type="spellEnd"/>
      <w:r w:rsidRPr="00F62E07">
        <w:t xml:space="preserve"> (Agilent) and sequenced in on an </w:t>
      </w:r>
      <w:proofErr w:type="spellStart"/>
      <w:r w:rsidRPr="00F62E07">
        <w:t>Illumina</w:t>
      </w:r>
      <w:proofErr w:type="spellEnd"/>
      <w:r w:rsidRPr="00F62E07">
        <w:t xml:space="preserve"> </w:t>
      </w:r>
      <w:proofErr w:type="spellStart"/>
      <w:r w:rsidRPr="00F62E07">
        <w:t>MiSeq</w:t>
      </w:r>
      <w:proofErr w:type="spellEnd"/>
      <w:r w:rsidRPr="00F62E07">
        <w:t xml:space="preserve"> sequencer using the 2x150 paired-end cycle protocol, or on an </w:t>
      </w:r>
      <w:proofErr w:type="spellStart"/>
      <w:r w:rsidRPr="00F62E07">
        <w:t>Illumina</w:t>
      </w:r>
      <w:proofErr w:type="spellEnd"/>
      <w:r w:rsidRPr="00F62E07">
        <w:t xml:space="preserve"> </w:t>
      </w:r>
      <w:proofErr w:type="spellStart"/>
      <w:r w:rsidRPr="00F62E07">
        <w:t>HiSeq</w:t>
      </w:r>
      <w:proofErr w:type="spellEnd"/>
      <w:r w:rsidRPr="00F62E07">
        <w:t xml:space="preserve"> 2500 using a 2 X 100 run, according to the desired depth of sequencing. Reads were aligned to the hg19 build of the human genome using BWA with duplicate removal using </w:t>
      </w:r>
      <w:proofErr w:type="spellStart"/>
      <w:r w:rsidRPr="00F62E07">
        <w:t>samtools</w:t>
      </w:r>
      <w:proofErr w:type="spellEnd"/>
      <w:r w:rsidRPr="00F62E07">
        <w:t xml:space="preserve"> as implemented by the </w:t>
      </w:r>
      <w:proofErr w:type="spellStart"/>
      <w:r w:rsidRPr="00F62E07">
        <w:t>Illumina</w:t>
      </w:r>
      <w:proofErr w:type="spellEnd"/>
      <w:r w:rsidRPr="00F62E07">
        <w:t xml:space="preserve"> </w:t>
      </w:r>
      <w:proofErr w:type="spellStart"/>
      <w:r w:rsidRPr="00F62E07">
        <w:t>MiSeq</w:t>
      </w:r>
      <w:proofErr w:type="spellEnd"/>
      <w:r w:rsidRPr="00F62E07">
        <w:t xml:space="preserve"> Reporter. Variant detection was performed using GATK </w:t>
      </w:r>
      <w:proofErr w:type="spellStart"/>
      <w:r w:rsidRPr="00F62E07">
        <w:t>UnifiedGenotyper</w:t>
      </w:r>
      <w:proofErr w:type="spellEnd"/>
      <w:r w:rsidRPr="00F62E07">
        <w:t xml:space="preserve">. Variants </w:t>
      </w:r>
      <w:r>
        <w:t xml:space="preserve">were </w:t>
      </w:r>
      <w:r w:rsidRPr="00F62E07">
        <w:t xml:space="preserve">annotated with Charity annotator to cross-reference against known </w:t>
      </w:r>
      <w:proofErr w:type="spellStart"/>
      <w:r w:rsidRPr="00F62E07">
        <w:t>dbSNP</w:t>
      </w:r>
      <w:proofErr w:type="spellEnd"/>
      <w:r w:rsidRPr="00F62E07">
        <w:t>, 1000 Genomes, COSMIC mutations</w:t>
      </w:r>
      <w:r>
        <w:t xml:space="preserve"> and Schizophrenia </w:t>
      </w:r>
      <w:proofErr w:type="spellStart"/>
      <w:r>
        <w:t>Genebook</w:t>
      </w:r>
      <w:proofErr w:type="spellEnd"/>
      <w:r>
        <w:t xml:space="preserve"> entries.</w:t>
      </w:r>
      <w:r w:rsidRPr="00F62E07">
        <w:t xml:space="preserve"> </w:t>
      </w:r>
      <w:r w:rsidRPr="00F62E07">
        <w:rPr>
          <w:rFonts w:cs="Arial"/>
          <w:color w:val="000000"/>
        </w:rPr>
        <w:t>Only rare variants (MAF &lt; 0.</w:t>
      </w:r>
      <w:r>
        <w:rPr>
          <w:rFonts w:cs="Arial"/>
          <w:color w:val="000000"/>
        </w:rPr>
        <w:t>0</w:t>
      </w:r>
      <w:r w:rsidRPr="00F62E07">
        <w:rPr>
          <w:rFonts w:cs="Arial"/>
          <w:color w:val="000000"/>
        </w:rPr>
        <w:t>1</w:t>
      </w:r>
      <w:r>
        <w:rPr>
          <w:rFonts w:cs="Arial"/>
          <w:color w:val="000000"/>
        </w:rPr>
        <w:t xml:space="preserve"> in 1000Genomes Browser</w:t>
      </w:r>
      <w:r w:rsidRPr="00F62E07">
        <w:rPr>
          <w:rFonts w:cs="Arial"/>
          <w:color w:val="000000"/>
        </w:rPr>
        <w:t xml:space="preserve">) and </w:t>
      </w:r>
      <w:r>
        <w:rPr>
          <w:rFonts w:cs="Arial"/>
          <w:color w:val="000000"/>
        </w:rPr>
        <w:t>new mutation</w:t>
      </w:r>
      <w:r w:rsidRPr="00F62E07">
        <w:rPr>
          <w:rFonts w:cs="Arial"/>
          <w:color w:val="000000"/>
        </w:rPr>
        <w:t>s, which were not described in any reported database were considered to be positive findings in this study and were analyzed by Polyphen-2.</w:t>
      </w:r>
      <w:bookmarkStart w:id="0" w:name="_GoBack"/>
      <w:bookmarkEnd w:id="0"/>
    </w:p>
    <w:p w:rsidR="002F5B87" w:rsidRDefault="002F5B87"/>
    <w:sectPr w:rsidR="002F5B87" w:rsidSect="004120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276134"/>
    <w:rsid w:val="00276134"/>
    <w:rsid w:val="002F5B87"/>
    <w:rsid w:val="00412004"/>
    <w:rsid w:val="004E6363"/>
    <w:rsid w:val="00B1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3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3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>New York University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Kranz</dc:creator>
  <cp:keywords/>
  <dc:description/>
  <cp:lastModifiedBy>rothmk01</cp:lastModifiedBy>
  <cp:revision>2</cp:revision>
  <dcterms:created xsi:type="dcterms:W3CDTF">2015-01-28T21:02:00Z</dcterms:created>
  <dcterms:modified xsi:type="dcterms:W3CDTF">2015-01-28T21:02:00Z</dcterms:modified>
</cp:coreProperties>
</file>