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A5" w:rsidRPr="007F0B34" w:rsidRDefault="009A78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0B3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86DB0">
        <w:rPr>
          <w:rFonts w:ascii="Times New Roman" w:hAnsi="Times New Roman" w:cs="Times New Roman"/>
          <w:b/>
          <w:sz w:val="24"/>
          <w:szCs w:val="24"/>
        </w:rPr>
        <w:t>S</w:t>
      </w:r>
      <w:r w:rsidRPr="007F0B34">
        <w:rPr>
          <w:rFonts w:ascii="Times New Roman" w:hAnsi="Times New Roman" w:cs="Times New Roman"/>
          <w:b/>
          <w:sz w:val="24"/>
          <w:szCs w:val="24"/>
        </w:rPr>
        <w:t xml:space="preserve">I. Summary of Information </w:t>
      </w:r>
      <w:r w:rsidR="005D36A4">
        <w:rPr>
          <w:rFonts w:ascii="Times New Roman" w:hAnsi="Times New Roman" w:cs="Times New Roman"/>
          <w:b/>
          <w:sz w:val="24"/>
          <w:szCs w:val="24"/>
        </w:rPr>
        <w:t xml:space="preserve">Available </w:t>
      </w:r>
      <w:r w:rsidRPr="007F0B34">
        <w:rPr>
          <w:rFonts w:ascii="Times New Roman" w:hAnsi="Times New Roman" w:cs="Times New Roman"/>
          <w:b/>
          <w:sz w:val="24"/>
          <w:szCs w:val="24"/>
        </w:rPr>
        <w:t>for Chemical Agents</w:t>
      </w:r>
    </w:p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2175"/>
        <w:gridCol w:w="1745"/>
        <w:gridCol w:w="1855"/>
        <w:gridCol w:w="1985"/>
        <w:gridCol w:w="2440"/>
        <w:gridCol w:w="1740"/>
      </w:tblGrid>
      <w:tr w:rsidR="00C06143" w:rsidRPr="00C06143" w:rsidTr="0022710A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Agent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143" w:rsidRPr="00C06143" w:rsidRDefault="00C06143" w:rsidP="0087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 Used (Range)</w:t>
            </w: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 Sampled (Range)</w:t>
            </w: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Department-Years Used (N)</w:t>
            </w: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Department-Years Sampled (N)</w:t>
            </w: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Sample Results (N)</w:t>
            </w:r>
            <w:r w:rsidRPr="00C06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C06143" w:rsidRPr="00C06143" w:rsidTr="0022710A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Fiberglass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1969-2001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1980-1997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06143" w:rsidRPr="00C06143" w:rsidTr="0022710A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1969-2001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1979-2001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C06143" w:rsidRPr="00C06143" w:rsidTr="0022710A">
        <w:trPr>
          <w:trHeight w:val="34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Methylene Chloride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1969-1996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1980-1993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C06143" w:rsidRPr="00C06143" w:rsidTr="0022710A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 Chloroform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1969-2001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1980-1991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C06143" w:rsidRPr="00C06143" w:rsidTr="0022710A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Perchloroethylene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1969-1998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1980-1997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C06143" w:rsidRPr="00C06143" w:rsidTr="0022710A">
        <w:trPr>
          <w:trHeight w:val="345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Trichloroethylene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31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1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-1987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1980-1984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143" w:rsidRPr="00C06143" w:rsidRDefault="00C06143" w:rsidP="00C0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C06143" w:rsidRDefault="007F0B34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0B3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Assignment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agent use by department-year was performed as part of the chemical exposure assessment.</w:t>
      </w:r>
    </w:p>
    <w:p w:rsidR="00925C82" w:rsidRDefault="00925C82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28F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Sample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results were associated with department-year in the company air sample database. Position code </w:t>
      </w:r>
    </w:p>
    <w:p w:rsidR="00925C82" w:rsidRDefault="007528F8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available</w:t>
      </w:r>
      <w:r w:rsidR="00925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air sample database results.</w:t>
      </w:r>
      <w:r w:rsidR="00B869FC">
        <w:rPr>
          <w:rFonts w:ascii="Times New Roman" w:hAnsi="Times New Roman" w:cs="Times New Roman"/>
          <w:sz w:val="24"/>
          <w:szCs w:val="24"/>
        </w:rPr>
        <w:t xml:space="preserve"> Only department and position code were available</w:t>
      </w:r>
    </w:p>
    <w:p w:rsidR="00B869FC" w:rsidRDefault="00B869FC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company employment history.</w:t>
      </w:r>
    </w:p>
    <w:p w:rsidR="00351DBA" w:rsidRDefault="007528F8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28F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 department-year there existed a number of position </w:t>
      </w:r>
      <w:r w:rsidR="00043CD5">
        <w:rPr>
          <w:rFonts w:ascii="Times New Roman" w:hAnsi="Times New Roman" w:cs="Times New Roman"/>
          <w:sz w:val="24"/>
          <w:szCs w:val="24"/>
        </w:rPr>
        <w:t>cod</w:t>
      </w:r>
      <w:r>
        <w:rPr>
          <w:rFonts w:ascii="Times New Roman" w:hAnsi="Times New Roman" w:cs="Times New Roman"/>
          <w:sz w:val="24"/>
          <w:szCs w:val="24"/>
        </w:rPr>
        <w:t xml:space="preserve">es. For example, the range in the number of </w:t>
      </w:r>
    </w:p>
    <w:p w:rsidR="00351DBA" w:rsidRDefault="00351DBA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7528F8">
        <w:rPr>
          <w:rFonts w:ascii="Times New Roman" w:hAnsi="Times New Roman" w:cs="Times New Roman"/>
          <w:sz w:val="24"/>
          <w:szCs w:val="24"/>
        </w:rPr>
        <w:t>nique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F8">
        <w:rPr>
          <w:rFonts w:ascii="Times New Roman" w:hAnsi="Times New Roman" w:cs="Times New Roman"/>
          <w:sz w:val="24"/>
          <w:szCs w:val="24"/>
        </w:rPr>
        <w:t xml:space="preserve">position </w:t>
      </w:r>
      <w:r w:rsidR="00846F2E">
        <w:rPr>
          <w:rFonts w:ascii="Times New Roman" w:hAnsi="Times New Roman" w:cs="Times New Roman"/>
          <w:sz w:val="24"/>
          <w:szCs w:val="24"/>
        </w:rPr>
        <w:t>cod</w:t>
      </w:r>
      <w:r w:rsidR="007528F8">
        <w:rPr>
          <w:rFonts w:ascii="Times New Roman" w:hAnsi="Times New Roman" w:cs="Times New Roman"/>
          <w:sz w:val="24"/>
          <w:szCs w:val="24"/>
        </w:rPr>
        <w:t>es for methylene chloride department-years was 1-21; and for trichloroethylene department-</w:t>
      </w:r>
    </w:p>
    <w:p w:rsidR="007528F8" w:rsidRDefault="007528F8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range</w:t>
      </w:r>
      <w:r w:rsidR="00351DBA">
        <w:rPr>
          <w:rFonts w:ascii="Times New Roman" w:hAnsi="Times New Roman" w:cs="Times New Roman"/>
          <w:sz w:val="24"/>
          <w:szCs w:val="24"/>
        </w:rPr>
        <w:t xml:space="preserve"> in the number of position codes </w:t>
      </w:r>
      <w:r>
        <w:rPr>
          <w:rFonts w:ascii="Times New Roman" w:hAnsi="Times New Roman" w:cs="Times New Roman"/>
          <w:sz w:val="24"/>
          <w:szCs w:val="24"/>
        </w:rPr>
        <w:t>was 1-24.</w:t>
      </w:r>
    </w:p>
    <w:p w:rsidR="005E6BF5" w:rsidRDefault="005E6BF5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6BF5" w:rsidRDefault="005E6BF5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6BF5" w:rsidRDefault="005E6BF5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6BF5" w:rsidRDefault="005E6BF5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6BF5" w:rsidRDefault="005E6BF5" w:rsidP="005E6BF5">
      <w:pPr>
        <w:rPr>
          <w:rFonts w:ascii="Times New Roman" w:hAnsi="Times New Roman" w:cs="Times New Roman"/>
          <w:sz w:val="24"/>
          <w:szCs w:val="24"/>
        </w:rPr>
      </w:pPr>
    </w:p>
    <w:p w:rsidR="005E6BF5" w:rsidRDefault="005E6BF5" w:rsidP="005E6BF5">
      <w:pPr>
        <w:rPr>
          <w:rFonts w:ascii="Times New Roman" w:hAnsi="Times New Roman" w:cs="Times New Roman"/>
          <w:sz w:val="24"/>
          <w:szCs w:val="24"/>
        </w:rPr>
      </w:pPr>
    </w:p>
    <w:p w:rsidR="005E6BF5" w:rsidRDefault="005E6BF5" w:rsidP="005E6BF5">
      <w:pPr>
        <w:rPr>
          <w:rFonts w:ascii="Times New Roman" w:hAnsi="Times New Roman" w:cs="Times New Roman"/>
          <w:sz w:val="24"/>
          <w:szCs w:val="24"/>
        </w:rPr>
      </w:pPr>
    </w:p>
    <w:p w:rsidR="005E6BF5" w:rsidRDefault="005E6BF5" w:rsidP="005E6BF5">
      <w:r w:rsidRPr="00241B91">
        <w:rPr>
          <w:rFonts w:ascii="Times New Roman" w:hAnsi="Times New Roman" w:cs="Times New Roman"/>
          <w:sz w:val="24"/>
          <w:szCs w:val="24"/>
        </w:rPr>
        <w:t>Figure SI. Number of departments identified as using trichloroethylene (TCE) compared to number of departments in which industrial hygiene sampling for TCE occurred for the years 1969-1987. No industrial hygiene sampling results were available in the company air sample database prior to 1980 or after 1984. Available industrial hygiene sampling results (N=20) were not representative of manufacturing processes or quantities of TCE in use at the facility prior to 1980.</w:t>
      </w:r>
    </w:p>
    <w:p w:rsidR="005E6BF5" w:rsidRPr="007F0B34" w:rsidRDefault="005E6BF5" w:rsidP="007528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E6BF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54772" cy="5263116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5E6BF5" w:rsidRPr="007F0B34" w:rsidSect="00C061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43"/>
    <w:rsid w:val="00043CD5"/>
    <w:rsid w:val="0022710A"/>
    <w:rsid w:val="00317610"/>
    <w:rsid w:val="00351DBA"/>
    <w:rsid w:val="00386DB0"/>
    <w:rsid w:val="005D36A4"/>
    <w:rsid w:val="005E6BF5"/>
    <w:rsid w:val="007528F8"/>
    <w:rsid w:val="007B3544"/>
    <w:rsid w:val="007F0B34"/>
    <w:rsid w:val="00846F2E"/>
    <w:rsid w:val="00870717"/>
    <w:rsid w:val="00876CD8"/>
    <w:rsid w:val="008F24A5"/>
    <w:rsid w:val="00925C82"/>
    <w:rsid w:val="009A78C1"/>
    <w:rsid w:val="00B869FC"/>
    <w:rsid w:val="00BE4500"/>
    <w:rsid w:val="00C06143"/>
    <w:rsid w:val="00C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723F8-C83F-4E44-93AA-2803F9AA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dc.gov\private\M601\DMF9\endicott\manuscript\ea%20manuscript\JOEH\JOEH%20revison%20folder\Copy%20of%20Book2_BERTKE_graph%20of%20TCE%20depts%20used%20and%20sampled%20by%20year_0806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58045628911772"/>
          <c:y val="2.1001437304068872E-2"/>
          <c:w val="0.8406503129416516"/>
          <c:h val="0.8020083165080194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Sheet1!$F$4</c:f>
              <c:strCache>
                <c:ptCount val="1"/>
                <c:pt idx="0">
                  <c:v>N of TCE Depts</c:v>
                </c:pt>
              </c:strCache>
            </c:strRef>
          </c:tx>
          <c:spPr>
            <a:ln w="12700" cap="sq">
              <a:solidFill>
                <a:schemeClr val="tx1"/>
              </a:solidFill>
              <a:prstDash val="lgDash"/>
              <a:miter lim="800000"/>
            </a:ln>
          </c:spPr>
          <c:marker>
            <c:symbol val="none"/>
          </c:marker>
          <c:xVal>
            <c:numRef>
              <c:f>Sheet1!$E$5:$E$23</c:f>
              <c:numCache>
                <c:formatCode>General</c:formatCode>
                <c:ptCount val="19"/>
                <c:pt idx="0">
                  <c:v>1969</c:v>
                </c:pt>
                <c:pt idx="1">
                  <c:v>1970</c:v>
                </c:pt>
                <c:pt idx="2">
                  <c:v>1971</c:v>
                </c:pt>
                <c:pt idx="3">
                  <c:v>1972</c:v>
                </c:pt>
                <c:pt idx="4">
                  <c:v>1973</c:v>
                </c:pt>
                <c:pt idx="5">
                  <c:v>1974</c:v>
                </c:pt>
                <c:pt idx="6">
                  <c:v>1975</c:v>
                </c:pt>
                <c:pt idx="7">
                  <c:v>1976</c:v>
                </c:pt>
                <c:pt idx="8">
                  <c:v>1977</c:v>
                </c:pt>
                <c:pt idx="9">
                  <c:v>1978</c:v>
                </c:pt>
                <c:pt idx="10">
                  <c:v>1979</c:v>
                </c:pt>
                <c:pt idx="11">
                  <c:v>1980</c:v>
                </c:pt>
                <c:pt idx="12">
                  <c:v>1981</c:v>
                </c:pt>
                <c:pt idx="13">
                  <c:v>1982</c:v>
                </c:pt>
                <c:pt idx="14">
                  <c:v>1983</c:v>
                </c:pt>
                <c:pt idx="15">
                  <c:v>1984</c:v>
                </c:pt>
                <c:pt idx="16">
                  <c:v>1985</c:v>
                </c:pt>
                <c:pt idx="17">
                  <c:v>1986</c:v>
                </c:pt>
                <c:pt idx="18">
                  <c:v>1987</c:v>
                </c:pt>
              </c:numCache>
            </c:numRef>
          </c:xVal>
          <c:yVal>
            <c:numRef>
              <c:f>Sheet1!$F$5:$F$23</c:f>
              <c:numCache>
                <c:formatCode>General</c:formatCode>
                <c:ptCount val="19"/>
                <c:pt idx="0">
                  <c:v>18</c:v>
                </c:pt>
                <c:pt idx="1">
                  <c:v>19</c:v>
                </c:pt>
                <c:pt idx="2">
                  <c:v>17</c:v>
                </c:pt>
                <c:pt idx="3">
                  <c:v>17</c:v>
                </c:pt>
                <c:pt idx="4">
                  <c:v>19</c:v>
                </c:pt>
                <c:pt idx="5">
                  <c:v>24</c:v>
                </c:pt>
                <c:pt idx="6">
                  <c:v>25</c:v>
                </c:pt>
                <c:pt idx="7">
                  <c:v>19</c:v>
                </c:pt>
                <c:pt idx="8">
                  <c:v>17</c:v>
                </c:pt>
                <c:pt idx="9">
                  <c:v>15</c:v>
                </c:pt>
                <c:pt idx="10">
                  <c:v>14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8</c:v>
                </c:pt>
                <c:pt idx="15">
                  <c:v>6</c:v>
                </c:pt>
                <c:pt idx="16">
                  <c:v>5</c:v>
                </c:pt>
                <c:pt idx="17">
                  <c:v>2</c:v>
                </c:pt>
                <c:pt idx="18">
                  <c:v>1</c:v>
                </c:pt>
              </c:numCache>
            </c:numRef>
          </c:yVal>
          <c:smooth val="0"/>
        </c:ser>
        <c:ser>
          <c:idx val="2"/>
          <c:order val="1"/>
          <c:tx>
            <c:strRef>
              <c:f>Sheet1!$H$4</c:f>
              <c:strCache>
                <c:ptCount val="1"/>
                <c:pt idx="0">
                  <c:v>N of TCE Depts Sampled</c:v>
                </c:pt>
              </c:strCache>
            </c:strRef>
          </c:tx>
          <c:spPr>
            <a:ln w="12700" cap="sq">
              <a:solidFill>
                <a:schemeClr val="tx1"/>
              </a:solidFill>
              <a:prstDash val="solid"/>
              <a:bevel/>
            </a:ln>
          </c:spPr>
          <c:marker>
            <c:symbol val="none"/>
          </c:marker>
          <c:xVal>
            <c:numRef>
              <c:f>Sheet1!$E$5:$E$23</c:f>
              <c:numCache>
                <c:formatCode>General</c:formatCode>
                <c:ptCount val="19"/>
                <c:pt idx="0">
                  <c:v>1969</c:v>
                </c:pt>
                <c:pt idx="1">
                  <c:v>1970</c:v>
                </c:pt>
                <c:pt idx="2">
                  <c:v>1971</c:v>
                </c:pt>
                <c:pt idx="3">
                  <c:v>1972</c:v>
                </c:pt>
                <c:pt idx="4">
                  <c:v>1973</c:v>
                </c:pt>
                <c:pt idx="5">
                  <c:v>1974</c:v>
                </c:pt>
                <c:pt idx="6">
                  <c:v>1975</c:v>
                </c:pt>
                <c:pt idx="7">
                  <c:v>1976</c:v>
                </c:pt>
                <c:pt idx="8">
                  <c:v>1977</c:v>
                </c:pt>
                <c:pt idx="9">
                  <c:v>1978</c:v>
                </c:pt>
                <c:pt idx="10">
                  <c:v>1979</c:v>
                </c:pt>
                <c:pt idx="11">
                  <c:v>1980</c:v>
                </c:pt>
                <c:pt idx="12">
                  <c:v>1981</c:v>
                </c:pt>
                <c:pt idx="13">
                  <c:v>1982</c:v>
                </c:pt>
                <c:pt idx="14">
                  <c:v>1983</c:v>
                </c:pt>
                <c:pt idx="15">
                  <c:v>1984</c:v>
                </c:pt>
                <c:pt idx="16">
                  <c:v>1985</c:v>
                </c:pt>
                <c:pt idx="17">
                  <c:v>1986</c:v>
                </c:pt>
                <c:pt idx="18">
                  <c:v>1987</c:v>
                </c:pt>
              </c:numCache>
            </c:numRef>
          </c:xVal>
          <c:yVal>
            <c:numRef>
              <c:f>Sheet1!$H$5:$H$23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834640"/>
        <c:axId val="291766872"/>
      </c:scatterChart>
      <c:valAx>
        <c:axId val="285834640"/>
        <c:scaling>
          <c:orientation val="minMax"/>
          <c:max val="1987"/>
          <c:min val="1969"/>
        </c:scaling>
        <c:delete val="0"/>
        <c:axPos val="b"/>
        <c:title>
          <c:tx>
            <c:rich>
              <a:bodyPr/>
              <a:lstStyle/>
              <a:p>
                <a:pPr>
                  <a:defRPr sz="1600" b="0"/>
                </a:pPr>
                <a:r>
                  <a:rPr lang="en-US" sz="1600" b="0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291766872"/>
        <c:crosses val="autoZero"/>
        <c:crossBetween val="midCat"/>
        <c:majorUnit val="2"/>
        <c:minorUnit val="1"/>
      </c:valAx>
      <c:valAx>
        <c:axId val="291766872"/>
        <c:scaling>
          <c:orientation val="minMax"/>
          <c:max val="25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600" b="0"/>
                </a:pPr>
                <a:r>
                  <a:rPr lang="en-US" sz="1600" b="0"/>
                  <a:t>Number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2858346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9628823669768614"/>
          <c:y val="6.258273642093154E-2"/>
          <c:w val="0.25522691481746623"/>
          <c:h val="0.1151781901388200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Trout, Douglas (CDC/NIOSH/DSHEFS)</cp:lastModifiedBy>
  <cp:revision>2</cp:revision>
  <cp:lastPrinted>2013-08-06T19:28:00Z</cp:lastPrinted>
  <dcterms:created xsi:type="dcterms:W3CDTF">2015-06-29T18:43:00Z</dcterms:created>
  <dcterms:modified xsi:type="dcterms:W3CDTF">2015-06-29T18:43:00Z</dcterms:modified>
</cp:coreProperties>
</file>