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8" w:rsidRDefault="00CC7C28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 TABLES</w:t>
      </w:r>
    </w:p>
    <w:p w:rsidR="00CC7C28" w:rsidRDefault="00CC7C28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819" w:type="dxa"/>
        <w:jc w:val="center"/>
        <w:tblInd w:w="-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361"/>
        <w:gridCol w:w="772"/>
        <w:gridCol w:w="615"/>
        <w:gridCol w:w="675"/>
        <w:gridCol w:w="547"/>
        <w:gridCol w:w="870"/>
        <w:gridCol w:w="720"/>
        <w:gridCol w:w="720"/>
        <w:gridCol w:w="540"/>
        <w:gridCol w:w="900"/>
        <w:gridCol w:w="720"/>
        <w:gridCol w:w="837"/>
        <w:gridCol w:w="662"/>
        <w:gridCol w:w="778"/>
        <w:gridCol w:w="662"/>
        <w:gridCol w:w="805"/>
        <w:gridCol w:w="635"/>
      </w:tblGrid>
      <w:tr w:rsidR="00CC7C28" w:rsidRPr="00EA05EE" w:rsidTr="00702244">
        <w:trPr>
          <w:trHeight w:val="272"/>
          <w:jc w:val="center"/>
        </w:trPr>
        <w:tc>
          <w:tcPr>
            <w:tcW w:w="14819" w:type="dxa"/>
            <w:gridSpan w:val="17"/>
            <w:vAlign w:val="bottom"/>
          </w:tcPr>
          <w:p w:rsidR="00CC7C28" w:rsidRPr="00EA05EE" w:rsidRDefault="00CC7C28" w:rsidP="00702244">
            <w:pPr>
              <w:spacing w:before="60" w:after="60"/>
              <w:rPr>
                <w:rFonts w:ascii="Arial" w:hAnsi="Arial"/>
                <w:sz w:val="18"/>
              </w:rPr>
            </w:pPr>
            <w:r w:rsidRPr="0028082F">
              <w:rPr>
                <w:rFonts w:ascii="Arial" w:hAnsi="Arial"/>
                <w:b/>
                <w:sz w:val="18"/>
              </w:rPr>
              <w:t xml:space="preserve">Table </w:t>
            </w:r>
            <w:r>
              <w:rPr>
                <w:rFonts w:ascii="Arial" w:hAnsi="Arial"/>
                <w:b/>
                <w:sz w:val="18"/>
              </w:rPr>
              <w:t>S1</w:t>
            </w:r>
            <w:r w:rsidRPr="0028082F">
              <w:rPr>
                <w:rFonts w:ascii="Arial" w:hAnsi="Arial"/>
                <w:b/>
                <w:sz w:val="18"/>
              </w:rPr>
              <w:t xml:space="preserve">. </w:t>
            </w:r>
            <w:r w:rsidRPr="003362D9">
              <w:rPr>
                <w:rFonts w:ascii="Arial" w:hAnsi="Arial"/>
                <w:sz w:val="18"/>
              </w:rPr>
              <w:t>Outcome meas</w:t>
            </w:r>
            <w:r>
              <w:rPr>
                <w:rFonts w:ascii="Arial" w:hAnsi="Arial"/>
                <w:sz w:val="18"/>
              </w:rPr>
              <w:t>ures after intervention and at 3</w:t>
            </w:r>
            <w:r w:rsidRPr="003362D9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week</w:t>
            </w:r>
            <w:r w:rsidRPr="003362D9">
              <w:rPr>
                <w:rFonts w:ascii="Arial" w:hAnsi="Arial"/>
                <w:sz w:val="18"/>
              </w:rPr>
              <w:t xml:space="preserve"> follow-up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35BCB">
              <w:rPr>
                <w:rFonts w:ascii="Arial" w:hAnsi="Arial"/>
                <w:sz w:val="18"/>
              </w:rPr>
              <w:t>for Irritable Bowel Syndrome</w:t>
            </w:r>
            <w:r>
              <w:rPr>
                <w:rFonts w:ascii="Arial" w:hAnsi="Arial"/>
                <w:sz w:val="18"/>
              </w:rPr>
              <w:t xml:space="preserve"> (IBS)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(N=19, top) an</w:t>
            </w:r>
            <w:r w:rsidRPr="00235BCB">
              <w:rPr>
                <w:rFonts w:ascii="Arial" w:hAnsi="Arial"/>
                <w:sz w:val="18"/>
              </w:rPr>
              <w:t>d Inflammatory Bowel Disease (IBD)</w:t>
            </w:r>
            <w:r>
              <w:rPr>
                <w:rFonts w:ascii="Arial" w:hAnsi="Arial"/>
                <w:sz w:val="18"/>
              </w:rPr>
              <w:t xml:space="preserve"> (N=29, bottom).</w:t>
            </w: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vMerge w:val="restart"/>
            <w:tcBorders>
              <w:right w:val="nil"/>
            </w:tcBorders>
            <w:vAlign w:val="bottom"/>
          </w:tcPr>
          <w:p w:rsidR="00CC7C28" w:rsidRPr="00EA05EE" w:rsidRDefault="00CC7C28" w:rsidP="00702244">
            <w:pPr>
              <w:spacing w:beforeLines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09" w:type="dxa"/>
            <w:gridSpan w:val="4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Baseline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(Pre-Intervention)</w:t>
            </w:r>
          </w:p>
        </w:tc>
        <w:tc>
          <w:tcPr>
            <w:tcW w:w="2850" w:type="dxa"/>
            <w:gridSpan w:val="4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Week 5</w:t>
            </w:r>
          </w:p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(Mid-Intervention)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Week 10</w:t>
            </w:r>
          </w:p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(Post-Intervention)</w:t>
            </w:r>
          </w:p>
        </w:tc>
        <w:tc>
          <w:tcPr>
            <w:tcW w:w="2880" w:type="dxa"/>
            <w:gridSpan w:val="4"/>
            <w:tcBorders>
              <w:lef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Week 13</w:t>
            </w:r>
          </w:p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(Short-Term Follow-Up)</w:t>
            </w: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vMerge/>
            <w:tcBorders>
              <w:right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1387" w:type="dxa"/>
            <w:gridSpan w:val="2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IBS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IBD</w:t>
            </w:r>
          </w:p>
        </w:tc>
        <w:tc>
          <w:tcPr>
            <w:tcW w:w="1590" w:type="dxa"/>
            <w:gridSpan w:val="2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IBS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IBD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IBS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IBD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IBS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IBD</w:t>
            </w: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vMerge/>
            <w:tcBorders>
              <w:right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 w:rsidRPr="00EA05EE">
              <w:rPr>
                <w:rFonts w:ascii="Arial" w:hAnsi="Arial"/>
                <w:sz w:val="18"/>
              </w:rPr>
              <w:t>Mean</w:t>
            </w:r>
          </w:p>
        </w:tc>
        <w:tc>
          <w:tcPr>
            <w:tcW w:w="635" w:type="dxa"/>
            <w:tcBorders>
              <w:left w:val="nil"/>
            </w:tcBorders>
          </w:tcPr>
          <w:p w:rsidR="00CC7C28" w:rsidRDefault="00CC7C28" w:rsidP="00702244">
            <w:pPr>
              <w:spacing w:beforeLines="20"/>
              <w:jc w:val="center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SE</w:t>
            </w:r>
          </w:p>
        </w:tc>
      </w:tr>
      <w:tr w:rsidR="00CC7C28" w:rsidRPr="00EA05EE" w:rsidTr="00702244">
        <w:trPr>
          <w:trHeight w:val="200"/>
          <w:jc w:val="center"/>
        </w:trPr>
        <w:tc>
          <w:tcPr>
            <w:tcW w:w="3361" w:type="dxa"/>
            <w:tcBorders>
              <w:bottom w:val="nil"/>
            </w:tcBorders>
          </w:tcPr>
          <w:p w:rsidR="00CC7C28" w:rsidRPr="00EA05EE" w:rsidRDefault="00CC7C28" w:rsidP="00702244">
            <w:pPr>
              <w:spacing w:beforeLines="20" w:after="60"/>
              <w:rPr>
                <w:rFonts w:ascii="Arial" w:hAnsi="Arial"/>
                <w:sz w:val="18"/>
              </w:rPr>
            </w:pPr>
            <w:r w:rsidRPr="00DD6265">
              <w:rPr>
                <w:rFonts w:ascii="Arial" w:hAnsi="Arial"/>
                <w:sz w:val="18"/>
              </w:rPr>
              <w:t>IBD Questionnaire</w:t>
            </w:r>
            <w:r>
              <w:rPr>
                <w:rFonts w:ascii="Arial" w:hAnsi="Arial"/>
                <w:sz w:val="18"/>
              </w:rPr>
              <w:t xml:space="preserve"> (</w:t>
            </w:r>
            <w:r w:rsidRPr="00EA05EE">
              <w:rPr>
                <w:rFonts w:ascii="Arial" w:hAnsi="Arial"/>
                <w:sz w:val="18"/>
              </w:rPr>
              <w:t>IBD-Q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2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171.2</w:t>
            </w:r>
          </w:p>
        </w:tc>
        <w:tc>
          <w:tcPr>
            <w:tcW w:w="547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6.1</w:t>
            </w:r>
          </w:p>
        </w:tc>
        <w:tc>
          <w:tcPr>
            <w:tcW w:w="870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172.0.</w:t>
            </w:r>
          </w:p>
        </w:tc>
        <w:tc>
          <w:tcPr>
            <w:tcW w:w="540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5.8</w:t>
            </w:r>
          </w:p>
        </w:tc>
        <w:tc>
          <w:tcPr>
            <w:tcW w:w="900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185.0**</w:t>
            </w:r>
          </w:p>
        </w:tc>
        <w:tc>
          <w:tcPr>
            <w:tcW w:w="662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5.5</w:t>
            </w:r>
          </w:p>
        </w:tc>
        <w:tc>
          <w:tcPr>
            <w:tcW w:w="778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184.3*</w:t>
            </w:r>
          </w:p>
        </w:tc>
        <w:tc>
          <w:tcPr>
            <w:tcW w:w="635" w:type="dxa"/>
            <w:tcBorders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5.4</w:t>
            </w: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Pr="00EA05EE" w:rsidRDefault="00CC7C28" w:rsidP="00702244">
            <w:pPr>
              <w:spacing w:beforeLines="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Pr="00DD6265">
              <w:rPr>
                <w:rFonts w:ascii="Arial" w:hAnsi="Arial"/>
                <w:sz w:val="18"/>
              </w:rPr>
              <w:t>BS Quality of Life</w:t>
            </w:r>
            <w:r>
              <w:rPr>
                <w:rFonts w:ascii="Arial" w:hAnsi="Arial"/>
                <w:sz w:val="18"/>
              </w:rPr>
              <w:t xml:space="preserve"> (IBS-QOL)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5.1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71.5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4.3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74.8*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3.5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80.6***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3.3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Pr="00DD6265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IBS Symptom Severity Index (IBS-SSI)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24.4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153.7**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23.3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127.5***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23.5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147.1*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26.6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 w:rsidRPr="00DD6265">
              <w:rPr>
                <w:rFonts w:ascii="Arial" w:hAnsi="Arial"/>
                <w:sz w:val="18"/>
              </w:rPr>
              <w:t>State-Trait Anxiety Inventory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C7C28" w:rsidRPr="00EA05EE" w:rsidRDefault="00CC7C28" w:rsidP="00702244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(STAI-Y) – State Anxiety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Pr="00EA05EE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2.9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36.9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35.8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36.0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31.6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31.6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30.8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3.4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31.7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3.0</w:t>
            </w: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 w:rsidRPr="00DD6265">
              <w:rPr>
                <w:rFonts w:ascii="Arial" w:hAnsi="Arial"/>
                <w:sz w:val="18"/>
              </w:rPr>
              <w:t>State-Trait Anxiety Inventory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C7C28" w:rsidRPr="00EA05EE" w:rsidRDefault="00CC7C28" w:rsidP="00702244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(STAI-Y) – Trait Anxiety 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Pr="00EA05EE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2.8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39.3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35.9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36.6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34.3*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32.4**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33.7*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33.6*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2.5</w:t>
            </w:r>
          </w:p>
        </w:tc>
      </w:tr>
      <w:tr w:rsidR="00CC7C28" w:rsidRPr="00EA05EE" w:rsidTr="00702244">
        <w:trPr>
          <w:trHeight w:val="287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Pr="00EA05EE" w:rsidRDefault="00CC7C28" w:rsidP="00702244">
            <w:pPr>
              <w:spacing w:beforeLines="20" w:after="60"/>
              <w:rPr>
                <w:rFonts w:ascii="Arial" w:hAnsi="Arial"/>
                <w:sz w:val="18"/>
              </w:rPr>
            </w:pPr>
            <w:r w:rsidRPr="00DD6265">
              <w:rPr>
                <w:rFonts w:ascii="Arial" w:hAnsi="Arial"/>
                <w:sz w:val="18"/>
              </w:rPr>
              <w:t xml:space="preserve">Pain </w:t>
            </w:r>
            <w:proofErr w:type="spellStart"/>
            <w:r w:rsidRPr="00DD6265">
              <w:rPr>
                <w:rFonts w:ascii="Arial" w:hAnsi="Arial"/>
                <w:sz w:val="18"/>
              </w:rPr>
              <w:t>Catastrophizing</w:t>
            </w:r>
            <w:proofErr w:type="spellEnd"/>
            <w:r w:rsidRPr="00DD6265">
              <w:rPr>
                <w:rFonts w:ascii="Arial" w:hAnsi="Arial"/>
                <w:sz w:val="18"/>
              </w:rPr>
              <w:t xml:space="preserve"> Scale</w:t>
            </w:r>
            <w:r>
              <w:rPr>
                <w:rFonts w:ascii="Arial" w:hAnsi="Arial"/>
                <w:sz w:val="18"/>
              </w:rPr>
              <w:t xml:space="preserve"> (</w:t>
            </w:r>
            <w:r w:rsidRPr="001A7E57">
              <w:rPr>
                <w:rFonts w:ascii="Arial" w:hAnsi="Arial"/>
                <w:sz w:val="18"/>
              </w:rPr>
              <w:t>PCS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2.5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14.8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12.2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2.3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14.0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1.8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10.6*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5.0*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1.8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9.6**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2.1</w:t>
            </w:r>
          </w:p>
        </w:tc>
      </w:tr>
      <w:tr w:rsidR="00CC7C28" w:rsidRPr="00EA05EE" w:rsidTr="00702244">
        <w:trPr>
          <w:trHeight w:val="287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 w:rsidRPr="00DD6265">
              <w:rPr>
                <w:rFonts w:ascii="Arial" w:hAnsi="Arial"/>
                <w:sz w:val="18"/>
              </w:rPr>
              <w:t>Brief Pain Inventory</w:t>
            </w:r>
            <w:r>
              <w:rPr>
                <w:rFonts w:ascii="Arial" w:hAnsi="Arial"/>
                <w:sz w:val="18"/>
              </w:rPr>
              <w:t xml:space="preserve"> (BPI) – </w:t>
            </w:r>
          </w:p>
          <w:p w:rsidR="00CC7C28" w:rsidRPr="00DD6265" w:rsidRDefault="00CC7C28" w:rsidP="00702244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Pain </w:t>
            </w:r>
            <w:r w:rsidRPr="00DD6265">
              <w:rPr>
                <w:rFonts w:ascii="Arial" w:hAnsi="Arial"/>
                <w:sz w:val="18"/>
              </w:rPr>
              <w:t>Interference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Pr="00EA05EE" w:rsidRDefault="00CC7C28" w:rsidP="00702244">
            <w:pPr>
              <w:spacing w:beforeLines="20" w:after="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0.5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0.5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 w:after="2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0.4</w:t>
            </w: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 w:rsidRPr="00DD6265">
              <w:rPr>
                <w:rFonts w:ascii="Arial" w:hAnsi="Arial"/>
                <w:sz w:val="18"/>
              </w:rPr>
              <w:t>Brief Pain Inventory</w:t>
            </w:r>
            <w:r>
              <w:rPr>
                <w:rFonts w:ascii="Arial" w:hAnsi="Arial"/>
                <w:sz w:val="18"/>
              </w:rPr>
              <w:t xml:space="preserve"> (BPI) – </w:t>
            </w:r>
          </w:p>
          <w:p w:rsidR="00CC7C28" w:rsidRPr="00DD6265" w:rsidRDefault="00CC7C28" w:rsidP="00702244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Pain Severity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0.5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0.4</w:t>
            </w: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tcBorders>
              <w:top w:val="nil"/>
              <w:bottom w:val="nil"/>
            </w:tcBorders>
          </w:tcPr>
          <w:p w:rsidR="00CC7C28" w:rsidRPr="00EA05EE" w:rsidRDefault="00CC7C28" w:rsidP="00702244">
            <w:pPr>
              <w:spacing w:beforeLines="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Erythrocyte Sedimentation R</w:t>
            </w:r>
            <w:r w:rsidRPr="00DD6265">
              <w:rPr>
                <w:rFonts w:ascii="Arial" w:hAnsi="Arial"/>
                <w:sz w:val="18"/>
              </w:rPr>
              <w:t>ate</w:t>
            </w:r>
            <w:r>
              <w:rPr>
                <w:rFonts w:ascii="Arial" w:hAnsi="Arial"/>
                <w:sz w:val="18"/>
              </w:rPr>
              <w:t xml:space="preserve"> (ESR)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0.2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3361" w:type="dxa"/>
            <w:tcBorders>
              <w:top w:val="nil"/>
            </w:tcBorders>
          </w:tcPr>
          <w:p w:rsidR="00CC7C28" w:rsidRPr="00EA05EE" w:rsidRDefault="00CC7C28" w:rsidP="00702244">
            <w:pPr>
              <w:spacing w:beforeLines="20" w:after="60"/>
              <w:rPr>
                <w:rFonts w:ascii="Arial" w:hAnsi="Arial"/>
                <w:sz w:val="18"/>
              </w:rPr>
            </w:pPr>
            <w:r w:rsidRPr="00DD6265">
              <w:rPr>
                <w:rFonts w:ascii="Arial" w:hAnsi="Arial"/>
                <w:sz w:val="18"/>
              </w:rPr>
              <w:t>C-reactive protein</w:t>
            </w:r>
            <w:r>
              <w:rPr>
                <w:rFonts w:ascii="Arial" w:hAnsi="Arial"/>
                <w:sz w:val="18"/>
              </w:rPr>
              <w:t xml:space="preserve"> (CRP)</w:t>
            </w:r>
          </w:p>
        </w:tc>
        <w:tc>
          <w:tcPr>
            <w:tcW w:w="772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0.4</w:t>
            </w:r>
          </w:p>
        </w:tc>
        <w:tc>
          <w:tcPr>
            <w:tcW w:w="615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0.3</w:t>
            </w:r>
          </w:p>
        </w:tc>
        <w:tc>
          <w:tcPr>
            <w:tcW w:w="675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0.9</w:t>
            </w:r>
          </w:p>
        </w:tc>
        <w:tc>
          <w:tcPr>
            <w:tcW w:w="547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0.2</w:t>
            </w:r>
          </w:p>
        </w:tc>
        <w:tc>
          <w:tcPr>
            <w:tcW w:w="870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0.6</w:t>
            </w:r>
          </w:p>
        </w:tc>
        <w:tc>
          <w:tcPr>
            <w:tcW w:w="720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0.3</w:t>
            </w:r>
          </w:p>
        </w:tc>
        <w:tc>
          <w:tcPr>
            <w:tcW w:w="837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0.8</w:t>
            </w:r>
          </w:p>
        </w:tc>
        <w:tc>
          <w:tcPr>
            <w:tcW w:w="662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 w:cs="Cambria"/>
                <w:b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0.3</w:t>
            </w:r>
          </w:p>
        </w:tc>
        <w:tc>
          <w:tcPr>
            <w:tcW w:w="778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CC7C28" w:rsidRDefault="00CC7C28" w:rsidP="00702244">
            <w:pPr>
              <w:spacing w:beforeLines="20"/>
              <w:rPr>
                <w:rFonts w:ascii="Arial" w:hAnsi="Arial"/>
                <w:sz w:val="18"/>
              </w:rPr>
            </w:pPr>
          </w:p>
        </w:tc>
      </w:tr>
      <w:tr w:rsidR="00CC7C28" w:rsidRPr="00EA05EE" w:rsidTr="00702244">
        <w:trPr>
          <w:trHeight w:val="272"/>
          <w:jc w:val="center"/>
        </w:trPr>
        <w:tc>
          <w:tcPr>
            <w:tcW w:w="14819" w:type="dxa"/>
            <w:gridSpan w:val="17"/>
            <w:tcBorders>
              <w:top w:val="nil"/>
            </w:tcBorders>
          </w:tcPr>
          <w:p w:rsidR="00CC7C28" w:rsidRPr="00EA05EE" w:rsidRDefault="00CC7C28" w:rsidP="00702244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 w:rsidRPr="001A7E57">
              <w:rPr>
                <w:rFonts w:ascii="Arial" w:hAnsi="Arial"/>
                <w:sz w:val="18"/>
              </w:rPr>
              <w:t>P&lt;0.05,</w:t>
            </w:r>
            <w:r>
              <w:rPr>
                <w:rFonts w:ascii="Arial" w:hAnsi="Arial"/>
                <w:sz w:val="18"/>
              </w:rPr>
              <w:t xml:space="preserve"> **</w:t>
            </w:r>
            <w:r w:rsidRPr="001A7E57">
              <w:rPr>
                <w:rFonts w:ascii="Arial" w:hAnsi="Arial"/>
                <w:sz w:val="18"/>
              </w:rPr>
              <w:t xml:space="preserve">P&lt;0.01, </w:t>
            </w:r>
            <w:r>
              <w:rPr>
                <w:rFonts w:ascii="Arial" w:hAnsi="Arial"/>
                <w:sz w:val="18"/>
              </w:rPr>
              <w:t>***</w:t>
            </w:r>
            <w:r w:rsidRPr="001A7E57">
              <w:rPr>
                <w:rFonts w:ascii="Arial" w:hAnsi="Arial"/>
                <w:sz w:val="18"/>
              </w:rPr>
              <w:t xml:space="preserve">P&lt;0.001 indicate </w:t>
            </w:r>
            <w:r>
              <w:rPr>
                <w:rFonts w:ascii="Arial" w:hAnsi="Arial"/>
                <w:sz w:val="18"/>
              </w:rPr>
              <w:t xml:space="preserve">mixed model </w:t>
            </w:r>
            <w:r w:rsidRPr="001A7E57">
              <w:rPr>
                <w:rFonts w:ascii="Arial" w:hAnsi="Arial"/>
                <w:sz w:val="18"/>
              </w:rPr>
              <w:t xml:space="preserve">analysis comparing baseline scores to post-intervention and </w:t>
            </w:r>
            <w:r>
              <w:rPr>
                <w:rFonts w:ascii="Arial" w:hAnsi="Arial"/>
                <w:sz w:val="18"/>
              </w:rPr>
              <w:t xml:space="preserve">short-term </w:t>
            </w:r>
            <w:r w:rsidRPr="001A7E57">
              <w:rPr>
                <w:rFonts w:ascii="Arial" w:hAnsi="Arial"/>
                <w:sz w:val="18"/>
              </w:rPr>
              <w:t xml:space="preserve">follow-up. </w:t>
            </w:r>
            <w:r w:rsidRPr="001A7E57">
              <w:rPr>
                <w:rFonts w:ascii="Arial" w:hAnsi="Arial"/>
                <w:sz w:val="18"/>
                <w:vertAlign w:val="superscript"/>
              </w:rPr>
              <w:t xml:space="preserve"> </w:t>
            </w:r>
          </w:p>
        </w:tc>
      </w:tr>
    </w:tbl>
    <w:p w:rsidR="00CC7C28" w:rsidRDefault="00CC7C28" w:rsidP="00CC7C28">
      <w:pPr>
        <w:pStyle w:val="Normal1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E73938" w:rsidRDefault="00AB12FA"/>
    <w:sectPr w:rsidR="00E73938" w:rsidSect="00CC7C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C28"/>
    <w:rsid w:val="001B0E54"/>
    <w:rsid w:val="003B69FC"/>
    <w:rsid w:val="0095596A"/>
    <w:rsid w:val="00A2330C"/>
    <w:rsid w:val="00AB12FA"/>
    <w:rsid w:val="00BE43D6"/>
    <w:rsid w:val="00C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2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C7C28"/>
    <w:pPr>
      <w:spacing w:after="0" w:line="240" w:lineRule="auto"/>
    </w:pPr>
    <w:rPr>
      <w:rFonts w:ascii="Cambria" w:eastAsia="Times New Roman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Riklin, Eric Isaac Kagan</dc:creator>
  <cp:lastModifiedBy>Riklin, Eric Isaac Kagan</cp:lastModifiedBy>
  <cp:revision>1</cp:revision>
  <dcterms:created xsi:type="dcterms:W3CDTF">2015-02-05T20:18:00Z</dcterms:created>
  <dcterms:modified xsi:type="dcterms:W3CDTF">2015-02-05T20:25:00Z</dcterms:modified>
</cp:coreProperties>
</file>