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AA" w:rsidRPr="004C5C59" w:rsidRDefault="00A8169C" w:rsidP="006B6929">
      <w:pPr>
        <w:rPr>
          <w:b/>
          <w:lang w:eastAsia="ko-KR"/>
        </w:rPr>
      </w:pPr>
      <w:r>
        <w:rPr>
          <w:b/>
          <w:lang w:eastAsia="ko-KR"/>
        </w:rPr>
        <w:t>Additional file 1</w:t>
      </w:r>
    </w:p>
    <w:p w:rsidR="00170BFE" w:rsidRDefault="00170BFE" w:rsidP="00145BAA">
      <w:pPr>
        <w:autoSpaceDE w:val="0"/>
        <w:autoSpaceDN w:val="0"/>
        <w:adjustRightInd w:val="0"/>
        <w:rPr>
          <w:b/>
        </w:rPr>
      </w:pPr>
    </w:p>
    <w:p w:rsidR="00170BFE" w:rsidRDefault="00170BFE" w:rsidP="00170BFE">
      <w:pPr>
        <w:autoSpaceDE w:val="0"/>
        <w:autoSpaceDN w:val="0"/>
        <w:adjustRightInd w:val="0"/>
        <w:rPr>
          <w:b/>
        </w:rPr>
      </w:pPr>
      <w:r w:rsidRPr="004C5C59">
        <w:rPr>
          <w:b/>
        </w:rPr>
        <w:t xml:space="preserve">A1: </w:t>
      </w:r>
      <w:r>
        <w:rPr>
          <w:b/>
        </w:rPr>
        <w:t>Model details related to immunization inputs and viral die-out</w:t>
      </w:r>
    </w:p>
    <w:p w:rsidR="00394491" w:rsidRDefault="00394491" w:rsidP="00394491"/>
    <w:p w:rsidR="00342B1D" w:rsidRDefault="00394491" w:rsidP="00394491">
      <w:r w:rsidRPr="00170BFE">
        <w:t>We characterize the impact of each SIA by its true coverage and its repeated missed probability among individuals targeted in the preceding SIA round,[43] and we model the cumulative effect of IPV doses administered as part of the RI schedule as described elsewhere.[41]  We further use a transmission threshold for the effective proportion infectious (i.e., the infectiousness-weighted number of infectious individuals in any mixing group divided by the total number of people in the mixing group) below which we set the force-of-infection of any given LPV strain to 0.  We calibrated this threshold so that it produces both realistic times of die-out of LPVs and realistic OPV evolution and emergence characteristics for cVDPVs across a range of situations in the deterministic differential</w:t>
      </w:r>
      <w:r>
        <w:t>-</w:t>
      </w:r>
      <w:r w:rsidRPr="00170BFE">
        <w:t xml:space="preserve">equation based poliovirus transmission model.[7, 41-43]   This threshold simulates the reality that very low levels of poliovirus prevalence in a population do not sustain transmission due to local heterogeneity and stochastic die-out.  Given that we do not characterize local heterogeneity or die-out and we maintain the OPV evolution process as characterized in the </w:t>
      </w:r>
      <w:r>
        <w:t>differential equation based</w:t>
      </w:r>
      <w:r w:rsidRPr="00170BFE">
        <w:t xml:space="preserve"> model, we continue to use the transmission threshold for the stochastic model.  Thus, the criterion for die-out in this stochastic model analysis represents prevalence below the transmission threshold rather than recovery from infection of the last infectious individual</w:t>
      </w:r>
      <w:r w:rsidR="00342B1D">
        <w:t>.</w:t>
      </w:r>
    </w:p>
    <w:p w:rsidR="00342B1D" w:rsidRDefault="00342B1D" w:rsidP="00394491"/>
    <w:p w:rsidR="00F6417D" w:rsidRPr="00170BFE" w:rsidRDefault="00342B1D" w:rsidP="00F6417D">
      <w:r>
        <w:t>F</w:t>
      </w:r>
      <w:r w:rsidR="00F6417D">
        <w:rPr>
          <w:lang w:eastAsia="ko-KR"/>
        </w:rPr>
        <w:t>or northwest Nigeria, we updated the model to reflect actual vaccine use for SIAs that occurred prior to September 2014 (instead of the then-planned SIAs used in the prior analysis</w:t>
      </w:r>
      <w:r w:rsidR="002942B0">
        <w:fldChar w:fldCharType="begin"/>
      </w:r>
      <w:r w:rsidR="00F6417D">
        <w:instrText xml:space="preserve"> ADDIN EN.CITE &lt;EndNote&gt;&lt;Cite&gt;&lt;Author&gt;Kalkowska&lt;/Author&gt;&lt;Year&gt;2014&lt;/Year&gt;&lt;RecNum&gt;68028&lt;/RecNum&gt;&lt;DisplayText&gt;[1]&lt;/DisplayText&gt;&lt;record&gt;&lt;rec-number&gt;68028&lt;/rec-number&gt;&lt;foreign-keys&gt;&lt;key app="EN" db-id="9eaffrfekaxre7eve5apfrz69tpz2vatpv9s" timestamp="1406339324"&gt;68028&lt;/key&gt;&lt;/foreign-keys&gt;&lt;ref-type name="Journal Article"&gt;17&lt;/ref-type&gt;&lt;contributors&gt;&lt;authors&gt;&lt;author&gt;Kalkowska, Dominika A.&lt;/author&gt;&lt;author&gt;Duintjer Tebbens, R. J.&lt;/author&gt;&lt;author&gt;Thompson, K. M.&lt;/author&gt;&lt;/authors&gt;&lt;/contributors&gt;&lt;titles&gt;&lt;title&gt;Modeling strategies to increase population immunity and prevent poliovirus transmission in the high-risk area of northwest Nigeria&lt;/title&gt;&lt;secondary-title&gt;J Infect Dis&lt;/secondary-title&gt;&lt;/titles&gt;&lt;periodical&gt;&lt;full-title&gt;J Infect Dis&lt;/full-title&gt;&lt;/periodical&gt;&lt;pages&gt;412-423&lt;/pages&gt;&lt;volume&gt;210&lt;/volume&gt;&lt;number&gt;S1&lt;/number&gt;&lt;dates&gt;&lt;year&gt;2014&lt;/year&gt;&lt;/dates&gt;&lt;urls&gt;&lt;/urls&gt;&lt;/record&gt;&lt;/Cite&gt;&lt;/EndNote&gt;</w:instrText>
      </w:r>
      <w:r w:rsidR="002942B0">
        <w:fldChar w:fldCharType="separate"/>
      </w:r>
      <w:r w:rsidR="00F6417D">
        <w:rPr>
          <w:noProof/>
        </w:rPr>
        <w:t>[1]</w:t>
      </w:r>
      <w:r w:rsidR="002942B0">
        <w:fldChar w:fldCharType="end"/>
      </w:r>
      <w:r w:rsidR="00F6417D">
        <w:rPr>
          <w:lang w:eastAsia="ko-KR"/>
        </w:rPr>
        <w:t>).  Specifically, compared to the prior analysis, we changed the rounds for September</w:t>
      </w:r>
      <w:r w:rsidR="00F6417D" w:rsidRPr="00094CDE">
        <w:rPr>
          <w:lang w:eastAsia="ko-KR"/>
        </w:rPr>
        <w:t xml:space="preserve"> 2013</w:t>
      </w:r>
      <w:r w:rsidR="00F6417D" w:rsidRPr="002C546A">
        <w:rPr>
          <w:lang w:eastAsia="ko-KR"/>
        </w:rPr>
        <w:t xml:space="preserve"> and </w:t>
      </w:r>
      <w:r w:rsidR="00F6417D">
        <w:rPr>
          <w:lang w:eastAsia="ko-KR"/>
        </w:rPr>
        <w:t>March</w:t>
      </w:r>
      <w:r w:rsidR="00F6417D" w:rsidRPr="00094CDE">
        <w:rPr>
          <w:lang w:eastAsia="ko-KR"/>
        </w:rPr>
        <w:t xml:space="preserve"> 2014</w:t>
      </w:r>
      <w:r w:rsidR="00F6417D">
        <w:rPr>
          <w:lang w:eastAsia="ko-KR"/>
        </w:rPr>
        <w:t xml:space="preserve"> from tOPV to bOPV, because Nigeria actually used bOPV for those rounds.  We updated the  current path scenario to assume that Nigeria would conduct 2 rounds using tOPV (in August and November) in 2014 and 3 annual rounds using tOPV (in March, August and November) from 2015 forward until OPV2 cessation.  We accounted for the current global policy of planned coordinated OPV2 cessation by changing all RI and SIAs to bOPV after the assumed global tOPV-bOPV switch date.  In the context of updating the model to reflect the situation as it evolved since our prior analysis</w:t>
      </w:r>
      <w:r w:rsidR="00F6417D">
        <w:t>,</w:t>
      </w:r>
      <w:r w:rsidR="002942B0">
        <w:fldChar w:fldCharType="begin"/>
      </w:r>
      <w:r w:rsidR="00F6417D">
        <w:instrText xml:space="preserve"> ADDIN EN.CITE &lt;EndNote&gt;&lt;Cite&gt;&lt;Author&gt;Kalkowska&lt;/Author&gt;&lt;Year&gt;2014&lt;/Year&gt;&lt;RecNum&gt;68028&lt;/RecNum&gt;&lt;DisplayText&gt;[1]&lt;/DisplayText&gt;&lt;record&gt;&lt;rec-number&gt;68028&lt;/rec-number&gt;&lt;foreign-keys&gt;&lt;key app="EN" db-id="9eaffrfekaxre7eve5apfrz69tpz2vatpv9s" timestamp="1406339324"&gt;68028&lt;/key&gt;&lt;/foreign-keys&gt;&lt;ref-type name="Journal Article"&gt;17&lt;/ref-type&gt;&lt;contributors&gt;&lt;authors&gt;&lt;author&gt;Kalkowska, Dominika A.&lt;/author&gt;&lt;author&gt;Duintjer Tebbens, R. J.&lt;/author&gt;&lt;author&gt;Thompson, K. M.&lt;/author&gt;&lt;/authors&gt;&lt;/contributors&gt;&lt;titles&gt;&lt;title&gt;Modeling strategies to increase population immunity and prevent poliovirus transmission in the high-risk area of northwest Nigeria&lt;/title&gt;&lt;secondary-title&gt;J Infect Dis&lt;/secondary-title&gt;&lt;/titles&gt;&lt;periodical&gt;&lt;full-title&gt;J Infect Dis&lt;/full-title&gt;&lt;/periodical&gt;&lt;pages&gt;412-423&lt;/pages&gt;&lt;volume&gt;210&lt;/volume&gt;&lt;number&gt;S1&lt;/number&gt;&lt;dates&gt;&lt;year&gt;2014&lt;/year&gt;&lt;/dates&gt;&lt;urls&gt;&lt;/urls&gt;&lt;/record&gt;&lt;/Cite&gt;&lt;/EndNote&gt;</w:instrText>
      </w:r>
      <w:r w:rsidR="002942B0">
        <w:fldChar w:fldCharType="separate"/>
      </w:r>
      <w:r w:rsidR="00F6417D">
        <w:rPr>
          <w:noProof/>
        </w:rPr>
        <w:t>[1]</w:t>
      </w:r>
      <w:r w:rsidR="002942B0">
        <w:fldChar w:fldCharType="end"/>
      </w:r>
      <w:r w:rsidR="00F6417D">
        <w:t xml:space="preserve"> we further adjusted the</w:t>
      </w:r>
      <w:r w:rsidR="00F6417D">
        <w:rPr>
          <w:lang w:eastAsia="ko-KR"/>
        </w:rPr>
        <w:t xml:space="preserve"> relative SIA coverage in the under-vaccinated subpopulation for the September and October 2013 SIAs (i.e., prior to the observed uptick in cVDPV2 cases) to 0.15 with all other rounds from late 2013 on assuming relative SIA coverage of 0.2 as before.</w:t>
      </w:r>
      <w:r w:rsidR="002942B0">
        <w:fldChar w:fldCharType="begin"/>
      </w:r>
      <w:r w:rsidR="00F6417D">
        <w:instrText xml:space="preserve"> ADDIN EN.CITE &lt;EndNote&gt;&lt;Cite&gt;&lt;Author&gt;Kalkowska&lt;/Author&gt;&lt;Year&gt;2014&lt;/Year&gt;&lt;RecNum&gt;68028&lt;/RecNum&gt;&lt;DisplayText&gt;[1]&lt;/DisplayText&gt;&lt;record&gt;&lt;rec-number&gt;68028&lt;/rec-number&gt;&lt;foreign-keys&gt;&lt;key app="EN" db-id="9eaffrfekaxre7eve5apfrz69tpz2vatpv9s" timestamp="1406339324"&gt;68028&lt;/key&gt;&lt;/foreign-keys&gt;&lt;ref-type name="Journal Article"&gt;17&lt;/ref-type&gt;&lt;contributors&gt;&lt;authors&gt;&lt;author&gt;Kalkowska, Dominika A.&lt;/author&gt;&lt;author&gt;Duintjer Tebbens, R. J.&lt;/author&gt;&lt;author&gt;Thompson, K. M.&lt;/author&gt;&lt;/authors&gt;&lt;/contributors&gt;&lt;titles&gt;&lt;title&gt;Modeling strategies to increase population immunity and prevent poliovirus transmission in the high-risk area of northwest Nigeria&lt;/title&gt;&lt;secondary-title&gt;J Infect Dis&lt;/secondary-title&gt;&lt;/titles&gt;&lt;periodical&gt;&lt;full-title&gt;J Infect Dis&lt;/full-title&gt;&lt;/periodical&gt;&lt;pages&gt;412-423&lt;/pages&gt;&lt;volume&gt;210&lt;/volume&gt;&lt;number&gt;S1&lt;/number&gt;&lt;dates&gt;&lt;year&gt;2014&lt;/year&gt;&lt;/dates&gt;&lt;urls&gt;&lt;/urls&gt;&lt;/record&gt;&lt;/Cite&gt;&lt;/EndNote&gt;</w:instrText>
      </w:r>
      <w:r w:rsidR="002942B0">
        <w:fldChar w:fldCharType="separate"/>
      </w:r>
      <w:r w:rsidR="00F6417D">
        <w:rPr>
          <w:noProof/>
        </w:rPr>
        <w:t>[1]</w:t>
      </w:r>
      <w:r w:rsidR="002942B0">
        <w:fldChar w:fldCharType="end"/>
      </w:r>
      <w:r w:rsidR="00F6417D">
        <w:t xml:space="preserve">  </w:t>
      </w:r>
      <w:r w:rsidR="00F6417D">
        <w:rPr>
          <w:lang w:eastAsia="ko-KR"/>
        </w:rPr>
        <w:t>Partly offsetting the reduction of tOPV use, we assume that efforts to identify more underserved communities led to some increase in RI use in the under-vaccinated subpopulation from 0 before 2012 to a relative coverage compared to the subpopulation with each of the 4 OPV doses in the RI schedule of 0.20% in 2012, 0.25% in 2013, and 0.30% from 2014 forward.  We also increased the RI coverage for the general population starting in 2012 based on a recent study from 11.2% to 26.4% for the birth dose and from 11.6% to 13.9% for the third OPV dose, with partial coverage with 1 or 2 doses non-birth doses similarly updated to reflect the most recent data.</w:t>
      </w:r>
      <w:r w:rsidR="002942B0">
        <w:rPr>
          <w:lang w:eastAsia="ko-KR"/>
        </w:rPr>
        <w:fldChar w:fldCharType="begin"/>
      </w:r>
      <w:r w:rsidR="00F6417D">
        <w:rPr>
          <w:lang w:eastAsia="ko-KR"/>
        </w:rPr>
        <w:instrText xml:space="preserve"> ADDIN EN.CITE &lt;EndNote&gt;&lt;Cite&gt;&lt;Author&gt;National Population Commission Nigeria and ICF International&lt;/Author&gt;&lt;Year&gt;2014&lt;/Year&gt;&lt;RecNum&gt;1988&lt;/RecNum&gt;&lt;DisplayText&gt;[2]&lt;/DisplayText&gt;&lt;record&gt;&lt;rec-number&gt;1988&lt;/rec-number&gt;&lt;foreign-keys&gt;&lt;key app="EN" db-id="d5dd99zzmesw9deza0r52a0xepxwpfav5vs9" timestamp="1410284908"&gt;1988&lt;/key&gt;&lt;/foreign-keys&gt;&lt;ref-type name="Journal Article"&gt;17&lt;/ref-type&gt;&lt;contributors&gt;&lt;authors&gt;&lt;author&gt;National Population Commission Nigeria and ICF International,&lt;/author&gt;&lt;/authors&gt;&lt;/contributors&gt;&lt;titles&gt;&lt;title&gt;Nigeria Demographic and Health Survey 2013&lt;/title&gt;&lt;/titles&gt;&lt;dates&gt;&lt;year&gt;2014&lt;/year&gt;&lt;/dates&gt;&lt;urls&gt;&lt;related-urls&gt;&lt;url&gt;http://dhsprogram.com/pubs/pdf/FR293/FR293.pdf&lt;/url&gt;&lt;/related-urls&gt;&lt;/urls&gt;&lt;/record&gt;&lt;/Cite&gt;&lt;/EndNote&gt;</w:instrText>
      </w:r>
      <w:r w:rsidR="002942B0">
        <w:rPr>
          <w:lang w:eastAsia="ko-KR"/>
        </w:rPr>
        <w:fldChar w:fldCharType="separate"/>
      </w:r>
      <w:r w:rsidR="00F6417D">
        <w:rPr>
          <w:noProof/>
          <w:lang w:eastAsia="ko-KR"/>
        </w:rPr>
        <w:t>[2]</w:t>
      </w:r>
      <w:r w:rsidR="002942B0">
        <w:rPr>
          <w:lang w:eastAsia="ko-KR"/>
        </w:rPr>
        <w:fldChar w:fldCharType="end"/>
      </w:r>
      <w:r w:rsidR="00F6417D">
        <w:rPr>
          <w:lang w:eastAsia="ko-KR"/>
        </w:rPr>
        <w:t xml:space="preserve">  Despite the increased RI coverage and 3 annual tOPV rounds from 2015 forward, in the deterministic model, the current path scenario does not lead to cVPDV2 elimination in time to support a policy of globally-coordinated OPV2 cessation in April 2016 (i.e., die out by April 2015).  Consequently, for the current path scenario, we assume OPV2 cessation would occur in April 2017.  Given a global target to coordinate OPV2 cessation in April 2016, we modeled an increased tOPV scenario in which northwest </w:t>
      </w:r>
      <w:r w:rsidR="00F6417D">
        <w:rPr>
          <w:lang w:eastAsia="ko-KR"/>
        </w:rPr>
        <w:lastRenderedPageBreak/>
        <w:t>Nigeria uses tOPV for one currently planned bOPV round (in January 2015) and thus maintains 4 tOPV rounds annually (January, March, August, and November) until coordinated global OPV2 cessation in April 2016.  Although northwest Nigeria may introduce some use of IPV in 2014, we did not include it in the model in the absence of details about the specific use, presumed limited scale of IPV use, and an expected small projected impact of IPV on population immunity to transmission.</w:t>
      </w:r>
      <w:r w:rsidR="002942B0">
        <w:rPr>
          <w:lang w:eastAsia="ko-KR"/>
        </w:rPr>
        <w:fldChar w:fldCharType="begin"/>
      </w:r>
      <w:r w:rsidR="00F6417D">
        <w:rPr>
          <w:lang w:eastAsia="ko-KR"/>
        </w:rPr>
        <w:instrText xml:space="preserve"> ADDIN EN.CITE &lt;EndNote&gt;&lt;Cite&gt;&lt;Author&gt;Thompson&lt;/Author&gt;&lt;Year&gt;2014&lt;/Year&gt;&lt;RecNum&gt;1986&lt;/RecNum&gt;&lt;DisplayText&gt;[3, 4]&lt;/DisplayText&gt;&lt;record&gt;&lt;rec-number&gt;1986&lt;/rec-number&gt;&lt;foreign-keys&gt;&lt;key app="EN" db-id="d5dd99zzmesw9deza0r52a0xepxwpfav5vs9" timestamp="1405558865"&gt;1986&lt;/key&gt;&lt;/foreign-keys&gt;&lt;ref-type name="Journal Article"&gt;17&lt;/ref-type&gt;&lt;contributors&gt;&lt;authors&gt;&lt;author&gt;Thompson, K. M. &lt;/author&gt;&lt;author&gt;Duintjer Tebbens, R. J. &lt;/author&gt;&lt;/authors&gt;&lt;/contributors&gt;&lt;titles&gt;&lt;title&gt;Modeling the dynamics of oral poliovirus vaccine cessation&lt;/title&gt;&lt;secondary-title&gt;J Infect Dis&lt;/secondary-title&gt;&lt;/titles&gt;&lt;periodical&gt;&lt;full-title&gt;J Infect Dis&lt;/full-title&gt;&lt;/periodical&gt;&lt;pages&gt;475-484&lt;/pages&gt;&lt;volume&gt;210&lt;/volume&gt;&lt;number&gt;S1&lt;/number&gt;&lt;dates&gt;&lt;year&gt;2014&lt;/year&gt;&lt;/dates&gt;&lt;urls&gt;&lt;/urls&gt;&lt;/record&gt;&lt;/Cite&gt;&lt;Cite&gt;&lt;Author&gt;Duintjer Tebbens&lt;/Author&gt;&lt;Year&gt;2014&lt;/Year&gt;&lt;RecNum&gt;1909&lt;/RecNum&gt;&lt;record&gt;&lt;rec-number&gt;1909&lt;/rec-number&gt;&lt;foreign-keys&gt;&lt;key app="EN" db-id="d5dd99zzmesw9deza0r52a0xepxwpfav5vs9" timestamp="0"&gt;1909&lt;/key&gt;&lt;/foreign-keys&gt;&lt;ref-type name="Journal Article"&gt;17&lt;/ref-type&gt;&lt;contributors&gt;&lt;authors&gt;&lt;author&gt;Duintjer Tebbens, Radboud Jacobus&lt;/author&gt;&lt;author&gt;Thompson, Kimberly M.&lt;/author&gt;&lt;/authors&gt;&lt;/contributors&gt;&lt;titles&gt;&lt;title&gt;Modeling the potential role of inactivated poliovirus vaccine to manage the risks of oral poliovirus vaccine cessation&lt;/title&gt;&lt;secondary-title&gt;J Infect Dis&lt;/secondary-title&gt;&lt;/titles&gt;&lt;periodical&gt;&lt;full-title&gt;J Infect Dis&lt;/full-title&gt;&lt;/periodical&gt;&lt;pages&gt;485-497&lt;/pages&gt;&lt;volume&gt;210&lt;/volume&gt;&lt;number&gt;S1&lt;/number&gt;&lt;dates&gt;&lt;year&gt;2014&lt;/year&gt;&lt;/dates&gt;&lt;urls&gt;&lt;/urls&gt;&lt;/record&gt;&lt;/Cite&gt;&lt;/EndNote&gt;</w:instrText>
      </w:r>
      <w:r w:rsidR="002942B0">
        <w:rPr>
          <w:lang w:eastAsia="ko-KR"/>
        </w:rPr>
        <w:fldChar w:fldCharType="separate"/>
      </w:r>
      <w:r w:rsidR="00F6417D">
        <w:rPr>
          <w:noProof/>
          <w:lang w:eastAsia="ko-KR"/>
        </w:rPr>
        <w:t>[3, 4]</w:t>
      </w:r>
      <w:r w:rsidR="002942B0">
        <w:rPr>
          <w:lang w:eastAsia="ko-KR"/>
        </w:rPr>
        <w:fldChar w:fldCharType="end"/>
      </w:r>
    </w:p>
    <w:p w:rsidR="00170BFE" w:rsidRDefault="00170BFE" w:rsidP="00145BAA">
      <w:pPr>
        <w:autoSpaceDE w:val="0"/>
        <w:autoSpaceDN w:val="0"/>
        <w:adjustRightInd w:val="0"/>
        <w:rPr>
          <w:b/>
        </w:rPr>
      </w:pPr>
    </w:p>
    <w:p w:rsidR="00145BAA" w:rsidRDefault="00F6417D" w:rsidP="00145BAA">
      <w:pPr>
        <w:autoSpaceDE w:val="0"/>
        <w:autoSpaceDN w:val="0"/>
        <w:adjustRightInd w:val="0"/>
        <w:rPr>
          <w:b/>
        </w:rPr>
      </w:pPr>
      <w:r>
        <w:rPr>
          <w:b/>
        </w:rPr>
        <w:t>A2</w:t>
      </w:r>
      <w:r w:rsidR="00145BAA" w:rsidRPr="004C5C59">
        <w:rPr>
          <w:b/>
        </w:rPr>
        <w:t>: Description of stochastic model based on differential-equation based model</w:t>
      </w:r>
    </w:p>
    <w:p w:rsidR="00700CB0" w:rsidRPr="00700CB0" w:rsidRDefault="00700CB0" w:rsidP="00145BAA">
      <w:pPr>
        <w:autoSpaceDE w:val="0"/>
        <w:autoSpaceDN w:val="0"/>
        <w:adjustRightInd w:val="0"/>
        <w:rPr>
          <w:b/>
        </w:rPr>
      </w:pPr>
    </w:p>
    <w:p w:rsidR="00074A2C" w:rsidRDefault="00074A2C" w:rsidP="00145BAA">
      <w:pPr>
        <w:autoSpaceDE w:val="0"/>
        <w:autoSpaceDN w:val="0"/>
        <w:adjustRightInd w:val="0"/>
      </w:pPr>
      <w:r>
        <w:t>To transform the deterministic differential-equation based model to a stochastic model, we first round the fractional number of individuals in each stock from the deterministic model at the time of the transformation to integer numbers.  We do so by drawing random uniform numbers to determine</w:t>
      </w:r>
      <w:r w:rsidR="00594235">
        <w:t xml:space="preserve"> </w:t>
      </w:r>
      <w:r>
        <w:t xml:space="preserve">the nearest integer below or above the fractional number from the deterministic model. </w:t>
      </w:r>
    </w:p>
    <w:p w:rsidR="00700CB0" w:rsidRPr="004C5C59" w:rsidRDefault="00700CB0" w:rsidP="00145BAA">
      <w:pPr>
        <w:autoSpaceDE w:val="0"/>
        <w:autoSpaceDN w:val="0"/>
        <w:adjustRightInd w:val="0"/>
      </w:pPr>
    </w:p>
    <w:p w:rsidR="00145BAA" w:rsidRPr="004C5C59" w:rsidRDefault="00145BAA" w:rsidP="00145BAA">
      <w:pPr>
        <w:autoSpaceDE w:val="0"/>
        <w:autoSpaceDN w:val="0"/>
        <w:adjustRightInd w:val="0"/>
      </w:pPr>
      <w:r w:rsidRPr="004C5C59">
        <w:t>Each time step in one stochastic iteration starts with calculating all transition rates</w:t>
      </w:r>
      <w:r w:rsidR="00FF098F">
        <w:t>,</w:t>
      </w:r>
      <w:r w:rsidRPr="004C5C59">
        <w:t xml:space="preserve"> which change the current state and</w:t>
      </w:r>
      <w:r w:rsidR="00394491">
        <w:t xml:space="preserve"> a set of </w:t>
      </w:r>
      <w:r w:rsidRPr="004C5C59">
        <w:t xml:space="preserve">random draws </w:t>
      </w:r>
      <w:r w:rsidR="00394491">
        <w:t xml:space="preserve">for all calculated transition rates </w:t>
      </w:r>
      <w:r w:rsidRPr="004C5C59">
        <w:t>from the Poisson distribution with parameter equal to:</w:t>
      </w:r>
    </w:p>
    <w:p w:rsidR="00145BAA" w:rsidRPr="004C5C59" w:rsidRDefault="00145BAA" w:rsidP="00145BAA">
      <w:pPr>
        <w:autoSpaceDE w:val="0"/>
        <w:autoSpaceDN w:val="0"/>
        <w:adjustRightInd w:val="0"/>
      </w:pPr>
    </w:p>
    <w:p w:rsidR="00145BAA" w:rsidRPr="004C5C59" w:rsidRDefault="00145BAA" w:rsidP="00145BAA">
      <w:pPr>
        <w:autoSpaceDE w:val="0"/>
        <w:autoSpaceDN w:val="0"/>
        <w:adjustRightInd w:val="0"/>
        <w:jc w:val="center"/>
      </w:pPr>
      <w:r w:rsidRPr="004C5C59">
        <w:rPr>
          <w:i/>
        </w:rPr>
        <w:t xml:space="preserve">transition rate </w:t>
      </w:r>
      <w:r w:rsidRPr="004C5C59">
        <w:t>×</w:t>
      </w:r>
      <w:r w:rsidRPr="004C5C59">
        <w:rPr>
          <w:i/>
        </w:rPr>
        <w:t xml:space="preserve"> fixed time step</w:t>
      </w:r>
    </w:p>
    <w:p w:rsidR="00145BAA" w:rsidRPr="004C5C59" w:rsidRDefault="00145BAA" w:rsidP="00145BAA">
      <w:pPr>
        <w:autoSpaceDE w:val="0"/>
        <w:autoSpaceDN w:val="0"/>
        <w:adjustRightInd w:val="0"/>
      </w:pPr>
    </w:p>
    <w:p w:rsidR="00145BAA" w:rsidRPr="004C5C59" w:rsidRDefault="00FF098F" w:rsidP="00145BAA">
      <w:pPr>
        <w:autoSpaceDE w:val="0"/>
        <w:autoSpaceDN w:val="0"/>
        <w:adjustRightInd w:val="0"/>
      </w:pPr>
      <w:r>
        <w:t xml:space="preserve"> with </w:t>
      </w:r>
      <w:r w:rsidR="00145BAA" w:rsidRPr="004C5C59">
        <w:t xml:space="preserve">each random Poisson draw </w:t>
      </w:r>
      <w:r>
        <w:t xml:space="preserve">less than </w:t>
      </w:r>
      <w:r w:rsidR="00145BAA" w:rsidRPr="004C5C59">
        <w:t>the size of the stock</w:t>
      </w:r>
      <w:r>
        <w:t>.  Thus, the effective number of people that transition out of any given stock equals</w:t>
      </w:r>
      <w:r w:rsidR="00145BAA" w:rsidRPr="004C5C59">
        <w:t>:</w:t>
      </w:r>
    </w:p>
    <w:p w:rsidR="00145BAA" w:rsidRPr="004C5C59" w:rsidRDefault="00145BAA" w:rsidP="00145BAA">
      <w:pPr>
        <w:autoSpaceDE w:val="0"/>
        <w:autoSpaceDN w:val="0"/>
        <w:adjustRightInd w:val="0"/>
      </w:pPr>
    </w:p>
    <w:p w:rsidR="00145BAA" w:rsidRPr="004C5C59" w:rsidRDefault="00145BAA" w:rsidP="00145BAA">
      <w:pPr>
        <w:autoSpaceDE w:val="0"/>
        <w:autoSpaceDN w:val="0"/>
        <w:adjustRightInd w:val="0"/>
        <w:jc w:val="center"/>
      </w:pPr>
      <w:r w:rsidRPr="004C5C59">
        <w:rPr>
          <w:i/>
        </w:rPr>
        <w:t xml:space="preserve">min(randPoisson(transition rate(stock) </w:t>
      </w:r>
      <w:r w:rsidRPr="004C5C59">
        <w:t>×</w:t>
      </w:r>
      <w:r w:rsidRPr="004C5C59">
        <w:rPr>
          <w:i/>
        </w:rPr>
        <w:t xml:space="preserve"> fixed time step), number of people(stock</w:t>
      </w:r>
      <w:r w:rsidR="00342B1D">
        <w:rPr>
          <w:i/>
        </w:rPr>
        <w:t>)</w:t>
      </w:r>
      <w:r w:rsidRPr="004C5C59">
        <w:rPr>
          <w:i/>
        </w:rPr>
        <w:t>)</w:t>
      </w:r>
      <w:r w:rsidRPr="004C5C59">
        <w:t>.</w:t>
      </w:r>
    </w:p>
    <w:p w:rsidR="00145BAA" w:rsidRPr="004C5C59" w:rsidRDefault="00145BAA" w:rsidP="00145BAA">
      <w:pPr>
        <w:autoSpaceDE w:val="0"/>
        <w:autoSpaceDN w:val="0"/>
        <w:adjustRightInd w:val="0"/>
      </w:pPr>
    </w:p>
    <w:p w:rsidR="00342B1D" w:rsidRDefault="00145BAA" w:rsidP="00145BAA">
      <w:pPr>
        <w:autoSpaceDE w:val="0"/>
        <w:autoSpaceDN w:val="0"/>
        <w:adjustRightInd w:val="0"/>
      </w:pPr>
      <w:r w:rsidRPr="004C5C59">
        <w:t xml:space="preserve">We choose a random number </w:t>
      </w:r>
      <w:r w:rsidRPr="004C5C59">
        <w:rPr>
          <w:iCs/>
        </w:rPr>
        <w:t>u</w:t>
      </w:r>
      <w:r w:rsidRPr="004C5C59">
        <w:t xml:space="preserve"> </w:t>
      </w:r>
      <w:r w:rsidRPr="004C5C59">
        <w:rPr>
          <w:iCs/>
        </w:rPr>
        <w:t xml:space="preserve">~ U </w:t>
      </w:r>
      <w:r w:rsidRPr="004C5C59">
        <w:t>[0</w:t>
      </w:r>
      <w:r w:rsidRPr="004C5C59">
        <w:rPr>
          <w:iCs/>
        </w:rPr>
        <w:t xml:space="preserve">; </w:t>
      </w:r>
      <w:r w:rsidRPr="004C5C59">
        <w:t xml:space="preserve">1] to determine whether the event corresponding to 'infection' leads to a paralytic case. </w:t>
      </w:r>
      <w:r w:rsidR="00FF098F">
        <w:t xml:space="preserve"> </w:t>
      </w:r>
      <w:r w:rsidRPr="004C5C59">
        <w:t xml:space="preserve">We assume a case occurred at time 0 and record the time since the last paralytic case on a monthly basis. We </w:t>
      </w:r>
      <w:r w:rsidRPr="007B6975">
        <w:t>assume that stochastic iteration ends when virus is eliminated (</w:t>
      </w:r>
      <w:r w:rsidR="00FF098F" w:rsidRPr="007B6975">
        <w:t xml:space="preserve">i.e., the </w:t>
      </w:r>
      <w:r w:rsidRPr="007B6975">
        <w:t>number of excreting individuals equals 0) or when</w:t>
      </w:r>
      <w:r w:rsidR="00FF098F" w:rsidRPr="007B6975">
        <w:t xml:space="preserve"> the simulation </w:t>
      </w:r>
      <w:r w:rsidRPr="007B6975">
        <w:t>year 2020.</w:t>
      </w:r>
      <w:r w:rsidR="00FF098F" w:rsidRPr="007B6975">
        <w:t xml:space="preserve">  We use a fixed time step of 0.5 days</w:t>
      </w:r>
      <w:r w:rsidR="00342B1D">
        <w:t>.</w:t>
      </w:r>
    </w:p>
    <w:p w:rsidR="00342B1D" w:rsidRDefault="00342B1D" w:rsidP="00145BAA">
      <w:pPr>
        <w:autoSpaceDE w:val="0"/>
        <w:autoSpaceDN w:val="0"/>
        <w:adjustRightInd w:val="0"/>
      </w:pPr>
    </w:p>
    <w:p w:rsidR="00145BAA" w:rsidRPr="004C5C59" w:rsidRDefault="00342B1D" w:rsidP="00145BAA">
      <w:pPr>
        <w:autoSpaceDE w:val="0"/>
        <w:autoSpaceDN w:val="0"/>
        <w:adjustRightInd w:val="0"/>
      </w:pPr>
      <w:r>
        <w:t>W</w:t>
      </w:r>
      <w:r w:rsidR="00145BAA" w:rsidRPr="007B6975">
        <w:t>e consider the probability of WPV circulation persisting given a DEFP of length t, by dividing the number of all DEFPs of length t months with WPV present by the total number of all DEFPs</w:t>
      </w:r>
      <w:r w:rsidR="00145BAA" w:rsidRPr="004C5C59">
        <w:t xml:space="preserve"> of length t months.  We define the time of undetected circulation (TUC) after the last detected event (for those iterations in which extinction occurs) as the time between the last detected event and the end of WPV circulation.  To approximate the probability of undetected infections as a function of time, the simulation may record multiple DEFP values between cases, because it evaluates the DEFP at each month by looking back from the current month to determine the number of months since the last case.  Thus, in a given stochastic iteration if a DEFP value of 6 months gets recorded (i.e., at least 6 months occurred between 2 cases or after the last case), then this must follow recorded DEFP values of 5, 4, 3, 2, and 1.  We can observe a TUC for each iteration of the simulation that ends with extinction.  After creating the empirical cumulative distribution function (ECDF) of all of the TUC values (i.e., for all of the iterations in which extinction occurs), we can estimate the time after which the probability of occurrence of a longer </w:t>
      </w:r>
      <w:r w:rsidR="00145BAA" w:rsidRPr="007B6975">
        <w:t xml:space="preserve">TUC </w:t>
      </w:r>
      <w:r w:rsidR="00FF098F" w:rsidRPr="007B6975">
        <w:t>exceeds</w:t>
      </w:r>
      <w:r w:rsidR="00145BAA" w:rsidRPr="007B6975">
        <w:t xml:space="preserve"> x% (TUCx%).  Thus, the TUC</w:t>
      </w:r>
      <w:r w:rsidR="00FF098F" w:rsidRPr="007B6975">
        <w:t>9</w:t>
      </w:r>
      <w:r w:rsidR="00145BAA" w:rsidRPr="007B6975">
        <w:t xml:space="preserve">5% represents the time t that satisfies ECDF(t) = P[TUC &gt; t] </w:t>
      </w:r>
      <w:r w:rsidR="00FF098F" w:rsidRPr="007B6975">
        <w:t>&gt;</w:t>
      </w:r>
      <w:r w:rsidR="00145BAA" w:rsidRPr="007B6975">
        <w:t>0.</w:t>
      </w:r>
      <w:r w:rsidR="00FF098F" w:rsidRPr="007B6975">
        <w:t>9</w:t>
      </w:r>
      <w:r w:rsidR="00145BAA" w:rsidRPr="007B6975">
        <w:t>5.</w:t>
      </w:r>
      <w:r w:rsidR="00145BAA" w:rsidRPr="004C5C59">
        <w:t xml:space="preserve"> </w:t>
      </w:r>
    </w:p>
    <w:p w:rsidR="00145BAA" w:rsidRPr="004C5C59" w:rsidRDefault="00145BAA" w:rsidP="00145BAA">
      <w:pPr>
        <w:autoSpaceDE w:val="0"/>
        <w:autoSpaceDN w:val="0"/>
        <w:adjustRightInd w:val="0"/>
      </w:pPr>
    </w:p>
    <w:p w:rsidR="006C5156" w:rsidRDefault="00145BAA" w:rsidP="006C5156">
      <w:pPr>
        <w:autoSpaceDE w:val="0"/>
        <w:autoSpaceDN w:val="0"/>
        <w:adjustRightInd w:val="0"/>
      </w:pPr>
      <w:r w:rsidRPr="004C5C59">
        <w:t xml:space="preserve">By considering the fraction of DEFPs that occur in the context of WPV </w:t>
      </w:r>
      <w:r w:rsidR="00FF098F">
        <w:t xml:space="preserve">or cVDPV2 </w:t>
      </w:r>
      <w:r w:rsidRPr="004C5C59">
        <w:t xml:space="preserve">circulation, the </w:t>
      </w:r>
      <w:r w:rsidR="00FF098F">
        <w:t>CNC</w:t>
      </w:r>
      <w:r w:rsidR="00FF098F" w:rsidRPr="004C5C59">
        <w:t>x</w:t>
      </w:r>
      <w:r w:rsidRPr="004C5C59">
        <w:t xml:space="preserve">% metric </w:t>
      </w:r>
      <w:r w:rsidR="00FF098F">
        <w:t>provides</w:t>
      </w:r>
      <w:r w:rsidR="00FF098F" w:rsidRPr="004C5C59">
        <w:t xml:space="preserve"> </w:t>
      </w:r>
      <w:r w:rsidRPr="004C5C59">
        <w:t xml:space="preserve">the </w:t>
      </w:r>
      <w:r w:rsidR="00FF098F">
        <w:t xml:space="preserve">confidence about no WPV or cVDPV2 </w:t>
      </w:r>
      <w:r w:rsidRPr="004C5C59">
        <w:t xml:space="preserve">circulation as a function of time without observed </w:t>
      </w:r>
      <w:r w:rsidR="00FF098F">
        <w:t>events</w:t>
      </w:r>
      <w:r w:rsidRPr="004C5C59">
        <w:t xml:space="preserve">.  In contrast, the TUCx% metric tells us how long we might expect silent WPV </w:t>
      </w:r>
      <w:r w:rsidR="00FF098F">
        <w:t xml:space="preserve">or cVDPV2 </w:t>
      </w:r>
      <w:r w:rsidRPr="004C5C59">
        <w:t>circulation to continue after the last detected paralytic case if extinction occurs.</w:t>
      </w:r>
      <w:r w:rsidR="006C5156">
        <w:t xml:space="preserve">  </w:t>
      </w:r>
      <w:r w:rsidR="006C5156" w:rsidRPr="006C5156">
        <w:rPr>
          <w:lang w:eastAsia="ko-KR"/>
        </w:rPr>
        <w:t xml:space="preserve">We </w:t>
      </w:r>
      <w:r w:rsidR="006C5156">
        <w:rPr>
          <w:lang w:eastAsia="ko-KR"/>
        </w:rPr>
        <w:t xml:space="preserve">use the model to </w:t>
      </w:r>
      <w:r w:rsidR="006C5156" w:rsidRPr="006C5156">
        <w:rPr>
          <w:lang w:eastAsia="ko-KR"/>
        </w:rPr>
        <w:t>calculate Rn based on the average of 1,000 stochastic iterations minus any iterations that stopped due to prior die-out of transmission, which we compare to the dashed threshold line of Rn*=1.</w:t>
      </w:r>
      <w:r w:rsidR="007E0F43">
        <w:rPr>
          <w:lang w:eastAsia="ko-KR"/>
        </w:rPr>
        <w:t xml:space="preserve">  </w:t>
      </w:r>
    </w:p>
    <w:p w:rsidR="006C5156" w:rsidRDefault="006C5156" w:rsidP="00145BAA">
      <w:pPr>
        <w:rPr>
          <w:lang w:eastAsia="ko-KR"/>
        </w:rPr>
      </w:pPr>
      <w:bookmarkStart w:id="0" w:name="_GoBack"/>
      <w:bookmarkEnd w:id="0"/>
    </w:p>
    <w:p w:rsidR="00F71522" w:rsidRDefault="00F71522" w:rsidP="00F71522">
      <w:pPr>
        <w:autoSpaceDE w:val="0"/>
        <w:autoSpaceDN w:val="0"/>
        <w:adjustRightInd w:val="0"/>
        <w:rPr>
          <w:b/>
        </w:rPr>
      </w:pPr>
      <w:r>
        <w:rPr>
          <w:b/>
        </w:rPr>
        <w:t>A3</w:t>
      </w:r>
      <w:r w:rsidRPr="004C5C59">
        <w:rPr>
          <w:b/>
        </w:rPr>
        <w:t xml:space="preserve">: </w:t>
      </w:r>
      <w:r>
        <w:rPr>
          <w:b/>
        </w:rPr>
        <w:t>Basis for assumptions about inputs for surveillance quality used to characterize the detection function (DF)</w:t>
      </w:r>
    </w:p>
    <w:p w:rsidR="00F71522" w:rsidRDefault="00F71522" w:rsidP="00F71522">
      <w:pPr>
        <w:autoSpaceDE w:val="0"/>
        <w:autoSpaceDN w:val="0"/>
        <w:adjustRightInd w:val="0"/>
        <w:rPr>
          <w:b/>
        </w:rPr>
      </w:pPr>
    </w:p>
    <w:p w:rsidR="00D73579" w:rsidRDefault="00D73579" w:rsidP="00D73579">
      <w:pPr>
        <w:pStyle w:val="Standard"/>
        <w:rPr>
          <w:color w:val="000000"/>
        </w:rPr>
      </w:pPr>
      <w:r>
        <w:t>As discussed in the main text, t</w:t>
      </w:r>
      <w:r w:rsidRPr="004C5C59">
        <w:t>he DF for AFP surveillance depends on the number of</w:t>
      </w:r>
      <w:r>
        <w:t xml:space="preserve"> recently detected</w:t>
      </w:r>
      <w:r w:rsidRPr="004C5C59">
        <w:t xml:space="preserve"> paralytic cases.  We define p</w:t>
      </w:r>
      <w:r w:rsidRPr="004C5C59">
        <w:rPr>
          <w:vertAlign w:val="subscript"/>
        </w:rPr>
        <w:t>i</w:t>
      </w:r>
      <w:r w:rsidRPr="004C5C59">
        <w:t>, as the probability of detecting</w:t>
      </w:r>
      <w:r>
        <w:t xml:space="preserve"> the </w:t>
      </w:r>
      <w:r w:rsidRPr="004C5C59">
        <w:t>i</w:t>
      </w:r>
      <w:r w:rsidRPr="004C5C59">
        <w:rPr>
          <w:vertAlign w:val="superscript"/>
        </w:rPr>
        <w:t>th</w:t>
      </w:r>
      <w:r w:rsidRPr="004C5C59">
        <w:t xml:space="preserve"> case</w:t>
      </w:r>
      <w:r>
        <w:t xml:space="preserve"> in a cluster of cases.  </w:t>
      </w:r>
      <w:r w:rsidRPr="004C5C59">
        <w:t xml:space="preserve">We define a cluster as a series of sequential cases </w:t>
      </w:r>
      <w:r>
        <w:t xml:space="preserve">in a given geographical subpopulation, with each case occurring within a year of the previous case.  We assume a </w:t>
      </w:r>
      <w:r w:rsidRPr="004C5C59">
        <w:t>“Ne</w:t>
      </w:r>
      <w:r>
        <w:t>w</w:t>
      </w:r>
      <w:r w:rsidRPr="004C5C59">
        <w:t xml:space="preserve"> Cluster” (NC) </w:t>
      </w:r>
      <w:r>
        <w:t>begins for any case that occurs 365 days after</w:t>
      </w:r>
      <w:r w:rsidRPr="004C5C59">
        <w:t xml:space="preserve"> </w:t>
      </w:r>
      <w:r>
        <w:t>the last</w:t>
      </w:r>
      <w:r w:rsidRPr="004C5C59">
        <w:t xml:space="preserve"> case</w:t>
      </w:r>
      <w:r>
        <w:t xml:space="preserve"> that occurred</w:t>
      </w:r>
      <w:r w:rsidRPr="004C5C59">
        <w:t xml:space="preserve"> </w:t>
      </w:r>
      <w:r>
        <w:t>within the geographical subpopulation</w:t>
      </w:r>
      <w:r w:rsidRPr="004C5C59">
        <w:t xml:space="preserve">.  We define the “Case </w:t>
      </w:r>
      <w:r>
        <w:t>Detected Total</w:t>
      </w:r>
      <w:r w:rsidRPr="004C5C59">
        <w:t>” (</w:t>
      </w:r>
      <w:r>
        <w:t>CDTj</w:t>
      </w:r>
      <w:r w:rsidRPr="004C5C59">
        <w:t xml:space="preserve">) </w:t>
      </w:r>
      <w:r>
        <w:t xml:space="preserve">as </w:t>
      </w:r>
      <w:r w:rsidRPr="004C5C59">
        <w:t>a counter of the cases in cluster j</w:t>
      </w:r>
      <w:r>
        <w:t xml:space="preserve"> and upon detection of the first case we define the case total in cluster 1 as 0 (i.e., CDT</w:t>
      </w:r>
      <w:r w:rsidRPr="00124848">
        <w:rPr>
          <w:vertAlign w:val="subscript"/>
        </w:rPr>
        <w:t>1</w:t>
      </w:r>
      <w:r>
        <w:t>=0</w:t>
      </w:r>
      <w:r w:rsidRPr="004C5C59">
        <w:t xml:space="preserve">).  </w:t>
      </w:r>
      <w:r>
        <w:t>A</w:t>
      </w:r>
      <w:r w:rsidRPr="004C5C59">
        <w:t xml:space="preserve">s each </w:t>
      </w:r>
      <w:r>
        <w:t xml:space="preserve">subsequent </w:t>
      </w:r>
      <w:r w:rsidRPr="004C5C59">
        <w:t xml:space="preserve">case occurs, we first check </w:t>
      </w:r>
      <w:r>
        <w:t xml:space="preserve">to see </w:t>
      </w:r>
      <w:r w:rsidRPr="004C5C59">
        <w:t>if it represents the fir</w:t>
      </w:r>
      <w:r>
        <w:t>st case of a new cluster (NC) for which we use p</w:t>
      </w:r>
      <w:r w:rsidRPr="00124848">
        <w:rPr>
          <w:vertAlign w:val="subscript"/>
        </w:rPr>
        <w:t>1</w:t>
      </w:r>
      <w:r>
        <w:t xml:space="preserve"> from the bottom of Table 1 to determine the</w:t>
      </w:r>
      <w:r w:rsidRPr="004C5C59">
        <w:t xml:space="preserve"> probability of the surveillance system detecting </w:t>
      </w:r>
      <w:r>
        <w:t xml:space="preserve">the case, or if the case </w:t>
      </w:r>
      <w:r w:rsidRPr="004C5C59">
        <w:t xml:space="preserve">belongs to </w:t>
      </w:r>
      <w:r>
        <w:t xml:space="preserve">the </w:t>
      </w:r>
      <w:r w:rsidRPr="004C5C59">
        <w:t>current cluste</w:t>
      </w:r>
      <w:r>
        <w:t>r, in which case we identify it as the</w:t>
      </w:r>
      <w:r w:rsidRPr="004C5C59">
        <w:t xml:space="preserve"> i</w:t>
      </w:r>
      <w:r w:rsidRPr="004C5C59">
        <w:rPr>
          <w:vertAlign w:val="superscript"/>
        </w:rPr>
        <w:t>th</w:t>
      </w:r>
      <w:r w:rsidRPr="004C5C59">
        <w:t xml:space="preserve"> </w:t>
      </w:r>
      <w:r>
        <w:t xml:space="preserve">(i.e., the </w:t>
      </w:r>
      <w:r w:rsidRPr="004C5C59">
        <w:t>2</w:t>
      </w:r>
      <w:r w:rsidRPr="004C5C59">
        <w:rPr>
          <w:vertAlign w:val="superscript"/>
        </w:rPr>
        <w:t>nd</w:t>
      </w:r>
      <w:r w:rsidRPr="004C5C59">
        <w:t>, 3</w:t>
      </w:r>
      <w:r w:rsidRPr="004C5C59">
        <w:rPr>
          <w:vertAlign w:val="superscript"/>
        </w:rPr>
        <w:t>rd</w:t>
      </w:r>
      <w:r w:rsidRPr="004C5C59">
        <w:t>, or a later</w:t>
      </w:r>
      <w:r>
        <w:t xml:space="preserve">) </w:t>
      </w:r>
      <w:r w:rsidRPr="004C5C59">
        <w:t>case in the current cluster</w:t>
      </w:r>
      <w:r>
        <w:t xml:space="preserve"> and use the appropriate value for </w:t>
      </w:r>
      <w:r w:rsidRPr="004C5C59">
        <w:rPr>
          <w:color w:val="000000"/>
        </w:rPr>
        <w:t>p</w:t>
      </w:r>
      <w:r>
        <w:rPr>
          <w:color w:val="000000"/>
          <w:vertAlign w:val="subscript"/>
        </w:rPr>
        <w:t>i</w:t>
      </w:r>
      <w:r>
        <w:rPr>
          <w:color w:val="000000"/>
        </w:rPr>
        <w:t>.  Following detection of each case, we increment the appropriate CDT for the cluster by 1.  In contrast, t</w:t>
      </w:r>
      <w:r w:rsidRPr="004C5C59">
        <w:t xml:space="preserve">he DF for environmental surveillance </w:t>
      </w:r>
      <w:r>
        <w:t>depends on</w:t>
      </w:r>
      <w:r w:rsidRPr="004C5C59">
        <w:t xml:space="preserve"> the number of individuals excreting poliovirus </w:t>
      </w:r>
      <w:r>
        <w:t>in</w:t>
      </w:r>
      <w:r w:rsidRPr="004C5C59">
        <w:t xml:space="preserve">to the sewage system in </w:t>
      </w:r>
      <w:r>
        <w:t xml:space="preserve">a </w:t>
      </w:r>
      <w:r w:rsidRPr="004C5C59">
        <w:t xml:space="preserve">geographical subpopulation. </w:t>
      </w:r>
      <w:r>
        <w:t xml:space="preserve"> </w:t>
      </w:r>
      <w:r w:rsidRPr="004C5C59">
        <w:t xml:space="preserve">We </w:t>
      </w:r>
      <w:r w:rsidRPr="00551E29">
        <w:t xml:space="preserve">define </w:t>
      </w:r>
      <w:r w:rsidRPr="008303BC">
        <w:t xml:space="preserve">the minimal number of effective infectiousness-weighted individuals </w:t>
      </w:r>
      <w:r>
        <w:t xml:space="preserve">who are </w:t>
      </w:r>
      <w:r w:rsidRPr="008303BC">
        <w:t>infectious (EI</w:t>
      </w:r>
      <w:r w:rsidRPr="008F6EFF">
        <w:t>)</w:t>
      </w:r>
      <w:r w:rsidRPr="008303BC">
        <w:t xml:space="preserve"> </w:t>
      </w:r>
      <w:r w:rsidRPr="00200216">
        <w:t>and compare this to the threshold (</w:t>
      </w:r>
      <w:r w:rsidRPr="001F5BCC">
        <w:t>E</w:t>
      </w:r>
      <w:r w:rsidRPr="008303BC">
        <w:t>I*</w:t>
      </w:r>
      <w:r w:rsidRPr="008F6EFF">
        <w:t>) required for the system to detect the virus in the sewage</w:t>
      </w:r>
      <w:r w:rsidRPr="008303BC">
        <w:t>.  Moreover, we define s</w:t>
      </w:r>
      <w:r>
        <w:rPr>
          <w:vertAlign w:val="subscript"/>
        </w:rPr>
        <w:t>i</w:t>
      </w:r>
      <w:r w:rsidRPr="00200216">
        <w:t xml:space="preserve"> as the probability of detecting poliovirus in the</w:t>
      </w:r>
      <w:r>
        <w:t xml:space="preserve"> i</w:t>
      </w:r>
      <w:r>
        <w:rPr>
          <w:vertAlign w:val="superscript"/>
        </w:rPr>
        <w:t>th</w:t>
      </w:r>
      <w:r w:rsidRPr="00200216">
        <w:t xml:space="preserve"> sewage sample given that EI&gt;EI*.  Each time when sample collection should occur</w:t>
      </w:r>
      <w:r>
        <w:t xml:space="preserve"> (i.e., every month)</w:t>
      </w:r>
      <w:r w:rsidRPr="004C5C59">
        <w:t xml:space="preserve"> we check </w:t>
      </w:r>
      <w:r>
        <w:t>whether the</w:t>
      </w:r>
      <w:r w:rsidRPr="004C5C59">
        <w:t xml:space="preserve"> weighted number of excreting individuals </w:t>
      </w:r>
      <w:r>
        <w:t>exceeds</w:t>
      </w:r>
      <w:r w:rsidRPr="004C5C59">
        <w:t xml:space="preserve"> </w:t>
      </w:r>
      <w:r>
        <w:t>the EI*.</w:t>
      </w:r>
      <w:r w:rsidRPr="004C5C59">
        <w:t xml:space="preserve"> </w:t>
      </w:r>
      <w:r>
        <w:t xml:space="preserve"> </w:t>
      </w:r>
    </w:p>
    <w:p w:rsidR="00D73579" w:rsidRPr="00700CB0" w:rsidRDefault="00D73579" w:rsidP="00F71522">
      <w:pPr>
        <w:autoSpaceDE w:val="0"/>
        <w:autoSpaceDN w:val="0"/>
        <w:adjustRightInd w:val="0"/>
        <w:rPr>
          <w:b/>
        </w:rPr>
      </w:pPr>
    </w:p>
    <w:p w:rsidR="00F6417D" w:rsidRDefault="00F6417D" w:rsidP="00F6417D">
      <w:pPr>
        <w:pStyle w:val="Standard"/>
        <w:rPr>
          <w:color w:val="000000"/>
        </w:rPr>
      </w:pPr>
      <w:r>
        <w:rPr>
          <w:color w:val="000000"/>
        </w:rPr>
        <w:t xml:space="preserve">We based our estimates for p values on review of the available AFP data focusing on confirmed and compatible cases and judgment of one of the expert authors (MAP).  In northern India, while polio remained endemic, the detection of AFP cases occurred with oversampling, as indicated by a very high detection rate for AFP cases overall (i.e., 12.48/100,000 in India for 2013-14 compared to the GPEI standard of </w:t>
      </w:r>
      <w:r>
        <w:rPr>
          <w:bCs/>
        </w:rPr>
        <w:t>2</w:t>
      </w:r>
      <w:r w:rsidRPr="004C5C59">
        <w:rPr>
          <w:bCs/>
        </w:rPr>
        <w:t>/100,000</w:t>
      </w:r>
      <w:r w:rsidR="002942B0">
        <w:rPr>
          <w:bCs/>
        </w:rPr>
        <w:fldChar w:fldCharType="begin"/>
      </w:r>
      <w:r>
        <w:rPr>
          <w:bCs/>
        </w:rPr>
        <w:instrText xml:space="preserve"> ADDIN EN.CITE &lt;EndNote&gt;&lt;Cite&gt;&lt;Author&gt;World Health Organization&lt;/Author&gt;&lt;Year&gt;2008&lt;/Year&gt;&lt;RecNum&gt;1993&lt;/RecNum&gt;&lt;DisplayText&gt;[5]&lt;/DisplayText&gt;&lt;record&gt;&lt;rec-number&gt;1993&lt;/rec-number&gt;&lt;foreign-keys&gt;&lt;key app="EN" db-id="d5dd99zzmesw9deza0r52a0xepxwpfav5vs9" timestamp="1413867135"&gt;1993&lt;/key&gt;&lt;/foreign-keys&gt;&lt;ref-type name="Journal Article"&gt;17&lt;/ref-type&gt;&lt;contributors&gt;&lt;authors&gt;&lt;author&gt;World Health Organization,&lt;/author&gt;&lt;/authors&gt;&lt;/contributors&gt;&lt;titles&gt;&lt;title&gt;Conclusions and recommendations of the Advisory Committee on Poliomyelitis Eradication, Geneva, 27–28 November 2007&lt;/title&gt;&lt;secondary-title&gt;Wkly Epidemiol Rec&lt;/secondary-title&gt;&lt;/titles&gt;&lt;periodical&gt;&lt;full-title&gt;Wkly Epidemiol Rec&lt;/full-title&gt;&lt;/periodical&gt;&lt;pages&gt;25-36&lt;/pages&gt;&lt;volume&gt;3&lt;/volume&gt;&lt;number&gt;83&lt;/number&gt;&lt;dates&gt;&lt;year&gt;2008&lt;/year&gt;&lt;/dates&gt;&lt;urls&gt;&lt;/urls&gt;&lt;/record&gt;&lt;/Cite&gt;&lt;/EndNote&gt;</w:instrText>
      </w:r>
      <w:r w:rsidR="002942B0">
        <w:rPr>
          <w:bCs/>
        </w:rPr>
        <w:fldChar w:fldCharType="separate"/>
      </w:r>
      <w:r>
        <w:rPr>
          <w:bCs/>
          <w:noProof/>
        </w:rPr>
        <w:t>[5]</w:t>
      </w:r>
      <w:r w:rsidR="002942B0">
        <w:rPr>
          <w:bCs/>
        </w:rPr>
        <w:fldChar w:fldCharType="end"/>
      </w:r>
      <w:r>
        <w:rPr>
          <w:color w:val="000000"/>
        </w:rPr>
        <w:t xml:space="preserve">).  We account for the higher probability of relatively lower quality AFP surveillance in underserved areas by using relatively lower probabilities of detection in the subpopulations with lower immunization rates.  </w:t>
      </w:r>
    </w:p>
    <w:p w:rsidR="00F6417D" w:rsidRDefault="00F6417D" w:rsidP="00F6417D">
      <w:pPr>
        <w:pStyle w:val="Standard"/>
        <w:rPr>
          <w:color w:val="000000"/>
        </w:rPr>
      </w:pPr>
    </w:p>
    <w:p w:rsidR="00F6417D" w:rsidRDefault="00F6417D" w:rsidP="00F6417D">
      <w:pPr>
        <w:pStyle w:val="Standard"/>
        <w:rPr>
          <w:color w:val="000000"/>
        </w:rPr>
      </w:pPr>
      <w:r>
        <w:rPr>
          <w:color w:val="000000"/>
        </w:rPr>
        <w:t xml:space="preserve">Given the conditions in northern India, we use constant high </w:t>
      </w:r>
      <w:r w:rsidRPr="004C5C59">
        <w:rPr>
          <w:color w:val="000000"/>
        </w:rPr>
        <w:t>p</w:t>
      </w:r>
      <w:r w:rsidRPr="004C5C59">
        <w:rPr>
          <w:color w:val="000000"/>
          <w:vertAlign w:val="subscript"/>
        </w:rPr>
        <w:t>i</w:t>
      </w:r>
      <w:r>
        <w:rPr>
          <w:color w:val="000000"/>
        </w:rPr>
        <w:t xml:space="preserve"> values of 95% for detection of each case in the general population, and we use 80% for the under</w:t>
      </w:r>
      <w:r w:rsidR="00FF098F">
        <w:rPr>
          <w:color w:val="000000"/>
        </w:rPr>
        <w:t>-vaccinated</w:t>
      </w:r>
      <w:r>
        <w:rPr>
          <w:color w:val="000000"/>
        </w:rPr>
        <w:t xml:space="preserve"> subpopulation.  In contrast, even with endemic polio in northwest Nigeria, AFP surveillance has been less sensitive, with independent review teams finding cases of lameness most likely caused by polio that the system did not detect.</w:t>
      </w:r>
      <w:r w:rsidR="002942B0">
        <w:rPr>
          <w:color w:val="000000"/>
        </w:rPr>
        <w:fldChar w:fldCharType="begin"/>
      </w:r>
      <w:r>
        <w:rPr>
          <w:color w:val="000000"/>
        </w:rPr>
        <w:instrText xml:space="preserve"> ADDIN EN.CITE &lt;EndNote&gt;&lt;Cite&gt;&lt;Author&gt;Gidado&lt;/Author&gt;&lt;Year&gt;2013&lt;/Year&gt;&lt;RecNum&gt;1994&lt;/RecNum&gt;&lt;DisplayText&gt;[6]&lt;/DisplayText&gt;&lt;record&gt;&lt;rec-number&gt;1994&lt;/rec-number&gt;&lt;foreign-keys&gt;&lt;key app="EN" db-id="d5dd99zzmesw9deza0r52a0xepxwpfav5vs9" timestamp="1413867485"&gt;1994&lt;/key&gt;&lt;/foreign-keys&gt;&lt;ref-type name="Journal Article"&gt;17&lt;/ref-type&gt;&lt;contributors&gt;&lt;authors&gt;&lt;author&gt;Gidado, S. O.&lt;/author&gt;&lt;author&gt;Nguku, P. M. &lt;/author&gt;&lt;author&gt;Ohuabunwo, C. J.&lt;/author&gt;&lt;author&gt;Waziri, N. E.&lt;/author&gt;&lt;author&gt;Etsano, A.&lt;/author&gt;&lt;author&gt;Mahmud, M. Z. &lt;/author&gt;&lt;author&gt;Shuaib, F. M.&lt;/author&gt;&lt;author&gt;Korir, C. K. &lt;/author&gt;&lt;author&gt;Mkanda, P.&lt;/author&gt;&lt;author&gt;Bloland, P. B. &lt;/author&gt;&lt;author&gt;Esapa, L. E.&lt;/author&gt;&lt;author&gt;Kaplan, B. C.&lt;/author&gt;&lt;author&gt;Mahoney, F. J.&lt;/author&gt;&lt;author&gt;Mast, E. E.&lt;/author&gt;&lt;author&gt;Mba-Jonas, A. D. C. N.&lt;/author&gt;&lt;author&gt;Ogbuanu, I. U.,&lt;/author&gt;&lt;author&gt;Ruiz, A. G.&lt;/author&gt;&lt;author&gt;Wassilak, S. G.&lt;/author&gt;&lt;author&gt;Wiesen, E. S.&lt;/author&gt;&lt;/authors&gt;&lt;/contributors&gt;&lt;titles&gt;&lt;title&gt;Polio Field Census and Vaccination of Underserved Populations — Northern Nigeria, 2012–2013&lt;/title&gt;&lt;secondary-title&gt;Morb Mort Wkly Rep.&lt;/secondary-title&gt;&lt;/titles&gt;&lt;periodical&gt;&lt;full-title&gt;Morb Mort Wkly Rep.&lt;/full-title&gt;&lt;/periodical&gt;&lt;pages&gt;663-5&lt;/pages&gt;&lt;volume&gt;62&lt;/volume&gt;&lt;number&gt;33&lt;/number&gt;&lt;dates&gt;&lt;year&gt;2013&lt;/year&gt;&lt;/dates&gt;&lt;urls&gt;&lt;/urls&gt;&lt;/record&gt;&lt;/Cite&gt;&lt;/EndNote&gt;</w:instrText>
      </w:r>
      <w:r w:rsidR="002942B0">
        <w:rPr>
          <w:color w:val="000000"/>
        </w:rPr>
        <w:fldChar w:fldCharType="separate"/>
      </w:r>
      <w:r>
        <w:rPr>
          <w:noProof/>
          <w:color w:val="000000"/>
        </w:rPr>
        <w:t>[6]</w:t>
      </w:r>
      <w:r w:rsidR="002942B0">
        <w:rPr>
          <w:color w:val="000000"/>
        </w:rPr>
        <w:fldChar w:fldCharType="end"/>
      </w:r>
      <w:r>
        <w:rPr>
          <w:color w:val="000000"/>
        </w:rPr>
        <w:t xml:space="preserve">  In northern Nigeria, we assume that the surveillance system for the general population misses relatively more cases than in India, but it improves following the </w:t>
      </w:r>
      <w:r>
        <w:rPr>
          <w:color w:val="000000"/>
        </w:rPr>
        <w:lastRenderedPageBreak/>
        <w:t xml:space="preserve">detection of a cluster of cases such that the p values start low and increase within a cluster with </w:t>
      </w:r>
      <w:r w:rsidRPr="008935F4">
        <w:rPr>
          <w:color w:val="000000"/>
        </w:rPr>
        <w:t>p=(</w:t>
      </w:r>
      <w:r w:rsidRPr="008935F4">
        <w:t>0.80, 0.85, 0.90, …, 0.90</w:t>
      </w:r>
      <w:r w:rsidRPr="008935F4">
        <w:rPr>
          <w:color w:val="000000"/>
        </w:rPr>
        <w:t>).  For the under</w:t>
      </w:r>
      <w:r w:rsidR="00FF098F">
        <w:rPr>
          <w:color w:val="000000"/>
        </w:rPr>
        <w:t>-vaccinated</w:t>
      </w:r>
      <w:r w:rsidRPr="008935F4">
        <w:rPr>
          <w:color w:val="000000"/>
        </w:rPr>
        <w:t xml:space="preserve"> subpopulation in Nigeria, we assume </w:t>
      </w:r>
      <w:r>
        <w:rPr>
          <w:color w:val="000000"/>
        </w:rPr>
        <w:t>one-third</w:t>
      </w:r>
      <w:r w:rsidRPr="008935F4">
        <w:rPr>
          <w:color w:val="000000"/>
        </w:rPr>
        <w:t xml:space="preserve"> </w:t>
      </w:r>
      <w:r w:rsidRPr="003F5119">
        <w:rPr>
          <w:rFonts w:cs="Times New Roman"/>
          <w:color w:val="000000"/>
        </w:rPr>
        <w:t xml:space="preserve">lower p values (i.e., </w:t>
      </w:r>
      <w:r>
        <w:rPr>
          <w:rFonts w:cs="Times New Roman"/>
        </w:rPr>
        <w:t>0.54, 0.57, 0.60, …, 0.60</w:t>
      </w:r>
      <w:r w:rsidRPr="003F5119">
        <w:rPr>
          <w:rFonts w:cs="Times New Roman"/>
          <w:color w:val="000000"/>
        </w:rPr>
        <w:t>).  Tajikistan</w:t>
      </w:r>
      <w:r>
        <w:rPr>
          <w:color w:val="000000"/>
        </w:rPr>
        <w:t xml:space="preserve"> represents an outbreak in a polio-free area, and for this outbreak we compared the number of compatible and confirmed polio cases as the outbreak occurred.  We estimated the probabilities of detecting a case based on the number of compatible cases that preceded it.  For example, if five compatible cases occurred before the first confirmed case, then we assume p</w:t>
      </w:r>
      <w:r w:rsidRPr="00F17EB9">
        <w:rPr>
          <w:color w:val="000000"/>
          <w:vertAlign w:val="subscript"/>
        </w:rPr>
        <w:t>1</w:t>
      </w:r>
      <w:r>
        <w:rPr>
          <w:color w:val="000000"/>
        </w:rPr>
        <w:t>=1/6.  Next, if three compatible cases occur between the first and second confirmed case, then p</w:t>
      </w:r>
      <w:r>
        <w:rPr>
          <w:color w:val="000000"/>
          <w:vertAlign w:val="subscript"/>
        </w:rPr>
        <w:t>2</w:t>
      </w:r>
      <w:r>
        <w:rPr>
          <w:color w:val="000000"/>
        </w:rPr>
        <w:t>=1/4.  We continue this procedure until the first occurrence of at least two confirmed cases one after another, and we estimate the probability of detecting the later cases using the ratio of confirmed cases to the sum of confirmed and compatible cases listed from that point forward.</w:t>
      </w:r>
    </w:p>
    <w:p w:rsidR="00F6417D" w:rsidRPr="004C5C59" w:rsidRDefault="00F6417D" w:rsidP="00F6417D">
      <w:pPr>
        <w:autoSpaceDE w:val="0"/>
        <w:autoSpaceDN w:val="0"/>
        <w:adjustRightInd w:val="0"/>
      </w:pPr>
    </w:p>
    <w:p w:rsidR="00F6417D" w:rsidRDefault="00F71522" w:rsidP="00F6417D">
      <w:pPr>
        <w:autoSpaceDE w:val="0"/>
        <w:autoSpaceDN w:val="0"/>
        <w:adjustRightInd w:val="0"/>
      </w:pPr>
      <w:r>
        <w:t>For en</w:t>
      </w:r>
      <w:r w:rsidR="00F6417D" w:rsidRPr="004C5C59">
        <w:t>vironmental surveillance</w:t>
      </w:r>
      <w:r>
        <w:t>, we assume that a</w:t>
      </w:r>
      <w:r w:rsidR="00F6417D">
        <w:t>fter an initially relatively low probability of detection of a positive sample by environmental surveillance (i.e., s</w:t>
      </w:r>
      <w:r w:rsidR="00F6417D">
        <w:rPr>
          <w:vertAlign w:val="subscript"/>
        </w:rPr>
        <w:t>1</w:t>
      </w:r>
      <w:r w:rsidR="00F6417D">
        <w:t>=0.30), we assume that the system would increase the probability of detecting virus in all subsequent positive samples</w:t>
      </w:r>
      <w:r w:rsidR="00F6417D" w:rsidRPr="004C5C59">
        <w:t xml:space="preserve"> </w:t>
      </w:r>
      <w:r w:rsidR="00F6417D">
        <w:t xml:space="preserve">(i.e., </w:t>
      </w:r>
      <w:r w:rsidR="00F6417D" w:rsidRPr="004C5C59">
        <w:t>s</w:t>
      </w:r>
      <w:r w:rsidR="00F6417D" w:rsidRPr="004C5C59">
        <w:rPr>
          <w:vertAlign w:val="subscript"/>
        </w:rPr>
        <w:t>2</w:t>
      </w:r>
      <w:r w:rsidR="00F6417D" w:rsidRPr="004C5C59">
        <w:t>=</w:t>
      </w:r>
      <w:r w:rsidR="00F6417D">
        <w:t>0.90</w:t>
      </w:r>
      <w:r w:rsidR="00F6417D" w:rsidRPr="004C5C59">
        <w:t>)</w:t>
      </w:r>
      <w:r w:rsidR="00F6417D">
        <w:t xml:space="preserve"> as long as circulation continues</w:t>
      </w:r>
      <w:r w:rsidR="00F6417D" w:rsidRPr="004C5C59">
        <w:t>.</w:t>
      </w:r>
      <w:r w:rsidR="00F6417D">
        <w:t xml:space="preserve">  </w:t>
      </w:r>
      <w:r w:rsidR="00F6417D">
        <w:rPr>
          <w:color w:val="000000"/>
        </w:rPr>
        <w:t xml:space="preserve">Israel represents the only scenario we modeled that currently uses extensive </w:t>
      </w:r>
      <w:r w:rsidR="00F6417D" w:rsidRPr="004C5C59">
        <w:t>environmental surveillance</w:t>
      </w:r>
      <w:r w:rsidR="00F6417D">
        <w:t>.  We characterize EI* by modeled geographical region using population size, number of sampling sites per month from January 2013 to March 2014</w:t>
      </w:r>
      <w:r w:rsidR="002942B0">
        <w:fldChar w:fldCharType="begin"/>
      </w:r>
      <w:r w:rsidR="00F6417D">
        <w:instrText xml:space="preserve"> ADDIN EN.CITE &lt;EndNote&gt;&lt;Cite&gt;&lt;Author&gt;Shulman&lt;/Author&gt;&lt;Year&gt;2014&lt;/Year&gt;&lt;RecNum&gt;1985&lt;/RecNum&gt;&lt;DisplayText&gt;[7]&lt;/DisplayText&gt;&lt;record&gt;&lt;rec-number&gt;1985&lt;/rec-number&gt;&lt;foreign-keys&gt;&lt;key app="EN" db-id="d5dd99zzmesw9deza0r52a0xepxwpfav5vs9" timestamp="1405557739"&gt;1985&lt;/key&gt;&lt;/foreign-keys&gt;&lt;ref-type name="Journal Article"&gt;17&lt;/ref-type&gt;&lt;contributors&gt;&lt;authors&gt;&lt;author&gt;Shulman, L. M.&lt;/author&gt;&lt;author&gt;Mendelson, E.&lt;/author&gt;&lt;author&gt;Anis, E.&lt;/author&gt;&lt;author&gt;Bassal, R.&lt;/author&gt;&lt;author&gt;Gdalevich, M.&lt;/author&gt;&lt;author&gt;Hindiyeh, M.&lt;/author&gt;&lt;author&gt;Kaliner, E.&lt;/author&gt;&lt;author&gt;Kopel, E.&lt;/author&gt;&lt;author&gt;Manor, Y.&lt;/author&gt;&lt;author&gt;Moran-Gilad, J.&lt;/author&gt;&lt;author&gt;Ram, D,&lt;/author&gt;&lt;author&gt;Sofer, D,&lt;/author&gt;&lt;author&gt;Somekh, E.&lt;/author&gt;&lt;author&gt;Tasher, D.&lt;/author&gt;&lt;author&gt;Weil, M.&lt;/author&gt;&lt;author&gt;Gamzu, R.&lt;/author&gt;&lt;author&gt;Grotto, I.&lt;/author&gt;&lt;/authors&gt;&lt;/contributors&gt;&lt;titles&gt;&lt;title&gt;Laboratory challenges in response to silent introduction and sustained transmission of wild type 1 poliovirus into Israel in 2013&lt;/title&gt;&lt;secondary-title&gt;J Infect Dis&lt;/secondary-title&gt;&lt;/titles&gt;&lt;periodical&gt;&lt;full-title&gt;J Infect Dis&lt;/full-title&gt;&lt;/periodical&gt;&lt;pages&gt;S304-314&lt;/pages&gt;&lt;volume&gt;210&lt;/volume&gt;&lt;number&gt;S1&lt;/number&gt;&lt;dates&gt;&lt;year&gt;2014&lt;/year&gt;&lt;/dates&gt;&lt;urls&gt;&lt;/urls&gt;&lt;/record&gt;&lt;/Cite&gt;&lt;/EndNote&gt;</w:instrText>
      </w:r>
      <w:r w:rsidR="002942B0">
        <w:fldChar w:fldCharType="separate"/>
      </w:r>
      <w:r w:rsidR="00F6417D">
        <w:rPr>
          <w:noProof/>
        </w:rPr>
        <w:t>[7]</w:t>
      </w:r>
      <w:r w:rsidR="002942B0">
        <w:fldChar w:fldCharType="end"/>
      </w:r>
      <w:r w:rsidR="00F6417D">
        <w:t>, and the detection level of 1 excreting individual per 10,000 inhabitants for each sampling site (see the bottom of Table 1).</w:t>
      </w:r>
      <w:r w:rsidR="002942B0">
        <w:fldChar w:fldCharType="begin"/>
      </w:r>
      <w:r w:rsidR="00F6417D">
        <w:instrText xml:space="preserve"> ADDIN EN.CITE &lt;EndNote&gt;&lt;Cite&gt;&lt;Author&gt;Hovi&lt;/Author&gt;&lt;Year&gt;2001&lt;/Year&gt;&lt;RecNum&gt;210&lt;/RecNum&gt;&lt;DisplayText&gt;[8]&lt;/DisplayText&gt;&lt;record&gt;&lt;rec-number&gt;210&lt;/rec-number&gt;&lt;foreign-keys&gt;&lt;key app="EN" db-id="d5dd99zzmesw9deza0r52a0xepxwpfav5vs9" timestamp="0"&gt;210&lt;/key&gt;&lt;/foreign-keys&gt;&lt;ref-type name="Journal Article"&gt;17&lt;/ref-type&gt;&lt;contributors&gt;&lt;authors&gt;&lt;author&gt;Hovi, T.&lt;/author&gt;&lt;/authors&gt;&lt;/contributors&gt;&lt;titles&gt;&lt;title&gt;The efficiency and reliability of polio surveillance&lt;/title&gt;&lt;secondary-title&gt;Dev Biol (Basel)&lt;/secondary-title&gt;&lt;/titles&gt;&lt;periodical&gt;&lt;full-title&gt;Dev Biol (Basel)&lt;/full-title&gt;&lt;/periodical&gt;&lt;pages&gt;21-31&lt;/pages&gt;&lt;volume&gt;105&lt;/volume&gt;&lt;dates&gt;&lt;year&gt;2001&lt;/year&gt;&lt;/dates&gt;&lt;urls&gt;&lt;/urls&gt;&lt;custom1&gt;cited&lt;/custom1&gt;&lt;custom2&gt;global decision analysis&lt;/custom2&gt;&lt;/record&gt;&lt;/Cite&gt;&lt;/EndNote&gt;</w:instrText>
      </w:r>
      <w:r w:rsidR="002942B0">
        <w:fldChar w:fldCharType="separate"/>
      </w:r>
      <w:r w:rsidR="00F6417D">
        <w:rPr>
          <w:noProof/>
        </w:rPr>
        <w:t>[8]</w:t>
      </w:r>
      <w:r w:rsidR="002942B0">
        <w:fldChar w:fldCharType="end"/>
      </w:r>
    </w:p>
    <w:p w:rsidR="00F6417D" w:rsidRPr="004C5C59" w:rsidRDefault="00F6417D" w:rsidP="00145BAA">
      <w:pPr>
        <w:rPr>
          <w:lang w:eastAsia="ko-KR"/>
        </w:rPr>
      </w:pPr>
    </w:p>
    <w:p w:rsidR="00145BAA" w:rsidRPr="00170F7C" w:rsidRDefault="00132607" w:rsidP="005F3274">
      <w:pPr>
        <w:autoSpaceDE w:val="0"/>
        <w:autoSpaceDN w:val="0"/>
        <w:adjustRightInd w:val="0"/>
        <w:rPr>
          <w:b/>
          <w:lang w:eastAsia="ko-KR"/>
        </w:rPr>
      </w:pPr>
      <w:r>
        <w:rPr>
          <w:b/>
        </w:rPr>
        <w:t>A4</w:t>
      </w:r>
      <w:r w:rsidR="00170F7C" w:rsidRPr="00170F7C">
        <w:rPr>
          <w:b/>
          <w:lang w:eastAsia="ko-KR"/>
        </w:rPr>
        <w:t>. Population immunity figures</w:t>
      </w:r>
    </w:p>
    <w:p w:rsidR="00170F7C" w:rsidRDefault="00170F7C" w:rsidP="009F2BE5">
      <w:pPr>
        <w:rPr>
          <w:lang w:eastAsia="ko-KR"/>
        </w:rPr>
      </w:pPr>
    </w:p>
    <w:p w:rsidR="005471FF" w:rsidRDefault="005471FF" w:rsidP="009F2BE5">
      <w:pPr>
        <w:rPr>
          <w:lang w:eastAsia="ko-KR"/>
        </w:rPr>
      </w:pPr>
      <w:r>
        <w:rPr>
          <w:lang w:eastAsia="ko-KR"/>
        </w:rPr>
        <w:t xml:space="preserve">Figure A1 shows the population immunity figures for the modeled </w:t>
      </w:r>
      <w:r w:rsidR="00FF098F">
        <w:rPr>
          <w:lang w:eastAsia="ko-KR"/>
        </w:rPr>
        <w:t>populations</w:t>
      </w:r>
      <w:r>
        <w:rPr>
          <w:lang w:eastAsia="ko-KR"/>
        </w:rPr>
        <w:t>.</w:t>
      </w:r>
    </w:p>
    <w:p w:rsidR="005471FF" w:rsidRDefault="005471FF" w:rsidP="009F2BE5">
      <w:pPr>
        <w:rPr>
          <w:lang w:eastAsia="ko-KR"/>
        </w:rPr>
      </w:pPr>
    </w:p>
    <w:p w:rsidR="006B6929" w:rsidRPr="004C5C59" w:rsidRDefault="00170F7C" w:rsidP="006B6929">
      <w:pPr>
        <w:rPr>
          <w:lang w:eastAsia="ko-KR"/>
        </w:rPr>
      </w:pPr>
      <w:r>
        <w:rPr>
          <w:b/>
          <w:lang w:eastAsia="ko-KR"/>
        </w:rPr>
        <w:t>Figure A</w:t>
      </w:r>
      <w:r w:rsidR="00CD0785">
        <w:rPr>
          <w:b/>
          <w:lang w:eastAsia="ko-KR"/>
        </w:rPr>
        <w:t>1</w:t>
      </w:r>
      <w:r w:rsidRPr="004C5C59">
        <w:rPr>
          <w:b/>
          <w:lang w:eastAsia="ko-KR"/>
        </w:rPr>
        <w:t xml:space="preserve">: </w:t>
      </w:r>
      <w:r w:rsidR="006B6929">
        <w:rPr>
          <w:lang w:eastAsia="ko-KR"/>
        </w:rPr>
        <w:t xml:space="preserve">Population immunity. Each dotted line (red, green, blue) represents the population immunity threshold </w:t>
      </w:r>
      <w:r w:rsidR="006B6929" w:rsidRPr="00AC3E84">
        <w:rPr>
          <w:lang w:eastAsia="ko-KR"/>
        </w:rPr>
        <w:t>EIP*=(1- 1/R0)</w:t>
      </w:r>
      <w:r w:rsidR="006B6929">
        <w:rPr>
          <w:lang w:eastAsia="ko-KR"/>
        </w:rPr>
        <w:t xml:space="preserve"> for a given serotype</w:t>
      </w:r>
      <w:r w:rsidR="00594235">
        <w:rPr>
          <w:lang w:eastAsia="ko-KR"/>
        </w:rPr>
        <w:t>, with</w:t>
      </w:r>
      <w:r w:rsidR="00026D07">
        <w:rPr>
          <w:lang w:eastAsia="ko-KR"/>
        </w:rPr>
        <w:t xml:space="preserve"> </w:t>
      </w:r>
      <w:r w:rsidR="00594235">
        <w:rPr>
          <w:lang w:eastAsia="ko-KR"/>
        </w:rPr>
        <w:t xml:space="preserve">red for </w:t>
      </w:r>
      <w:r w:rsidR="006B6929">
        <w:rPr>
          <w:lang w:eastAsia="ko-KR"/>
        </w:rPr>
        <w:t>type</w:t>
      </w:r>
      <w:r w:rsidR="00594235">
        <w:rPr>
          <w:lang w:eastAsia="ko-KR"/>
        </w:rPr>
        <w:t xml:space="preserve"> </w:t>
      </w:r>
      <w:r w:rsidR="006B6929">
        <w:rPr>
          <w:lang w:eastAsia="ko-KR"/>
        </w:rPr>
        <w:t xml:space="preserve">1, </w:t>
      </w:r>
      <w:r w:rsidR="00594235">
        <w:rPr>
          <w:lang w:eastAsia="ko-KR"/>
        </w:rPr>
        <w:t xml:space="preserve">green for </w:t>
      </w:r>
      <w:r w:rsidR="006B6929">
        <w:rPr>
          <w:lang w:eastAsia="ko-KR"/>
        </w:rPr>
        <w:t xml:space="preserve">type 2, </w:t>
      </w:r>
      <w:r w:rsidR="00594235">
        <w:rPr>
          <w:lang w:eastAsia="ko-KR"/>
        </w:rPr>
        <w:t xml:space="preserve">and blue for </w:t>
      </w:r>
      <w:r w:rsidR="006B6929">
        <w:rPr>
          <w:lang w:eastAsia="ko-KR"/>
        </w:rPr>
        <w:t xml:space="preserve">type 3, respectively. </w:t>
      </w:r>
      <w:r w:rsidR="00594235">
        <w:rPr>
          <w:lang w:eastAsia="ko-KR"/>
        </w:rPr>
        <w:t xml:space="preserve"> </w:t>
      </w:r>
      <w:r w:rsidR="006B6929">
        <w:rPr>
          <w:lang w:eastAsia="ko-KR"/>
        </w:rPr>
        <w:t>Each solid line of the corresponding color presents the population immunity in the model</w:t>
      </w:r>
      <w:r w:rsidR="00594235">
        <w:rPr>
          <w:lang w:eastAsia="ko-KR"/>
        </w:rPr>
        <w:t xml:space="preserve"> for that corresponding serotype</w:t>
      </w:r>
      <w:r w:rsidR="006B6929">
        <w:rPr>
          <w:lang w:eastAsia="ko-KR"/>
        </w:rPr>
        <w:t>.</w:t>
      </w:r>
      <w:r w:rsidR="006B6929" w:rsidRPr="004C5C59">
        <w:rPr>
          <w:lang w:eastAsia="ko-KR"/>
        </w:rPr>
        <w:t xml:space="preserve"> </w:t>
      </w:r>
    </w:p>
    <w:p w:rsidR="006B6929" w:rsidRPr="004C5C59" w:rsidRDefault="006B6929" w:rsidP="006B6929">
      <w:pPr>
        <w:rPr>
          <w:lang w:eastAsia="ko-KR"/>
        </w:rPr>
      </w:pPr>
      <w:r w:rsidRPr="004C5C59">
        <w:rPr>
          <w:lang w:eastAsia="ko-KR"/>
        </w:rPr>
        <w:t>a) Northern India</w:t>
      </w:r>
    </w:p>
    <w:p w:rsidR="006B6929" w:rsidRDefault="00700CB0" w:rsidP="006B6929">
      <w:pPr>
        <w:rPr>
          <w:lang w:eastAsia="ko-KR"/>
        </w:rPr>
      </w:pPr>
      <w:r>
        <w:rPr>
          <w:noProof/>
          <w:lang w:eastAsia="en-US"/>
        </w:rPr>
        <w:drawing>
          <wp:inline distT="0" distB="0" distL="0" distR="0">
            <wp:extent cx="4680633" cy="2340000"/>
            <wp:effectExtent l="0" t="0" r="571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0633" cy="2340000"/>
                    </a:xfrm>
                    <a:prstGeom prst="rect">
                      <a:avLst/>
                    </a:prstGeom>
                    <a:noFill/>
                  </pic:spPr>
                </pic:pic>
              </a:graphicData>
            </a:graphic>
          </wp:inline>
        </w:drawing>
      </w:r>
    </w:p>
    <w:p w:rsidR="00C65E41" w:rsidRDefault="00C65E41" w:rsidP="00C65E41">
      <w:pPr>
        <w:rPr>
          <w:lang w:eastAsia="ko-KR"/>
        </w:rPr>
      </w:pPr>
      <w:r>
        <w:rPr>
          <w:lang w:eastAsia="ko-KR"/>
        </w:rPr>
        <w:t>b) Northwest Nigeria 2014</w:t>
      </w:r>
      <w:r w:rsidR="003D2A99">
        <w:rPr>
          <w:lang w:eastAsia="ko-KR"/>
        </w:rPr>
        <w:t xml:space="preserve"> </w:t>
      </w:r>
      <w:r w:rsidR="00B11CF6">
        <w:rPr>
          <w:lang w:eastAsia="ko-KR"/>
        </w:rPr>
        <w:t>current path</w:t>
      </w:r>
    </w:p>
    <w:p w:rsidR="00C65E41" w:rsidRDefault="00340D6E" w:rsidP="00C65E41">
      <w:pPr>
        <w:rPr>
          <w:lang w:eastAsia="ko-KR"/>
        </w:rPr>
      </w:pPr>
      <w:r>
        <w:rPr>
          <w:noProof/>
          <w:lang w:eastAsia="en-US"/>
        </w:rPr>
        <w:lastRenderedPageBreak/>
        <w:drawing>
          <wp:inline distT="0" distB="0" distL="0" distR="0">
            <wp:extent cx="4668003" cy="234000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8003" cy="2340000"/>
                    </a:xfrm>
                    <a:prstGeom prst="rect">
                      <a:avLst/>
                    </a:prstGeom>
                    <a:noFill/>
                  </pic:spPr>
                </pic:pic>
              </a:graphicData>
            </a:graphic>
          </wp:inline>
        </w:drawing>
      </w:r>
    </w:p>
    <w:p w:rsidR="00C65E41" w:rsidRPr="004C5C59" w:rsidRDefault="00801848" w:rsidP="00C65E41">
      <w:pPr>
        <w:rPr>
          <w:lang w:eastAsia="ko-KR"/>
        </w:rPr>
      </w:pPr>
      <w:r>
        <w:rPr>
          <w:lang w:eastAsia="ko-KR"/>
        </w:rPr>
        <w:br w:type="page"/>
      </w:r>
      <w:r w:rsidR="00C65E41">
        <w:rPr>
          <w:lang w:eastAsia="ko-KR"/>
        </w:rPr>
        <w:lastRenderedPageBreak/>
        <w:t>c)</w:t>
      </w:r>
      <w:r w:rsidR="00C65E41" w:rsidRPr="00D17FE5">
        <w:rPr>
          <w:lang w:eastAsia="ko-KR"/>
        </w:rPr>
        <w:t xml:space="preserve"> </w:t>
      </w:r>
      <w:r w:rsidR="00C65E41">
        <w:rPr>
          <w:lang w:eastAsia="ko-KR"/>
        </w:rPr>
        <w:t>Northwest Nigeria increased tOPV</w:t>
      </w:r>
    </w:p>
    <w:p w:rsidR="006B6929" w:rsidRPr="00340D6E" w:rsidRDefault="00340D6E" w:rsidP="006B6929">
      <w:pPr>
        <w:rPr>
          <w:lang w:eastAsia="ko-KR"/>
        </w:rPr>
      </w:pPr>
      <w:r>
        <w:rPr>
          <w:noProof/>
          <w:lang w:eastAsia="en-US"/>
        </w:rPr>
        <w:drawing>
          <wp:inline distT="0" distB="0" distL="0" distR="0">
            <wp:extent cx="4694555" cy="23533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4555" cy="2353310"/>
                    </a:xfrm>
                    <a:prstGeom prst="rect">
                      <a:avLst/>
                    </a:prstGeom>
                    <a:noFill/>
                  </pic:spPr>
                </pic:pic>
              </a:graphicData>
            </a:graphic>
          </wp:inline>
        </w:drawing>
      </w:r>
    </w:p>
    <w:p w:rsidR="006B6929" w:rsidRPr="004C5C59" w:rsidRDefault="006B6929" w:rsidP="006B6929">
      <w:pPr>
        <w:rPr>
          <w:lang w:eastAsia="ko-KR"/>
        </w:rPr>
      </w:pPr>
      <w:r>
        <w:rPr>
          <w:lang w:eastAsia="ko-KR"/>
        </w:rPr>
        <w:t>d</w:t>
      </w:r>
      <w:r w:rsidRPr="004C5C59">
        <w:rPr>
          <w:lang w:eastAsia="ko-KR"/>
        </w:rPr>
        <w:t>) Tajikistan</w:t>
      </w:r>
    </w:p>
    <w:p w:rsidR="006B6929" w:rsidRPr="004C5C59" w:rsidRDefault="000B7D61" w:rsidP="006B6929">
      <w:pPr>
        <w:rPr>
          <w:lang w:eastAsia="ko-KR"/>
        </w:rPr>
      </w:pPr>
      <w:r>
        <w:rPr>
          <w:noProof/>
          <w:lang w:eastAsia="en-US"/>
        </w:rPr>
        <w:drawing>
          <wp:inline distT="0" distB="0" distL="0" distR="0">
            <wp:extent cx="4668003" cy="234000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8003" cy="2340000"/>
                    </a:xfrm>
                    <a:prstGeom prst="rect">
                      <a:avLst/>
                    </a:prstGeom>
                    <a:noFill/>
                  </pic:spPr>
                </pic:pic>
              </a:graphicData>
            </a:graphic>
          </wp:inline>
        </w:drawing>
      </w:r>
    </w:p>
    <w:p w:rsidR="006B6929" w:rsidRPr="004C5C59" w:rsidRDefault="006B6929" w:rsidP="006B6929">
      <w:pPr>
        <w:rPr>
          <w:lang w:eastAsia="ko-KR"/>
        </w:rPr>
      </w:pPr>
      <w:r>
        <w:rPr>
          <w:lang w:eastAsia="ko-KR"/>
        </w:rPr>
        <w:t>e</w:t>
      </w:r>
      <w:r w:rsidRPr="004C5C59">
        <w:rPr>
          <w:lang w:eastAsia="ko-KR"/>
        </w:rPr>
        <w:t>) Israel</w:t>
      </w:r>
    </w:p>
    <w:p w:rsidR="005F3274" w:rsidRDefault="00560F5B" w:rsidP="006B6929">
      <w:pPr>
        <w:rPr>
          <w:lang w:eastAsia="ko-KR"/>
        </w:rPr>
      </w:pPr>
      <w:r>
        <w:rPr>
          <w:noProof/>
          <w:lang w:eastAsia="en-US"/>
        </w:rPr>
        <w:drawing>
          <wp:inline distT="0" distB="0" distL="0" distR="0">
            <wp:extent cx="4668003" cy="23400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8003" cy="2340000"/>
                    </a:xfrm>
                    <a:prstGeom prst="rect">
                      <a:avLst/>
                    </a:prstGeom>
                    <a:noFill/>
                  </pic:spPr>
                </pic:pic>
              </a:graphicData>
            </a:graphic>
          </wp:inline>
        </w:drawing>
      </w:r>
    </w:p>
    <w:p w:rsidR="00FF098F" w:rsidRDefault="00FF098F" w:rsidP="006B6929">
      <w:pPr>
        <w:rPr>
          <w:b/>
          <w:lang w:eastAsia="ko-KR"/>
        </w:rPr>
      </w:pPr>
    </w:p>
    <w:p w:rsidR="00FF098F" w:rsidRDefault="00FF098F" w:rsidP="006B6929">
      <w:pPr>
        <w:rPr>
          <w:b/>
          <w:lang w:eastAsia="ko-KR"/>
        </w:rPr>
      </w:pPr>
    </w:p>
    <w:p w:rsidR="00FF098F" w:rsidRDefault="00FF098F">
      <w:pPr>
        <w:rPr>
          <w:b/>
          <w:lang w:eastAsia="ko-KR"/>
        </w:rPr>
      </w:pPr>
      <w:r>
        <w:rPr>
          <w:b/>
          <w:lang w:eastAsia="ko-KR"/>
        </w:rPr>
        <w:br w:type="page"/>
      </w:r>
    </w:p>
    <w:p w:rsidR="00F6417D" w:rsidRDefault="00FF098F" w:rsidP="006B6929">
      <w:pPr>
        <w:rPr>
          <w:b/>
          <w:lang w:eastAsia="ko-KR"/>
        </w:rPr>
      </w:pPr>
      <w:r>
        <w:rPr>
          <w:b/>
          <w:lang w:eastAsia="ko-KR"/>
        </w:rPr>
        <w:lastRenderedPageBreak/>
        <w:t>References</w:t>
      </w:r>
      <w:r w:rsidR="002942B0">
        <w:rPr>
          <w:b/>
          <w:lang w:eastAsia="ko-KR"/>
        </w:rPr>
        <w:fldChar w:fldCharType="begin"/>
      </w:r>
      <w:r w:rsidR="00962C72">
        <w:rPr>
          <w:b/>
          <w:lang w:eastAsia="ko-KR"/>
        </w:rPr>
        <w:instrText xml:space="preserve"> ADDIN </w:instrText>
      </w:r>
      <w:r w:rsidR="002942B0">
        <w:rPr>
          <w:b/>
          <w:lang w:eastAsia="ko-KR"/>
        </w:rPr>
        <w:fldChar w:fldCharType="end"/>
      </w:r>
    </w:p>
    <w:p w:rsidR="00F6417D" w:rsidRDefault="00F6417D" w:rsidP="006B6929">
      <w:pPr>
        <w:rPr>
          <w:b/>
          <w:lang w:eastAsia="ko-KR"/>
        </w:rPr>
      </w:pPr>
    </w:p>
    <w:p w:rsidR="00F6417D" w:rsidRPr="00F6417D" w:rsidRDefault="002942B0" w:rsidP="00F6417D">
      <w:pPr>
        <w:pStyle w:val="EndNoteBibliography"/>
        <w:ind w:left="720" w:hanging="720"/>
      </w:pPr>
      <w:r>
        <w:rPr>
          <w:lang w:eastAsia="ko-KR"/>
        </w:rPr>
        <w:fldChar w:fldCharType="begin"/>
      </w:r>
      <w:r w:rsidR="00F6417D">
        <w:rPr>
          <w:lang w:eastAsia="ko-KR"/>
        </w:rPr>
        <w:instrText xml:space="preserve"> ADDIN EN.REFLIST </w:instrText>
      </w:r>
      <w:r>
        <w:rPr>
          <w:lang w:eastAsia="ko-KR"/>
        </w:rPr>
        <w:fldChar w:fldCharType="separate"/>
      </w:r>
      <w:r w:rsidR="00F6417D" w:rsidRPr="00F6417D">
        <w:t>1.</w:t>
      </w:r>
      <w:r w:rsidR="00F6417D" w:rsidRPr="00F6417D">
        <w:tab/>
        <w:t xml:space="preserve">Kalkowska DA, Duintjer Tebbens RJ, Thompson KM: </w:t>
      </w:r>
      <w:r w:rsidR="00F6417D" w:rsidRPr="00F6417D">
        <w:rPr>
          <w:b/>
        </w:rPr>
        <w:t>Modeling strategies to increase population immunity and prevent poliovirus transmission in the high-risk area of northwest Nigeria</w:t>
      </w:r>
      <w:r w:rsidR="00F6417D" w:rsidRPr="00F6417D">
        <w:t xml:space="preserve">. </w:t>
      </w:r>
      <w:r w:rsidR="00F6417D" w:rsidRPr="00F6417D">
        <w:rPr>
          <w:i/>
        </w:rPr>
        <w:t xml:space="preserve">J Infect Dis </w:t>
      </w:r>
      <w:r w:rsidR="00F6417D" w:rsidRPr="00F6417D">
        <w:t xml:space="preserve">2014, </w:t>
      </w:r>
      <w:r w:rsidR="00F6417D" w:rsidRPr="00F6417D">
        <w:rPr>
          <w:b/>
        </w:rPr>
        <w:t>210</w:t>
      </w:r>
      <w:r w:rsidR="00F6417D" w:rsidRPr="00F6417D">
        <w:t>(S1):412-423.</w:t>
      </w:r>
    </w:p>
    <w:p w:rsidR="00F6417D" w:rsidRPr="00F6417D" w:rsidRDefault="00F6417D" w:rsidP="00F6417D">
      <w:pPr>
        <w:pStyle w:val="EndNoteBibliography"/>
        <w:ind w:left="720" w:hanging="720"/>
      </w:pPr>
      <w:r w:rsidRPr="00F6417D">
        <w:t>2.</w:t>
      </w:r>
      <w:r w:rsidRPr="00F6417D">
        <w:tab/>
        <w:t xml:space="preserve">National Population Commission Nigeria and ICF International: </w:t>
      </w:r>
      <w:r w:rsidRPr="00F6417D">
        <w:rPr>
          <w:b/>
        </w:rPr>
        <w:t>Nigeria Demographic and Health Survey 2013</w:t>
      </w:r>
      <w:r w:rsidRPr="00F6417D">
        <w:t>. 2014.</w:t>
      </w:r>
    </w:p>
    <w:p w:rsidR="00F6417D" w:rsidRPr="00F6417D" w:rsidRDefault="00F6417D" w:rsidP="00F6417D">
      <w:pPr>
        <w:pStyle w:val="EndNoteBibliography"/>
        <w:ind w:left="720" w:hanging="720"/>
      </w:pPr>
      <w:r w:rsidRPr="00F6417D">
        <w:t>3.</w:t>
      </w:r>
      <w:r w:rsidRPr="00F6417D">
        <w:tab/>
        <w:t xml:space="preserve">Thompson KM, Duintjer Tebbens RJ: </w:t>
      </w:r>
      <w:r w:rsidRPr="00F6417D">
        <w:rPr>
          <w:b/>
        </w:rPr>
        <w:t>Modeling the dynamics of oral poliovirus vaccine cessation</w:t>
      </w:r>
      <w:r w:rsidRPr="00F6417D">
        <w:t xml:space="preserve">. </w:t>
      </w:r>
      <w:r w:rsidRPr="00F6417D">
        <w:rPr>
          <w:i/>
        </w:rPr>
        <w:t xml:space="preserve">J Infect Dis </w:t>
      </w:r>
      <w:r w:rsidRPr="00F6417D">
        <w:t xml:space="preserve">2014, </w:t>
      </w:r>
      <w:r w:rsidRPr="00F6417D">
        <w:rPr>
          <w:b/>
        </w:rPr>
        <w:t>210</w:t>
      </w:r>
      <w:r w:rsidRPr="00F6417D">
        <w:t>(S1):475-484.</w:t>
      </w:r>
    </w:p>
    <w:p w:rsidR="00F6417D" w:rsidRPr="00F6417D" w:rsidRDefault="00F6417D" w:rsidP="00F6417D">
      <w:pPr>
        <w:pStyle w:val="EndNoteBibliography"/>
        <w:ind w:left="720" w:hanging="720"/>
      </w:pPr>
      <w:r w:rsidRPr="00F6417D">
        <w:t>4.</w:t>
      </w:r>
      <w:r w:rsidRPr="00F6417D">
        <w:tab/>
        <w:t xml:space="preserve">Duintjer Tebbens RJ, Thompson KM: </w:t>
      </w:r>
      <w:r w:rsidRPr="00F6417D">
        <w:rPr>
          <w:b/>
        </w:rPr>
        <w:t>Modeling the potential role of inactivated poliovirus vaccine to manage the risks of oral poliovirus vaccine cessation</w:t>
      </w:r>
      <w:r w:rsidRPr="00F6417D">
        <w:t xml:space="preserve">. </w:t>
      </w:r>
      <w:r w:rsidRPr="00F6417D">
        <w:rPr>
          <w:i/>
        </w:rPr>
        <w:t xml:space="preserve">J Infect Dis </w:t>
      </w:r>
      <w:r w:rsidRPr="00F6417D">
        <w:t xml:space="preserve">2014, </w:t>
      </w:r>
      <w:r w:rsidRPr="00F6417D">
        <w:rPr>
          <w:b/>
        </w:rPr>
        <w:t>210</w:t>
      </w:r>
      <w:r w:rsidRPr="00F6417D">
        <w:t>(S1):485-497.</w:t>
      </w:r>
    </w:p>
    <w:p w:rsidR="00F6417D" w:rsidRPr="00F6417D" w:rsidRDefault="00F6417D" w:rsidP="00F6417D">
      <w:pPr>
        <w:pStyle w:val="EndNoteBibliography"/>
        <w:ind w:left="720" w:hanging="720"/>
      </w:pPr>
      <w:r w:rsidRPr="00F6417D">
        <w:t>5.</w:t>
      </w:r>
      <w:r w:rsidRPr="00F6417D">
        <w:tab/>
        <w:t xml:space="preserve">World Health Organization: </w:t>
      </w:r>
      <w:r w:rsidRPr="00F6417D">
        <w:rPr>
          <w:b/>
        </w:rPr>
        <w:t>Conclusions and recommendations of the Advisory Committee on Poliomyelitis Eradication, Geneva, 27–28 November 2007</w:t>
      </w:r>
      <w:r w:rsidRPr="00F6417D">
        <w:t xml:space="preserve">. </w:t>
      </w:r>
      <w:r w:rsidRPr="00F6417D">
        <w:rPr>
          <w:i/>
        </w:rPr>
        <w:t xml:space="preserve">Wkly Epidemiol Rec </w:t>
      </w:r>
      <w:r w:rsidRPr="00F6417D">
        <w:t xml:space="preserve">2008, </w:t>
      </w:r>
      <w:r w:rsidRPr="00F6417D">
        <w:rPr>
          <w:b/>
        </w:rPr>
        <w:t>3</w:t>
      </w:r>
      <w:r w:rsidRPr="00F6417D">
        <w:t>(83):25-36.</w:t>
      </w:r>
    </w:p>
    <w:p w:rsidR="00F6417D" w:rsidRPr="00F6417D" w:rsidRDefault="00F6417D" w:rsidP="00F6417D">
      <w:pPr>
        <w:pStyle w:val="EndNoteBibliography"/>
        <w:ind w:left="720" w:hanging="720"/>
      </w:pPr>
      <w:r w:rsidRPr="00F6417D">
        <w:t>6.</w:t>
      </w:r>
      <w:r w:rsidRPr="00F6417D">
        <w:tab/>
        <w:t>Gidado SO, Nguku PM, Ohuabunwo CJ, Waziri NE, Etsano A, Mahmud MZ, Shuaib FM, Korir CK, Mkanda P, Bloland PB</w:t>
      </w:r>
      <w:r w:rsidRPr="00F6417D">
        <w:rPr>
          <w:i/>
        </w:rPr>
        <w:t xml:space="preserve"> et al</w:t>
      </w:r>
      <w:r w:rsidRPr="00F6417D">
        <w:t xml:space="preserve">: </w:t>
      </w:r>
      <w:r w:rsidRPr="00F6417D">
        <w:rPr>
          <w:b/>
        </w:rPr>
        <w:t>Polio Field Census and Vaccination of Underserved Populations — Northern Nigeria, 2012–2013</w:t>
      </w:r>
      <w:r w:rsidRPr="00F6417D">
        <w:t xml:space="preserve">. </w:t>
      </w:r>
      <w:r w:rsidRPr="00F6417D">
        <w:rPr>
          <w:i/>
        </w:rPr>
        <w:t xml:space="preserve">Morb Mort Wkly Rep </w:t>
      </w:r>
      <w:r w:rsidRPr="00F6417D">
        <w:t xml:space="preserve">2013, </w:t>
      </w:r>
      <w:r w:rsidRPr="00F6417D">
        <w:rPr>
          <w:b/>
        </w:rPr>
        <w:t>62</w:t>
      </w:r>
      <w:r w:rsidRPr="00F6417D">
        <w:t>(33):663-665.</w:t>
      </w:r>
    </w:p>
    <w:p w:rsidR="00F6417D" w:rsidRPr="00F6417D" w:rsidRDefault="00F6417D" w:rsidP="00F6417D">
      <w:pPr>
        <w:pStyle w:val="EndNoteBibliography"/>
        <w:ind w:left="720" w:hanging="720"/>
      </w:pPr>
      <w:r w:rsidRPr="00F6417D">
        <w:t>7.</w:t>
      </w:r>
      <w:r w:rsidRPr="00F6417D">
        <w:tab/>
        <w:t>Shulman LM, Mendelson E, Anis E, Bassal R, Gdalevich M, Hindiyeh M, Kaliner E, Kopel E, Manor Y, Moran-Gilad J</w:t>
      </w:r>
      <w:r w:rsidRPr="00F6417D">
        <w:rPr>
          <w:i/>
        </w:rPr>
        <w:t xml:space="preserve"> et al</w:t>
      </w:r>
      <w:r w:rsidRPr="00F6417D">
        <w:t xml:space="preserve">: </w:t>
      </w:r>
      <w:r w:rsidRPr="00F6417D">
        <w:rPr>
          <w:b/>
        </w:rPr>
        <w:t>Laboratory challenges in response to silent introduction and sustained transmission of wild type 1 poliovirus into Israel in 2013</w:t>
      </w:r>
      <w:r w:rsidRPr="00F6417D">
        <w:t xml:space="preserve">. </w:t>
      </w:r>
      <w:r w:rsidRPr="00F6417D">
        <w:rPr>
          <w:i/>
        </w:rPr>
        <w:t xml:space="preserve">J Infect Dis </w:t>
      </w:r>
      <w:r w:rsidRPr="00F6417D">
        <w:t xml:space="preserve">2014, </w:t>
      </w:r>
      <w:r w:rsidRPr="00F6417D">
        <w:rPr>
          <w:b/>
        </w:rPr>
        <w:t>210</w:t>
      </w:r>
      <w:r w:rsidRPr="00F6417D">
        <w:t>(S1):S304-314.</w:t>
      </w:r>
    </w:p>
    <w:p w:rsidR="00F6417D" w:rsidRPr="00F6417D" w:rsidRDefault="00F6417D" w:rsidP="00F6417D">
      <w:pPr>
        <w:pStyle w:val="EndNoteBibliography"/>
        <w:ind w:left="720" w:hanging="720"/>
      </w:pPr>
      <w:r w:rsidRPr="00F6417D">
        <w:t>8.</w:t>
      </w:r>
      <w:r w:rsidRPr="00F6417D">
        <w:tab/>
        <w:t xml:space="preserve">Hovi T: </w:t>
      </w:r>
      <w:r w:rsidRPr="00F6417D">
        <w:rPr>
          <w:b/>
        </w:rPr>
        <w:t>The efficiency and reliability of polio surveillance</w:t>
      </w:r>
      <w:r w:rsidRPr="00F6417D">
        <w:t xml:space="preserve">. </w:t>
      </w:r>
      <w:r w:rsidRPr="00F6417D">
        <w:rPr>
          <w:i/>
        </w:rPr>
        <w:t xml:space="preserve">Dev Biol (Basel) </w:t>
      </w:r>
      <w:r w:rsidRPr="00F6417D">
        <w:t xml:space="preserve">2001, </w:t>
      </w:r>
      <w:r w:rsidRPr="00F6417D">
        <w:rPr>
          <w:b/>
        </w:rPr>
        <w:t>105</w:t>
      </w:r>
      <w:r w:rsidRPr="00F6417D">
        <w:t>:21-31.</w:t>
      </w:r>
    </w:p>
    <w:p w:rsidR="00170F7C" w:rsidRPr="005F3274" w:rsidRDefault="002942B0" w:rsidP="006B6929">
      <w:pPr>
        <w:rPr>
          <w:lang w:eastAsia="ko-KR"/>
        </w:rPr>
      </w:pPr>
      <w:r>
        <w:rPr>
          <w:lang w:eastAsia="ko-KR"/>
        </w:rPr>
        <w:fldChar w:fldCharType="end"/>
      </w:r>
    </w:p>
    <w:sectPr w:rsidR="00170F7C" w:rsidRPr="005F3274" w:rsidSect="00AB77D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33" w:rsidRDefault="00CE5B33">
      <w:r>
        <w:separator/>
      </w:r>
    </w:p>
  </w:endnote>
  <w:endnote w:type="continuationSeparator" w:id="0">
    <w:p w:rsidR="00CE5B33" w:rsidRDefault="00CE5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CC" w:rsidRDefault="002942B0" w:rsidP="0006730B">
    <w:pPr>
      <w:pStyle w:val="Footer"/>
      <w:framePr w:wrap="around" w:vAnchor="text" w:hAnchor="margin" w:xAlign="right" w:y="1"/>
      <w:rPr>
        <w:rStyle w:val="PageNumber"/>
      </w:rPr>
    </w:pPr>
    <w:r>
      <w:rPr>
        <w:rStyle w:val="PageNumber"/>
      </w:rPr>
      <w:fldChar w:fldCharType="begin"/>
    </w:r>
    <w:r w:rsidR="002511CC">
      <w:rPr>
        <w:rStyle w:val="PageNumber"/>
      </w:rPr>
      <w:instrText xml:space="preserve">PAGE  </w:instrText>
    </w:r>
    <w:r>
      <w:rPr>
        <w:rStyle w:val="PageNumber"/>
      </w:rPr>
      <w:fldChar w:fldCharType="end"/>
    </w:r>
  </w:p>
  <w:p w:rsidR="002511CC" w:rsidRDefault="002511CC" w:rsidP="00C769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CC" w:rsidRDefault="002942B0" w:rsidP="0006730B">
    <w:pPr>
      <w:pStyle w:val="Footer"/>
      <w:framePr w:wrap="around" w:vAnchor="text" w:hAnchor="margin" w:xAlign="right" w:y="1"/>
      <w:rPr>
        <w:rStyle w:val="PageNumber"/>
      </w:rPr>
    </w:pPr>
    <w:r>
      <w:rPr>
        <w:rStyle w:val="PageNumber"/>
      </w:rPr>
      <w:fldChar w:fldCharType="begin"/>
    </w:r>
    <w:r w:rsidR="002511CC">
      <w:rPr>
        <w:rStyle w:val="PageNumber"/>
      </w:rPr>
      <w:instrText xml:space="preserve">PAGE  </w:instrText>
    </w:r>
    <w:r>
      <w:rPr>
        <w:rStyle w:val="PageNumber"/>
      </w:rPr>
      <w:fldChar w:fldCharType="separate"/>
    </w:r>
    <w:r w:rsidR="00A8169C">
      <w:rPr>
        <w:rStyle w:val="PageNumber"/>
        <w:noProof/>
      </w:rPr>
      <w:t>1</w:t>
    </w:r>
    <w:r>
      <w:rPr>
        <w:rStyle w:val="PageNumber"/>
      </w:rPr>
      <w:fldChar w:fldCharType="end"/>
    </w:r>
  </w:p>
  <w:p w:rsidR="002511CC" w:rsidRDefault="002511CC" w:rsidP="00C769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33" w:rsidRDefault="00CE5B33">
      <w:r>
        <w:separator/>
      </w:r>
    </w:p>
  </w:footnote>
  <w:footnote w:type="continuationSeparator" w:id="0">
    <w:p w:rsidR="00CE5B33" w:rsidRDefault="00CE5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BDA"/>
    <w:multiLevelType w:val="hybridMultilevel"/>
    <w:tmpl w:val="B090E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D24"/>
    <w:multiLevelType w:val="hybridMultilevel"/>
    <w:tmpl w:val="E94CB2A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43812"/>
    <w:multiLevelType w:val="multilevel"/>
    <w:tmpl w:val="8EA4CFC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6B46820"/>
    <w:multiLevelType w:val="hybridMultilevel"/>
    <w:tmpl w:val="E0E2C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86145"/>
    <w:multiLevelType w:val="hybridMultilevel"/>
    <w:tmpl w:val="CCF8EC0A"/>
    <w:lvl w:ilvl="0" w:tplc="5F4A21BE">
      <w:start w:val="1"/>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43EB"/>
    <w:multiLevelType w:val="hybridMultilevel"/>
    <w:tmpl w:val="891EA55E"/>
    <w:lvl w:ilvl="0" w:tplc="4DCAA050">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9759A"/>
    <w:multiLevelType w:val="hybridMultilevel"/>
    <w:tmpl w:val="A86EF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E1CAD"/>
    <w:multiLevelType w:val="hybridMultilevel"/>
    <w:tmpl w:val="2EB4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621E2"/>
    <w:multiLevelType w:val="hybridMultilevel"/>
    <w:tmpl w:val="3EF6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A4DE7"/>
    <w:multiLevelType w:val="hybridMultilevel"/>
    <w:tmpl w:val="B58C6EE4"/>
    <w:lvl w:ilvl="0" w:tplc="91BA07A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A54750"/>
    <w:multiLevelType w:val="hybridMultilevel"/>
    <w:tmpl w:val="F7D8B438"/>
    <w:lvl w:ilvl="0" w:tplc="C9C04664">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F5C1B"/>
    <w:multiLevelType w:val="hybridMultilevel"/>
    <w:tmpl w:val="A280B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B5D60"/>
    <w:multiLevelType w:val="hybridMultilevel"/>
    <w:tmpl w:val="DC9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74444"/>
    <w:multiLevelType w:val="hybridMultilevel"/>
    <w:tmpl w:val="4E9633DC"/>
    <w:lvl w:ilvl="0" w:tplc="968634D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14753"/>
    <w:multiLevelType w:val="hybridMultilevel"/>
    <w:tmpl w:val="EBB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A7714"/>
    <w:multiLevelType w:val="multilevel"/>
    <w:tmpl w:val="08AA9B1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4E90901"/>
    <w:multiLevelType w:val="hybridMultilevel"/>
    <w:tmpl w:val="B090E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66E3C"/>
    <w:multiLevelType w:val="hybridMultilevel"/>
    <w:tmpl w:val="D358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632CA"/>
    <w:multiLevelType w:val="hybridMultilevel"/>
    <w:tmpl w:val="B1964778"/>
    <w:lvl w:ilvl="0" w:tplc="9960A05E">
      <w:start w:val="1"/>
      <w:numFmt w:val="lowerLetter"/>
      <w:lvlText w:val="%1."/>
      <w:lvlJc w:val="left"/>
      <w:pPr>
        <w:tabs>
          <w:tab w:val="num" w:pos="720"/>
        </w:tabs>
        <w:ind w:left="720" w:hanging="360"/>
      </w:pPr>
      <w:rPr>
        <w:vertAlign w:val="baseline"/>
      </w:rPr>
    </w:lvl>
    <w:lvl w:ilvl="1" w:tplc="5E2063E6">
      <w:start w:val="1"/>
      <w:numFmt w:val="lowerLetter"/>
      <w:lvlText w:val="%2."/>
      <w:lvlJc w:val="left"/>
      <w:pPr>
        <w:tabs>
          <w:tab w:val="num" w:pos="1440"/>
        </w:tabs>
        <w:ind w:left="1440" w:hanging="360"/>
      </w:pPr>
      <w:rPr>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CB2B26"/>
    <w:multiLevelType w:val="hybridMultilevel"/>
    <w:tmpl w:val="B090E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B4369"/>
    <w:multiLevelType w:val="hybridMultilevel"/>
    <w:tmpl w:val="8132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02CA3"/>
    <w:multiLevelType w:val="hybridMultilevel"/>
    <w:tmpl w:val="83E8CD00"/>
    <w:lvl w:ilvl="0" w:tplc="B2CA9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74328"/>
    <w:multiLevelType w:val="hybridMultilevel"/>
    <w:tmpl w:val="4E44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32AFF"/>
    <w:multiLevelType w:val="hybridMultilevel"/>
    <w:tmpl w:val="19DC5E6C"/>
    <w:lvl w:ilvl="0" w:tplc="C33C8328">
      <w:start w:val="2"/>
      <w:numFmt w:val="bullet"/>
      <w:lvlText w:val="-"/>
      <w:lvlJc w:val="left"/>
      <w:pPr>
        <w:tabs>
          <w:tab w:val="num" w:pos="420"/>
        </w:tabs>
        <w:ind w:left="420" w:hanging="360"/>
      </w:pPr>
      <w:rPr>
        <w:rFonts w:ascii="Times New Roman" w:eastAsia="MS Mincho"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5A9B2F96"/>
    <w:multiLevelType w:val="hybridMultilevel"/>
    <w:tmpl w:val="886E8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D0B83"/>
    <w:multiLevelType w:val="hybridMultilevel"/>
    <w:tmpl w:val="05F4AA6E"/>
    <w:lvl w:ilvl="0" w:tplc="A40ABFDA">
      <w:start w:val="1"/>
      <w:numFmt w:val="decimal"/>
      <w:lvlText w:val="%1."/>
      <w:lvlJc w:val="left"/>
      <w:pPr>
        <w:tabs>
          <w:tab w:val="num" w:pos="720"/>
        </w:tabs>
        <w:ind w:left="720" w:hanging="360"/>
      </w:pPr>
      <w:rPr>
        <w:rFonts w:hint="default"/>
      </w:rPr>
    </w:lvl>
    <w:lvl w:ilvl="1" w:tplc="B05AF7DC">
      <w:start w:val="1"/>
      <w:numFmt w:val="lowerLetter"/>
      <w:lvlText w:val="%2."/>
      <w:lvlJc w:val="left"/>
      <w:pPr>
        <w:tabs>
          <w:tab w:val="num" w:pos="1440"/>
        </w:tabs>
        <w:ind w:left="1440" w:hanging="360"/>
      </w:pPr>
    </w:lvl>
    <w:lvl w:ilvl="2" w:tplc="4F4A33CA" w:tentative="1">
      <w:start w:val="1"/>
      <w:numFmt w:val="lowerRoman"/>
      <w:lvlText w:val="%3."/>
      <w:lvlJc w:val="right"/>
      <w:pPr>
        <w:tabs>
          <w:tab w:val="num" w:pos="2160"/>
        </w:tabs>
        <w:ind w:left="2160" w:hanging="180"/>
      </w:pPr>
    </w:lvl>
    <w:lvl w:ilvl="3" w:tplc="3F6C7B82" w:tentative="1">
      <w:start w:val="1"/>
      <w:numFmt w:val="decimal"/>
      <w:lvlText w:val="%4."/>
      <w:lvlJc w:val="left"/>
      <w:pPr>
        <w:tabs>
          <w:tab w:val="num" w:pos="2880"/>
        </w:tabs>
        <w:ind w:left="2880" w:hanging="360"/>
      </w:pPr>
    </w:lvl>
    <w:lvl w:ilvl="4" w:tplc="9F7A9B66" w:tentative="1">
      <w:start w:val="1"/>
      <w:numFmt w:val="lowerLetter"/>
      <w:lvlText w:val="%5."/>
      <w:lvlJc w:val="left"/>
      <w:pPr>
        <w:tabs>
          <w:tab w:val="num" w:pos="3600"/>
        </w:tabs>
        <w:ind w:left="3600" w:hanging="360"/>
      </w:pPr>
    </w:lvl>
    <w:lvl w:ilvl="5" w:tplc="2D90311C" w:tentative="1">
      <w:start w:val="1"/>
      <w:numFmt w:val="lowerRoman"/>
      <w:lvlText w:val="%6."/>
      <w:lvlJc w:val="right"/>
      <w:pPr>
        <w:tabs>
          <w:tab w:val="num" w:pos="4320"/>
        </w:tabs>
        <w:ind w:left="4320" w:hanging="180"/>
      </w:pPr>
    </w:lvl>
    <w:lvl w:ilvl="6" w:tplc="87BCADAE" w:tentative="1">
      <w:start w:val="1"/>
      <w:numFmt w:val="decimal"/>
      <w:lvlText w:val="%7."/>
      <w:lvlJc w:val="left"/>
      <w:pPr>
        <w:tabs>
          <w:tab w:val="num" w:pos="5040"/>
        </w:tabs>
        <w:ind w:left="5040" w:hanging="360"/>
      </w:pPr>
    </w:lvl>
    <w:lvl w:ilvl="7" w:tplc="A1C0B2E4" w:tentative="1">
      <w:start w:val="1"/>
      <w:numFmt w:val="lowerLetter"/>
      <w:lvlText w:val="%8."/>
      <w:lvlJc w:val="left"/>
      <w:pPr>
        <w:tabs>
          <w:tab w:val="num" w:pos="5760"/>
        </w:tabs>
        <w:ind w:left="5760" w:hanging="360"/>
      </w:pPr>
    </w:lvl>
    <w:lvl w:ilvl="8" w:tplc="5762B838" w:tentative="1">
      <w:start w:val="1"/>
      <w:numFmt w:val="lowerRoman"/>
      <w:lvlText w:val="%9."/>
      <w:lvlJc w:val="right"/>
      <w:pPr>
        <w:tabs>
          <w:tab w:val="num" w:pos="6480"/>
        </w:tabs>
        <w:ind w:left="6480" w:hanging="180"/>
      </w:pPr>
    </w:lvl>
  </w:abstractNum>
  <w:abstractNum w:abstractNumId="26">
    <w:nsid w:val="66326A54"/>
    <w:multiLevelType w:val="hybridMultilevel"/>
    <w:tmpl w:val="6802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E7D21"/>
    <w:multiLevelType w:val="hybridMultilevel"/>
    <w:tmpl w:val="6D107690"/>
    <w:lvl w:ilvl="0" w:tplc="76A4F02C">
      <w:start w:val="8"/>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45051C"/>
    <w:multiLevelType w:val="hybridMultilevel"/>
    <w:tmpl w:val="B6AEC45C"/>
    <w:lvl w:ilvl="0" w:tplc="87BA6C8C">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F415E6"/>
    <w:multiLevelType w:val="hybridMultilevel"/>
    <w:tmpl w:val="B090E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26"/>
  </w:num>
  <w:num w:numId="5">
    <w:abstractNumId w:val="17"/>
  </w:num>
  <w:num w:numId="6">
    <w:abstractNumId w:val="14"/>
  </w:num>
  <w:num w:numId="7">
    <w:abstractNumId w:val="12"/>
  </w:num>
  <w:num w:numId="8">
    <w:abstractNumId w:val="9"/>
  </w:num>
  <w:num w:numId="9">
    <w:abstractNumId w:val="6"/>
  </w:num>
  <w:num w:numId="10">
    <w:abstractNumId w:val="3"/>
  </w:num>
  <w:num w:numId="11">
    <w:abstractNumId w:val="1"/>
  </w:num>
  <w:num w:numId="12">
    <w:abstractNumId w:val="23"/>
  </w:num>
  <w:num w:numId="13">
    <w:abstractNumId w:val="28"/>
  </w:num>
  <w:num w:numId="14">
    <w:abstractNumId w:val="2"/>
  </w:num>
  <w:num w:numId="15">
    <w:abstractNumId w:val="15"/>
  </w:num>
  <w:num w:numId="16">
    <w:abstractNumId w:val="10"/>
  </w:num>
  <w:num w:numId="17">
    <w:abstractNumId w:val="20"/>
  </w:num>
  <w:num w:numId="18">
    <w:abstractNumId w:val="4"/>
  </w:num>
  <w:num w:numId="19">
    <w:abstractNumId w:val="7"/>
  </w:num>
  <w:num w:numId="20">
    <w:abstractNumId w:val="22"/>
  </w:num>
  <w:num w:numId="21">
    <w:abstractNumId w:val="8"/>
  </w:num>
  <w:num w:numId="22">
    <w:abstractNumId w:val="29"/>
  </w:num>
  <w:num w:numId="23">
    <w:abstractNumId w:val="0"/>
  </w:num>
  <w:num w:numId="24">
    <w:abstractNumId w:val="16"/>
  </w:num>
  <w:num w:numId="25">
    <w:abstractNumId w:val="19"/>
  </w:num>
  <w:num w:numId="26">
    <w:abstractNumId w:val="24"/>
  </w:num>
  <w:num w:numId="27">
    <w:abstractNumId w:val="11"/>
  </w:num>
  <w:num w:numId="28">
    <w:abstractNumId w:val="21"/>
  </w:num>
  <w:num w:numId="29">
    <w:abstractNumId w:val="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affrfekaxre7eve5apfrz69tpz2vatpv9s&quot;&gt;MR&lt;record-ids&gt;&lt;item&gt;68028&lt;/item&gt;&lt;/record-ids&gt;&lt;/item&gt;&lt;/Libraries&gt;"/>
  </w:docVars>
  <w:rsids>
    <w:rsidRoot w:val="00B40D40"/>
    <w:rsid w:val="0000227A"/>
    <w:rsid w:val="00002CA3"/>
    <w:rsid w:val="00004227"/>
    <w:rsid w:val="000044D1"/>
    <w:rsid w:val="000060C7"/>
    <w:rsid w:val="00006829"/>
    <w:rsid w:val="00006CBF"/>
    <w:rsid w:val="000074DA"/>
    <w:rsid w:val="00007907"/>
    <w:rsid w:val="00007AD3"/>
    <w:rsid w:val="000106A5"/>
    <w:rsid w:val="00011875"/>
    <w:rsid w:val="0001189F"/>
    <w:rsid w:val="00012640"/>
    <w:rsid w:val="000129AE"/>
    <w:rsid w:val="00012D57"/>
    <w:rsid w:val="00014834"/>
    <w:rsid w:val="00014AB0"/>
    <w:rsid w:val="00015B34"/>
    <w:rsid w:val="00016758"/>
    <w:rsid w:val="0002016D"/>
    <w:rsid w:val="00020616"/>
    <w:rsid w:val="00020757"/>
    <w:rsid w:val="0002158E"/>
    <w:rsid w:val="000217AC"/>
    <w:rsid w:val="00021E05"/>
    <w:rsid w:val="00022009"/>
    <w:rsid w:val="00022080"/>
    <w:rsid w:val="000221F5"/>
    <w:rsid w:val="0002221A"/>
    <w:rsid w:val="000225A3"/>
    <w:rsid w:val="0002498A"/>
    <w:rsid w:val="00025284"/>
    <w:rsid w:val="000257C9"/>
    <w:rsid w:val="0002583F"/>
    <w:rsid w:val="00025EE4"/>
    <w:rsid w:val="000261B5"/>
    <w:rsid w:val="00026717"/>
    <w:rsid w:val="000267B4"/>
    <w:rsid w:val="00026C25"/>
    <w:rsid w:val="00026D07"/>
    <w:rsid w:val="000277D7"/>
    <w:rsid w:val="000304B1"/>
    <w:rsid w:val="00030CD9"/>
    <w:rsid w:val="00030F60"/>
    <w:rsid w:val="0003161B"/>
    <w:rsid w:val="000316F3"/>
    <w:rsid w:val="0003268D"/>
    <w:rsid w:val="00032F41"/>
    <w:rsid w:val="00033058"/>
    <w:rsid w:val="00033D60"/>
    <w:rsid w:val="00033F99"/>
    <w:rsid w:val="0003409A"/>
    <w:rsid w:val="00034C5E"/>
    <w:rsid w:val="00035BEC"/>
    <w:rsid w:val="00035E93"/>
    <w:rsid w:val="000373CD"/>
    <w:rsid w:val="00037E81"/>
    <w:rsid w:val="000402A0"/>
    <w:rsid w:val="0004103E"/>
    <w:rsid w:val="0004121F"/>
    <w:rsid w:val="00041556"/>
    <w:rsid w:val="00041801"/>
    <w:rsid w:val="00041EAF"/>
    <w:rsid w:val="00041FB8"/>
    <w:rsid w:val="00042094"/>
    <w:rsid w:val="000426E2"/>
    <w:rsid w:val="00042D3E"/>
    <w:rsid w:val="00043B3D"/>
    <w:rsid w:val="00044782"/>
    <w:rsid w:val="00044ECC"/>
    <w:rsid w:val="00044F07"/>
    <w:rsid w:val="000451DD"/>
    <w:rsid w:val="00045670"/>
    <w:rsid w:val="000468DD"/>
    <w:rsid w:val="00046ED9"/>
    <w:rsid w:val="000471A0"/>
    <w:rsid w:val="00047300"/>
    <w:rsid w:val="000476F2"/>
    <w:rsid w:val="00047835"/>
    <w:rsid w:val="0005061C"/>
    <w:rsid w:val="00050B08"/>
    <w:rsid w:val="00051EC3"/>
    <w:rsid w:val="000525E4"/>
    <w:rsid w:val="00053269"/>
    <w:rsid w:val="0005335E"/>
    <w:rsid w:val="0005374D"/>
    <w:rsid w:val="000537A3"/>
    <w:rsid w:val="00053B4E"/>
    <w:rsid w:val="00053C6C"/>
    <w:rsid w:val="00054F10"/>
    <w:rsid w:val="000554B8"/>
    <w:rsid w:val="00055646"/>
    <w:rsid w:val="000556E1"/>
    <w:rsid w:val="00055C93"/>
    <w:rsid w:val="00057877"/>
    <w:rsid w:val="0006077E"/>
    <w:rsid w:val="000607A3"/>
    <w:rsid w:val="00061799"/>
    <w:rsid w:val="00062008"/>
    <w:rsid w:val="00062384"/>
    <w:rsid w:val="000629C6"/>
    <w:rsid w:val="0006305B"/>
    <w:rsid w:val="00063EF2"/>
    <w:rsid w:val="00065E31"/>
    <w:rsid w:val="00065EC2"/>
    <w:rsid w:val="0006660E"/>
    <w:rsid w:val="00066730"/>
    <w:rsid w:val="0006673D"/>
    <w:rsid w:val="00066DC7"/>
    <w:rsid w:val="0006730B"/>
    <w:rsid w:val="00067852"/>
    <w:rsid w:val="00067A17"/>
    <w:rsid w:val="00067DEB"/>
    <w:rsid w:val="00067E5D"/>
    <w:rsid w:val="00067F2F"/>
    <w:rsid w:val="00070019"/>
    <w:rsid w:val="00070212"/>
    <w:rsid w:val="00070F82"/>
    <w:rsid w:val="000717E7"/>
    <w:rsid w:val="00071A0E"/>
    <w:rsid w:val="000723B1"/>
    <w:rsid w:val="000727D5"/>
    <w:rsid w:val="00072C70"/>
    <w:rsid w:val="00073A7A"/>
    <w:rsid w:val="00074A2C"/>
    <w:rsid w:val="00076BC8"/>
    <w:rsid w:val="0008002A"/>
    <w:rsid w:val="00080402"/>
    <w:rsid w:val="00080A37"/>
    <w:rsid w:val="00080DA8"/>
    <w:rsid w:val="000819DA"/>
    <w:rsid w:val="00081D44"/>
    <w:rsid w:val="000822CA"/>
    <w:rsid w:val="0008345E"/>
    <w:rsid w:val="00083E4C"/>
    <w:rsid w:val="00084219"/>
    <w:rsid w:val="00084696"/>
    <w:rsid w:val="00084A10"/>
    <w:rsid w:val="00085500"/>
    <w:rsid w:val="00085A6C"/>
    <w:rsid w:val="000862C6"/>
    <w:rsid w:val="00086DA8"/>
    <w:rsid w:val="0008783F"/>
    <w:rsid w:val="00087A5B"/>
    <w:rsid w:val="00087CF7"/>
    <w:rsid w:val="00090343"/>
    <w:rsid w:val="0009039D"/>
    <w:rsid w:val="00090615"/>
    <w:rsid w:val="000909F5"/>
    <w:rsid w:val="000912AA"/>
    <w:rsid w:val="0009158C"/>
    <w:rsid w:val="00091839"/>
    <w:rsid w:val="00091E30"/>
    <w:rsid w:val="0009248D"/>
    <w:rsid w:val="00092B51"/>
    <w:rsid w:val="000931EC"/>
    <w:rsid w:val="00093B10"/>
    <w:rsid w:val="00093BA1"/>
    <w:rsid w:val="00093CC4"/>
    <w:rsid w:val="00094CDE"/>
    <w:rsid w:val="00095DC2"/>
    <w:rsid w:val="00097B5F"/>
    <w:rsid w:val="000A0552"/>
    <w:rsid w:val="000A1087"/>
    <w:rsid w:val="000A1BCD"/>
    <w:rsid w:val="000A331D"/>
    <w:rsid w:val="000A37F1"/>
    <w:rsid w:val="000A3D69"/>
    <w:rsid w:val="000A5C88"/>
    <w:rsid w:val="000A5DB6"/>
    <w:rsid w:val="000A64F5"/>
    <w:rsid w:val="000A6A3B"/>
    <w:rsid w:val="000A6E3F"/>
    <w:rsid w:val="000A7A0D"/>
    <w:rsid w:val="000A7D40"/>
    <w:rsid w:val="000A7EAB"/>
    <w:rsid w:val="000B0287"/>
    <w:rsid w:val="000B0AAA"/>
    <w:rsid w:val="000B1148"/>
    <w:rsid w:val="000B3E77"/>
    <w:rsid w:val="000B41E0"/>
    <w:rsid w:val="000B4920"/>
    <w:rsid w:val="000B4D44"/>
    <w:rsid w:val="000B5DEF"/>
    <w:rsid w:val="000B668D"/>
    <w:rsid w:val="000B7BEF"/>
    <w:rsid w:val="000B7D61"/>
    <w:rsid w:val="000C051E"/>
    <w:rsid w:val="000C1626"/>
    <w:rsid w:val="000C18DF"/>
    <w:rsid w:val="000C1DCA"/>
    <w:rsid w:val="000C26FD"/>
    <w:rsid w:val="000C2E73"/>
    <w:rsid w:val="000C382D"/>
    <w:rsid w:val="000C3DCE"/>
    <w:rsid w:val="000C442B"/>
    <w:rsid w:val="000C4F5D"/>
    <w:rsid w:val="000C501C"/>
    <w:rsid w:val="000C50E8"/>
    <w:rsid w:val="000C5275"/>
    <w:rsid w:val="000C52FA"/>
    <w:rsid w:val="000C77E8"/>
    <w:rsid w:val="000D181A"/>
    <w:rsid w:val="000D357D"/>
    <w:rsid w:val="000D3976"/>
    <w:rsid w:val="000D44B4"/>
    <w:rsid w:val="000D4B1E"/>
    <w:rsid w:val="000D5AF1"/>
    <w:rsid w:val="000D5C16"/>
    <w:rsid w:val="000D7B66"/>
    <w:rsid w:val="000E0129"/>
    <w:rsid w:val="000E01A6"/>
    <w:rsid w:val="000E01AF"/>
    <w:rsid w:val="000E0213"/>
    <w:rsid w:val="000E02CF"/>
    <w:rsid w:val="000E0387"/>
    <w:rsid w:val="000E1533"/>
    <w:rsid w:val="000E1548"/>
    <w:rsid w:val="000E2148"/>
    <w:rsid w:val="000E2AB3"/>
    <w:rsid w:val="000E2FFC"/>
    <w:rsid w:val="000E30C9"/>
    <w:rsid w:val="000E3119"/>
    <w:rsid w:val="000E3BBF"/>
    <w:rsid w:val="000E40D0"/>
    <w:rsid w:val="000E4627"/>
    <w:rsid w:val="000E48C3"/>
    <w:rsid w:val="000E5931"/>
    <w:rsid w:val="000E5D1F"/>
    <w:rsid w:val="000E6861"/>
    <w:rsid w:val="000E7E1E"/>
    <w:rsid w:val="000E7FE2"/>
    <w:rsid w:val="000F0C6F"/>
    <w:rsid w:val="000F0DD1"/>
    <w:rsid w:val="000F1065"/>
    <w:rsid w:val="000F133D"/>
    <w:rsid w:val="000F2265"/>
    <w:rsid w:val="000F2686"/>
    <w:rsid w:val="000F2779"/>
    <w:rsid w:val="000F27E4"/>
    <w:rsid w:val="000F34FE"/>
    <w:rsid w:val="000F368E"/>
    <w:rsid w:val="000F3E27"/>
    <w:rsid w:val="000F410C"/>
    <w:rsid w:val="000F4392"/>
    <w:rsid w:val="000F4F4D"/>
    <w:rsid w:val="000F55A7"/>
    <w:rsid w:val="000F57AD"/>
    <w:rsid w:val="000F602F"/>
    <w:rsid w:val="000F6355"/>
    <w:rsid w:val="000F67B9"/>
    <w:rsid w:val="000F6F16"/>
    <w:rsid w:val="000F6F4F"/>
    <w:rsid w:val="000F702F"/>
    <w:rsid w:val="000F72A9"/>
    <w:rsid w:val="000F72C2"/>
    <w:rsid w:val="000F7F04"/>
    <w:rsid w:val="001007A8"/>
    <w:rsid w:val="001011E2"/>
    <w:rsid w:val="00101B22"/>
    <w:rsid w:val="00101D57"/>
    <w:rsid w:val="00101F3F"/>
    <w:rsid w:val="00101FB9"/>
    <w:rsid w:val="00105B49"/>
    <w:rsid w:val="00105CA0"/>
    <w:rsid w:val="0010732D"/>
    <w:rsid w:val="00111A17"/>
    <w:rsid w:val="00111BE4"/>
    <w:rsid w:val="0011253B"/>
    <w:rsid w:val="0011580B"/>
    <w:rsid w:val="0011664F"/>
    <w:rsid w:val="00117764"/>
    <w:rsid w:val="001200BD"/>
    <w:rsid w:val="00120138"/>
    <w:rsid w:val="00120E02"/>
    <w:rsid w:val="001210FC"/>
    <w:rsid w:val="00121276"/>
    <w:rsid w:val="00122A9F"/>
    <w:rsid w:val="00123F7D"/>
    <w:rsid w:val="00125BC3"/>
    <w:rsid w:val="00126E49"/>
    <w:rsid w:val="0012702A"/>
    <w:rsid w:val="001272F7"/>
    <w:rsid w:val="00130094"/>
    <w:rsid w:val="00130376"/>
    <w:rsid w:val="00130491"/>
    <w:rsid w:val="001310E0"/>
    <w:rsid w:val="001314EF"/>
    <w:rsid w:val="00132204"/>
    <w:rsid w:val="00132607"/>
    <w:rsid w:val="00132DB6"/>
    <w:rsid w:val="001338E0"/>
    <w:rsid w:val="00133CA2"/>
    <w:rsid w:val="001349CA"/>
    <w:rsid w:val="00135658"/>
    <w:rsid w:val="00136F03"/>
    <w:rsid w:val="001373DA"/>
    <w:rsid w:val="00140A3F"/>
    <w:rsid w:val="0014101F"/>
    <w:rsid w:val="0014149E"/>
    <w:rsid w:val="001428A1"/>
    <w:rsid w:val="00144D53"/>
    <w:rsid w:val="00145BAA"/>
    <w:rsid w:val="00145D20"/>
    <w:rsid w:val="00145F6E"/>
    <w:rsid w:val="00145F83"/>
    <w:rsid w:val="00146209"/>
    <w:rsid w:val="0014641A"/>
    <w:rsid w:val="00147416"/>
    <w:rsid w:val="00147456"/>
    <w:rsid w:val="00147670"/>
    <w:rsid w:val="00150CB3"/>
    <w:rsid w:val="00151A84"/>
    <w:rsid w:val="00152876"/>
    <w:rsid w:val="00152B31"/>
    <w:rsid w:val="001532AD"/>
    <w:rsid w:val="001536A6"/>
    <w:rsid w:val="00153DBB"/>
    <w:rsid w:val="00155ACB"/>
    <w:rsid w:val="00156298"/>
    <w:rsid w:val="001565B3"/>
    <w:rsid w:val="001572FD"/>
    <w:rsid w:val="00157373"/>
    <w:rsid w:val="00157496"/>
    <w:rsid w:val="00157B58"/>
    <w:rsid w:val="00160231"/>
    <w:rsid w:val="001604B4"/>
    <w:rsid w:val="001607EF"/>
    <w:rsid w:val="00161889"/>
    <w:rsid w:val="0016195C"/>
    <w:rsid w:val="00161CC6"/>
    <w:rsid w:val="0016219A"/>
    <w:rsid w:val="001622AF"/>
    <w:rsid w:val="00163A56"/>
    <w:rsid w:val="00164173"/>
    <w:rsid w:val="00164238"/>
    <w:rsid w:val="00164D19"/>
    <w:rsid w:val="00165238"/>
    <w:rsid w:val="00165562"/>
    <w:rsid w:val="001677B5"/>
    <w:rsid w:val="0016797C"/>
    <w:rsid w:val="00167BE0"/>
    <w:rsid w:val="00170BFE"/>
    <w:rsid w:val="00170F7C"/>
    <w:rsid w:val="00170FF1"/>
    <w:rsid w:val="001714EC"/>
    <w:rsid w:val="001715C6"/>
    <w:rsid w:val="00171BBB"/>
    <w:rsid w:val="00172EE3"/>
    <w:rsid w:val="00173C5D"/>
    <w:rsid w:val="00173D91"/>
    <w:rsid w:val="0017412D"/>
    <w:rsid w:val="00174493"/>
    <w:rsid w:val="001752A5"/>
    <w:rsid w:val="00175C3E"/>
    <w:rsid w:val="00175DAE"/>
    <w:rsid w:val="00176493"/>
    <w:rsid w:val="0017684F"/>
    <w:rsid w:val="00176D37"/>
    <w:rsid w:val="00177770"/>
    <w:rsid w:val="00177786"/>
    <w:rsid w:val="00180FA6"/>
    <w:rsid w:val="001817BC"/>
    <w:rsid w:val="00181D0A"/>
    <w:rsid w:val="00183280"/>
    <w:rsid w:val="0018427B"/>
    <w:rsid w:val="00184320"/>
    <w:rsid w:val="00184B28"/>
    <w:rsid w:val="0018557C"/>
    <w:rsid w:val="00185F95"/>
    <w:rsid w:val="00187A57"/>
    <w:rsid w:val="00187A9D"/>
    <w:rsid w:val="00190CF7"/>
    <w:rsid w:val="001915FE"/>
    <w:rsid w:val="00191FAD"/>
    <w:rsid w:val="0019269D"/>
    <w:rsid w:val="00192ECA"/>
    <w:rsid w:val="0019386D"/>
    <w:rsid w:val="001939E6"/>
    <w:rsid w:val="00193BE8"/>
    <w:rsid w:val="0019533F"/>
    <w:rsid w:val="00195654"/>
    <w:rsid w:val="00195BCA"/>
    <w:rsid w:val="001973F0"/>
    <w:rsid w:val="00197A0E"/>
    <w:rsid w:val="00197C7B"/>
    <w:rsid w:val="001A11A8"/>
    <w:rsid w:val="001A155C"/>
    <w:rsid w:val="001A18AB"/>
    <w:rsid w:val="001A2539"/>
    <w:rsid w:val="001A2BDC"/>
    <w:rsid w:val="001A3AA8"/>
    <w:rsid w:val="001A40C2"/>
    <w:rsid w:val="001A4325"/>
    <w:rsid w:val="001A4946"/>
    <w:rsid w:val="001A4F6E"/>
    <w:rsid w:val="001A52A7"/>
    <w:rsid w:val="001A5482"/>
    <w:rsid w:val="001A7165"/>
    <w:rsid w:val="001B0C04"/>
    <w:rsid w:val="001B13DB"/>
    <w:rsid w:val="001B1CA5"/>
    <w:rsid w:val="001B3C02"/>
    <w:rsid w:val="001B3E87"/>
    <w:rsid w:val="001B412E"/>
    <w:rsid w:val="001B41FF"/>
    <w:rsid w:val="001B4B93"/>
    <w:rsid w:val="001B5476"/>
    <w:rsid w:val="001B54B8"/>
    <w:rsid w:val="001B57AE"/>
    <w:rsid w:val="001B6900"/>
    <w:rsid w:val="001B697B"/>
    <w:rsid w:val="001B727B"/>
    <w:rsid w:val="001B7297"/>
    <w:rsid w:val="001B7709"/>
    <w:rsid w:val="001C0C39"/>
    <w:rsid w:val="001C2825"/>
    <w:rsid w:val="001C4568"/>
    <w:rsid w:val="001C4705"/>
    <w:rsid w:val="001C5C7C"/>
    <w:rsid w:val="001C6C7A"/>
    <w:rsid w:val="001C741E"/>
    <w:rsid w:val="001C7F5B"/>
    <w:rsid w:val="001D015E"/>
    <w:rsid w:val="001D0506"/>
    <w:rsid w:val="001D1586"/>
    <w:rsid w:val="001D1B32"/>
    <w:rsid w:val="001D1B39"/>
    <w:rsid w:val="001D334E"/>
    <w:rsid w:val="001D39F6"/>
    <w:rsid w:val="001D453F"/>
    <w:rsid w:val="001D4C2D"/>
    <w:rsid w:val="001D502D"/>
    <w:rsid w:val="001E0AAE"/>
    <w:rsid w:val="001E0ECF"/>
    <w:rsid w:val="001E19D6"/>
    <w:rsid w:val="001E44AD"/>
    <w:rsid w:val="001E49D3"/>
    <w:rsid w:val="001E60A6"/>
    <w:rsid w:val="001E64F2"/>
    <w:rsid w:val="001E6953"/>
    <w:rsid w:val="001E695B"/>
    <w:rsid w:val="001E7545"/>
    <w:rsid w:val="001E783B"/>
    <w:rsid w:val="001E7A45"/>
    <w:rsid w:val="001F1987"/>
    <w:rsid w:val="001F1ED1"/>
    <w:rsid w:val="001F4EC0"/>
    <w:rsid w:val="001F5BCC"/>
    <w:rsid w:val="001F5DE1"/>
    <w:rsid w:val="001F677D"/>
    <w:rsid w:val="001F6D94"/>
    <w:rsid w:val="001F7BD3"/>
    <w:rsid w:val="00200216"/>
    <w:rsid w:val="00200457"/>
    <w:rsid w:val="0020076D"/>
    <w:rsid w:val="00200911"/>
    <w:rsid w:val="002046F0"/>
    <w:rsid w:val="00206B90"/>
    <w:rsid w:val="00207009"/>
    <w:rsid w:val="00207BF9"/>
    <w:rsid w:val="00207BFC"/>
    <w:rsid w:val="002103C7"/>
    <w:rsid w:val="002103DD"/>
    <w:rsid w:val="002108D3"/>
    <w:rsid w:val="002109C7"/>
    <w:rsid w:val="002116D2"/>
    <w:rsid w:val="002126BB"/>
    <w:rsid w:val="0021290B"/>
    <w:rsid w:val="00212C54"/>
    <w:rsid w:val="00212C73"/>
    <w:rsid w:val="002133DC"/>
    <w:rsid w:val="00213D14"/>
    <w:rsid w:val="00214755"/>
    <w:rsid w:val="00214AFC"/>
    <w:rsid w:val="00214EF3"/>
    <w:rsid w:val="002152DF"/>
    <w:rsid w:val="0021593A"/>
    <w:rsid w:val="00215AB5"/>
    <w:rsid w:val="002165D8"/>
    <w:rsid w:val="002169E0"/>
    <w:rsid w:val="002200EF"/>
    <w:rsid w:val="00221884"/>
    <w:rsid w:val="00222628"/>
    <w:rsid w:val="00222725"/>
    <w:rsid w:val="00223213"/>
    <w:rsid w:val="0022398A"/>
    <w:rsid w:val="00223E05"/>
    <w:rsid w:val="0022413D"/>
    <w:rsid w:val="00224282"/>
    <w:rsid w:val="00225BD8"/>
    <w:rsid w:val="002260B7"/>
    <w:rsid w:val="002264C0"/>
    <w:rsid w:val="00226BE8"/>
    <w:rsid w:val="00226E90"/>
    <w:rsid w:val="00227441"/>
    <w:rsid w:val="002308F5"/>
    <w:rsid w:val="00231389"/>
    <w:rsid w:val="00232339"/>
    <w:rsid w:val="0023316D"/>
    <w:rsid w:val="00234DCD"/>
    <w:rsid w:val="0023655C"/>
    <w:rsid w:val="0023764C"/>
    <w:rsid w:val="00237F39"/>
    <w:rsid w:val="00240C86"/>
    <w:rsid w:val="002412F7"/>
    <w:rsid w:val="00241302"/>
    <w:rsid w:val="00241F8A"/>
    <w:rsid w:val="002422F2"/>
    <w:rsid w:val="00242743"/>
    <w:rsid w:val="0024318F"/>
    <w:rsid w:val="00244AA2"/>
    <w:rsid w:val="00245039"/>
    <w:rsid w:val="00245DF9"/>
    <w:rsid w:val="002467FA"/>
    <w:rsid w:val="002468C6"/>
    <w:rsid w:val="00247BFD"/>
    <w:rsid w:val="00247D49"/>
    <w:rsid w:val="00250E97"/>
    <w:rsid w:val="002511CC"/>
    <w:rsid w:val="00251308"/>
    <w:rsid w:val="00251A7C"/>
    <w:rsid w:val="00251D88"/>
    <w:rsid w:val="00251EFD"/>
    <w:rsid w:val="002529C2"/>
    <w:rsid w:val="0025311B"/>
    <w:rsid w:val="002534A8"/>
    <w:rsid w:val="00253DD3"/>
    <w:rsid w:val="00253F98"/>
    <w:rsid w:val="00253FD6"/>
    <w:rsid w:val="002540C6"/>
    <w:rsid w:val="002543A9"/>
    <w:rsid w:val="0025499C"/>
    <w:rsid w:val="00254A6A"/>
    <w:rsid w:val="002550D8"/>
    <w:rsid w:val="00255141"/>
    <w:rsid w:val="00255463"/>
    <w:rsid w:val="0025570E"/>
    <w:rsid w:val="00255CB3"/>
    <w:rsid w:val="00255FDC"/>
    <w:rsid w:val="00257A2E"/>
    <w:rsid w:val="00257C5A"/>
    <w:rsid w:val="002613A9"/>
    <w:rsid w:val="0026140E"/>
    <w:rsid w:val="00261E6E"/>
    <w:rsid w:val="00262A23"/>
    <w:rsid w:val="00262F22"/>
    <w:rsid w:val="00263967"/>
    <w:rsid w:val="002642FD"/>
    <w:rsid w:val="0026470D"/>
    <w:rsid w:val="00264AA0"/>
    <w:rsid w:val="00265702"/>
    <w:rsid w:val="0026618E"/>
    <w:rsid w:val="0026655B"/>
    <w:rsid w:val="002667CF"/>
    <w:rsid w:val="00266CDA"/>
    <w:rsid w:val="002705DC"/>
    <w:rsid w:val="002710B7"/>
    <w:rsid w:val="0027118C"/>
    <w:rsid w:val="002730D6"/>
    <w:rsid w:val="00273972"/>
    <w:rsid w:val="00274BD0"/>
    <w:rsid w:val="002751AF"/>
    <w:rsid w:val="0027527D"/>
    <w:rsid w:val="00275830"/>
    <w:rsid w:val="00275F11"/>
    <w:rsid w:val="00275FC1"/>
    <w:rsid w:val="00276E03"/>
    <w:rsid w:val="00280118"/>
    <w:rsid w:val="00280CF7"/>
    <w:rsid w:val="00281495"/>
    <w:rsid w:val="00281596"/>
    <w:rsid w:val="002818B7"/>
    <w:rsid w:val="00282721"/>
    <w:rsid w:val="0028273C"/>
    <w:rsid w:val="00282826"/>
    <w:rsid w:val="00283666"/>
    <w:rsid w:val="00283FAE"/>
    <w:rsid w:val="00284578"/>
    <w:rsid w:val="00285D5A"/>
    <w:rsid w:val="00286CFE"/>
    <w:rsid w:val="00286D0B"/>
    <w:rsid w:val="002879FA"/>
    <w:rsid w:val="00287A70"/>
    <w:rsid w:val="00287C1D"/>
    <w:rsid w:val="00287F35"/>
    <w:rsid w:val="00287F52"/>
    <w:rsid w:val="00290671"/>
    <w:rsid w:val="00290C08"/>
    <w:rsid w:val="00290CE0"/>
    <w:rsid w:val="00291227"/>
    <w:rsid w:val="00291D7D"/>
    <w:rsid w:val="00292EBD"/>
    <w:rsid w:val="00293013"/>
    <w:rsid w:val="0029382F"/>
    <w:rsid w:val="0029415C"/>
    <w:rsid w:val="002942B0"/>
    <w:rsid w:val="00294579"/>
    <w:rsid w:val="002949A5"/>
    <w:rsid w:val="002952A5"/>
    <w:rsid w:val="00295B18"/>
    <w:rsid w:val="00295C18"/>
    <w:rsid w:val="002965D6"/>
    <w:rsid w:val="0029661D"/>
    <w:rsid w:val="002968B4"/>
    <w:rsid w:val="00297CDE"/>
    <w:rsid w:val="002A252F"/>
    <w:rsid w:val="002A25FA"/>
    <w:rsid w:val="002A291D"/>
    <w:rsid w:val="002A2BE0"/>
    <w:rsid w:val="002A2E58"/>
    <w:rsid w:val="002A2F81"/>
    <w:rsid w:val="002A3E70"/>
    <w:rsid w:val="002A43B4"/>
    <w:rsid w:val="002A494B"/>
    <w:rsid w:val="002A4AE3"/>
    <w:rsid w:val="002A5538"/>
    <w:rsid w:val="002A68B4"/>
    <w:rsid w:val="002A6BF3"/>
    <w:rsid w:val="002A7E24"/>
    <w:rsid w:val="002B05D9"/>
    <w:rsid w:val="002B09B8"/>
    <w:rsid w:val="002B134A"/>
    <w:rsid w:val="002B1907"/>
    <w:rsid w:val="002B244E"/>
    <w:rsid w:val="002B2D3E"/>
    <w:rsid w:val="002B5C7E"/>
    <w:rsid w:val="002B62B3"/>
    <w:rsid w:val="002B669B"/>
    <w:rsid w:val="002B6701"/>
    <w:rsid w:val="002B676E"/>
    <w:rsid w:val="002B6A39"/>
    <w:rsid w:val="002B6C34"/>
    <w:rsid w:val="002B7732"/>
    <w:rsid w:val="002B7820"/>
    <w:rsid w:val="002C0476"/>
    <w:rsid w:val="002C1627"/>
    <w:rsid w:val="002C1C68"/>
    <w:rsid w:val="002C1EE1"/>
    <w:rsid w:val="002C28FB"/>
    <w:rsid w:val="002C2D10"/>
    <w:rsid w:val="002C3E24"/>
    <w:rsid w:val="002C45F7"/>
    <w:rsid w:val="002C540F"/>
    <w:rsid w:val="002C546A"/>
    <w:rsid w:val="002C5DBA"/>
    <w:rsid w:val="002C644D"/>
    <w:rsid w:val="002C6809"/>
    <w:rsid w:val="002C6BCE"/>
    <w:rsid w:val="002C743B"/>
    <w:rsid w:val="002C7D87"/>
    <w:rsid w:val="002D0374"/>
    <w:rsid w:val="002D076A"/>
    <w:rsid w:val="002D07AC"/>
    <w:rsid w:val="002D0EA8"/>
    <w:rsid w:val="002D119D"/>
    <w:rsid w:val="002D1BDD"/>
    <w:rsid w:val="002D2EEA"/>
    <w:rsid w:val="002D3316"/>
    <w:rsid w:val="002D4091"/>
    <w:rsid w:val="002D45CC"/>
    <w:rsid w:val="002D4D0C"/>
    <w:rsid w:val="002D57F1"/>
    <w:rsid w:val="002D6133"/>
    <w:rsid w:val="002E0359"/>
    <w:rsid w:val="002E066C"/>
    <w:rsid w:val="002E19D0"/>
    <w:rsid w:val="002E1A66"/>
    <w:rsid w:val="002E1E80"/>
    <w:rsid w:val="002E2943"/>
    <w:rsid w:val="002E3B4B"/>
    <w:rsid w:val="002E3FE1"/>
    <w:rsid w:val="002E4F08"/>
    <w:rsid w:val="002E50D0"/>
    <w:rsid w:val="002E56C1"/>
    <w:rsid w:val="002E5869"/>
    <w:rsid w:val="002E741B"/>
    <w:rsid w:val="002F0571"/>
    <w:rsid w:val="002F077D"/>
    <w:rsid w:val="002F097B"/>
    <w:rsid w:val="002F0FA2"/>
    <w:rsid w:val="002F1EBF"/>
    <w:rsid w:val="002F33F2"/>
    <w:rsid w:val="002F3425"/>
    <w:rsid w:val="002F452D"/>
    <w:rsid w:val="002F46E9"/>
    <w:rsid w:val="002F47B5"/>
    <w:rsid w:val="002F51E6"/>
    <w:rsid w:val="002F5258"/>
    <w:rsid w:val="002F5ABD"/>
    <w:rsid w:val="002F5C79"/>
    <w:rsid w:val="002F6220"/>
    <w:rsid w:val="002F6665"/>
    <w:rsid w:val="002F6D19"/>
    <w:rsid w:val="002F7A19"/>
    <w:rsid w:val="003011DB"/>
    <w:rsid w:val="00301851"/>
    <w:rsid w:val="003020CE"/>
    <w:rsid w:val="00303307"/>
    <w:rsid w:val="00305445"/>
    <w:rsid w:val="003056FF"/>
    <w:rsid w:val="0030669B"/>
    <w:rsid w:val="003066E3"/>
    <w:rsid w:val="0030696D"/>
    <w:rsid w:val="00306C6F"/>
    <w:rsid w:val="00307360"/>
    <w:rsid w:val="00307367"/>
    <w:rsid w:val="00307730"/>
    <w:rsid w:val="00310DB4"/>
    <w:rsid w:val="003117A5"/>
    <w:rsid w:val="00311E52"/>
    <w:rsid w:val="00312245"/>
    <w:rsid w:val="00314B1C"/>
    <w:rsid w:val="00315552"/>
    <w:rsid w:val="003165BD"/>
    <w:rsid w:val="00316638"/>
    <w:rsid w:val="00316757"/>
    <w:rsid w:val="00320255"/>
    <w:rsid w:val="0032037D"/>
    <w:rsid w:val="003203FD"/>
    <w:rsid w:val="00320CE0"/>
    <w:rsid w:val="003216BD"/>
    <w:rsid w:val="00321794"/>
    <w:rsid w:val="003217D9"/>
    <w:rsid w:val="003250E5"/>
    <w:rsid w:val="00325907"/>
    <w:rsid w:val="00325C83"/>
    <w:rsid w:val="00326E30"/>
    <w:rsid w:val="003273DB"/>
    <w:rsid w:val="0033068F"/>
    <w:rsid w:val="003328CD"/>
    <w:rsid w:val="00332ED6"/>
    <w:rsid w:val="003334EF"/>
    <w:rsid w:val="003341F4"/>
    <w:rsid w:val="00334E99"/>
    <w:rsid w:val="00335554"/>
    <w:rsid w:val="00336EB3"/>
    <w:rsid w:val="003378D0"/>
    <w:rsid w:val="00337E04"/>
    <w:rsid w:val="00340704"/>
    <w:rsid w:val="00340AF8"/>
    <w:rsid w:val="00340D6E"/>
    <w:rsid w:val="00341C45"/>
    <w:rsid w:val="00341CB0"/>
    <w:rsid w:val="00342B1D"/>
    <w:rsid w:val="00342CDA"/>
    <w:rsid w:val="00342CE5"/>
    <w:rsid w:val="0034304E"/>
    <w:rsid w:val="003432A4"/>
    <w:rsid w:val="003433B9"/>
    <w:rsid w:val="00343874"/>
    <w:rsid w:val="00343AE9"/>
    <w:rsid w:val="00343DF5"/>
    <w:rsid w:val="00343F20"/>
    <w:rsid w:val="00344572"/>
    <w:rsid w:val="003448B6"/>
    <w:rsid w:val="00345374"/>
    <w:rsid w:val="0034705C"/>
    <w:rsid w:val="00347F24"/>
    <w:rsid w:val="003504D6"/>
    <w:rsid w:val="003514E8"/>
    <w:rsid w:val="0035164D"/>
    <w:rsid w:val="003519F7"/>
    <w:rsid w:val="00351DB2"/>
    <w:rsid w:val="003523E4"/>
    <w:rsid w:val="00352C0C"/>
    <w:rsid w:val="00353358"/>
    <w:rsid w:val="00353E77"/>
    <w:rsid w:val="003540B9"/>
    <w:rsid w:val="0035452B"/>
    <w:rsid w:val="003547F3"/>
    <w:rsid w:val="00354A59"/>
    <w:rsid w:val="00354C49"/>
    <w:rsid w:val="003552DF"/>
    <w:rsid w:val="00355446"/>
    <w:rsid w:val="00355743"/>
    <w:rsid w:val="00355746"/>
    <w:rsid w:val="00355C54"/>
    <w:rsid w:val="00356AE8"/>
    <w:rsid w:val="00360973"/>
    <w:rsid w:val="00360B89"/>
    <w:rsid w:val="00360F37"/>
    <w:rsid w:val="00361BD8"/>
    <w:rsid w:val="00362583"/>
    <w:rsid w:val="0036383D"/>
    <w:rsid w:val="00364133"/>
    <w:rsid w:val="003643ED"/>
    <w:rsid w:val="00364D8A"/>
    <w:rsid w:val="00364E8B"/>
    <w:rsid w:val="00365AA8"/>
    <w:rsid w:val="00365CB2"/>
    <w:rsid w:val="00366210"/>
    <w:rsid w:val="00366384"/>
    <w:rsid w:val="00366938"/>
    <w:rsid w:val="0036761C"/>
    <w:rsid w:val="003676A1"/>
    <w:rsid w:val="00367D7B"/>
    <w:rsid w:val="00367EBF"/>
    <w:rsid w:val="00370800"/>
    <w:rsid w:val="003708E5"/>
    <w:rsid w:val="00371A94"/>
    <w:rsid w:val="00373081"/>
    <w:rsid w:val="00373F1A"/>
    <w:rsid w:val="00374FDC"/>
    <w:rsid w:val="00375200"/>
    <w:rsid w:val="00375C27"/>
    <w:rsid w:val="003808CC"/>
    <w:rsid w:val="00380BE2"/>
    <w:rsid w:val="00381559"/>
    <w:rsid w:val="003815C3"/>
    <w:rsid w:val="00382A7F"/>
    <w:rsid w:val="00383143"/>
    <w:rsid w:val="00383AB2"/>
    <w:rsid w:val="00383B18"/>
    <w:rsid w:val="00383F1C"/>
    <w:rsid w:val="00384229"/>
    <w:rsid w:val="00385176"/>
    <w:rsid w:val="00391796"/>
    <w:rsid w:val="00391AD7"/>
    <w:rsid w:val="00392DA0"/>
    <w:rsid w:val="003930E4"/>
    <w:rsid w:val="003935C8"/>
    <w:rsid w:val="00393C06"/>
    <w:rsid w:val="00394491"/>
    <w:rsid w:val="0039478E"/>
    <w:rsid w:val="00394D3D"/>
    <w:rsid w:val="00394DAD"/>
    <w:rsid w:val="00395056"/>
    <w:rsid w:val="003956C6"/>
    <w:rsid w:val="00395722"/>
    <w:rsid w:val="00396994"/>
    <w:rsid w:val="00396EC9"/>
    <w:rsid w:val="00397306"/>
    <w:rsid w:val="003977DB"/>
    <w:rsid w:val="00397CD6"/>
    <w:rsid w:val="00397DEE"/>
    <w:rsid w:val="003A085C"/>
    <w:rsid w:val="003A0D65"/>
    <w:rsid w:val="003A0E8F"/>
    <w:rsid w:val="003A1E9C"/>
    <w:rsid w:val="003A23E6"/>
    <w:rsid w:val="003A2CC7"/>
    <w:rsid w:val="003A30BB"/>
    <w:rsid w:val="003A403B"/>
    <w:rsid w:val="003A45CD"/>
    <w:rsid w:val="003A4E65"/>
    <w:rsid w:val="003A4E93"/>
    <w:rsid w:val="003A61DA"/>
    <w:rsid w:val="003A6E56"/>
    <w:rsid w:val="003A6FB7"/>
    <w:rsid w:val="003A72EC"/>
    <w:rsid w:val="003A74DC"/>
    <w:rsid w:val="003A7E48"/>
    <w:rsid w:val="003B05AE"/>
    <w:rsid w:val="003B0CCD"/>
    <w:rsid w:val="003B1719"/>
    <w:rsid w:val="003B1A62"/>
    <w:rsid w:val="003B1B46"/>
    <w:rsid w:val="003B26DF"/>
    <w:rsid w:val="003B26E9"/>
    <w:rsid w:val="003B3B1A"/>
    <w:rsid w:val="003B3B55"/>
    <w:rsid w:val="003B3B79"/>
    <w:rsid w:val="003B403D"/>
    <w:rsid w:val="003B4246"/>
    <w:rsid w:val="003B46CB"/>
    <w:rsid w:val="003B47A5"/>
    <w:rsid w:val="003B4FAF"/>
    <w:rsid w:val="003B5D62"/>
    <w:rsid w:val="003B6DD0"/>
    <w:rsid w:val="003B75B4"/>
    <w:rsid w:val="003B7F37"/>
    <w:rsid w:val="003C1ACD"/>
    <w:rsid w:val="003C1CAE"/>
    <w:rsid w:val="003C2DBF"/>
    <w:rsid w:val="003C3A60"/>
    <w:rsid w:val="003C4370"/>
    <w:rsid w:val="003C4937"/>
    <w:rsid w:val="003C4ABC"/>
    <w:rsid w:val="003C60E0"/>
    <w:rsid w:val="003C6145"/>
    <w:rsid w:val="003C638D"/>
    <w:rsid w:val="003C6C59"/>
    <w:rsid w:val="003C758D"/>
    <w:rsid w:val="003C75B1"/>
    <w:rsid w:val="003C77FA"/>
    <w:rsid w:val="003D0ABD"/>
    <w:rsid w:val="003D1180"/>
    <w:rsid w:val="003D11DB"/>
    <w:rsid w:val="003D1281"/>
    <w:rsid w:val="003D1288"/>
    <w:rsid w:val="003D2A99"/>
    <w:rsid w:val="003D2CC5"/>
    <w:rsid w:val="003D2E0E"/>
    <w:rsid w:val="003D30B0"/>
    <w:rsid w:val="003D317F"/>
    <w:rsid w:val="003D33D0"/>
    <w:rsid w:val="003D37E4"/>
    <w:rsid w:val="003D3A8C"/>
    <w:rsid w:val="003D3BC0"/>
    <w:rsid w:val="003D3D78"/>
    <w:rsid w:val="003D4B7C"/>
    <w:rsid w:val="003D5046"/>
    <w:rsid w:val="003D5856"/>
    <w:rsid w:val="003D5FBF"/>
    <w:rsid w:val="003D6F65"/>
    <w:rsid w:val="003E0076"/>
    <w:rsid w:val="003E0516"/>
    <w:rsid w:val="003E0928"/>
    <w:rsid w:val="003E1337"/>
    <w:rsid w:val="003E167D"/>
    <w:rsid w:val="003E18F1"/>
    <w:rsid w:val="003E1C3D"/>
    <w:rsid w:val="003E2134"/>
    <w:rsid w:val="003E2A0F"/>
    <w:rsid w:val="003E375F"/>
    <w:rsid w:val="003E37F4"/>
    <w:rsid w:val="003E41A6"/>
    <w:rsid w:val="003E4BAD"/>
    <w:rsid w:val="003E4E2B"/>
    <w:rsid w:val="003E4F70"/>
    <w:rsid w:val="003F089D"/>
    <w:rsid w:val="003F0B35"/>
    <w:rsid w:val="003F0EFF"/>
    <w:rsid w:val="003F1381"/>
    <w:rsid w:val="003F19E0"/>
    <w:rsid w:val="003F315A"/>
    <w:rsid w:val="003F315B"/>
    <w:rsid w:val="003F3610"/>
    <w:rsid w:val="003F4E52"/>
    <w:rsid w:val="003F5119"/>
    <w:rsid w:val="003F62C1"/>
    <w:rsid w:val="003F65D4"/>
    <w:rsid w:val="003F7691"/>
    <w:rsid w:val="00400DDA"/>
    <w:rsid w:val="004029AF"/>
    <w:rsid w:val="00402B27"/>
    <w:rsid w:val="00402C4B"/>
    <w:rsid w:val="00402CB7"/>
    <w:rsid w:val="00403861"/>
    <w:rsid w:val="00404302"/>
    <w:rsid w:val="00404928"/>
    <w:rsid w:val="00405ECC"/>
    <w:rsid w:val="004061F4"/>
    <w:rsid w:val="004064EB"/>
    <w:rsid w:val="00407B89"/>
    <w:rsid w:val="004101C9"/>
    <w:rsid w:val="0041114D"/>
    <w:rsid w:val="004126D3"/>
    <w:rsid w:val="00414F45"/>
    <w:rsid w:val="0041595A"/>
    <w:rsid w:val="0041610C"/>
    <w:rsid w:val="004161FC"/>
    <w:rsid w:val="00416599"/>
    <w:rsid w:val="004169ED"/>
    <w:rsid w:val="00416D6B"/>
    <w:rsid w:val="004202D9"/>
    <w:rsid w:val="00420325"/>
    <w:rsid w:val="0042053F"/>
    <w:rsid w:val="00420AD7"/>
    <w:rsid w:val="00420EF4"/>
    <w:rsid w:val="00421D05"/>
    <w:rsid w:val="00423CF0"/>
    <w:rsid w:val="00423DD1"/>
    <w:rsid w:val="0042445D"/>
    <w:rsid w:val="00424D72"/>
    <w:rsid w:val="00425E02"/>
    <w:rsid w:val="0042639C"/>
    <w:rsid w:val="00426C41"/>
    <w:rsid w:val="00430151"/>
    <w:rsid w:val="0043106F"/>
    <w:rsid w:val="0043155B"/>
    <w:rsid w:val="0043239B"/>
    <w:rsid w:val="00432960"/>
    <w:rsid w:val="00432DDD"/>
    <w:rsid w:val="004336FF"/>
    <w:rsid w:val="00433F88"/>
    <w:rsid w:val="0043590D"/>
    <w:rsid w:val="00435C0A"/>
    <w:rsid w:val="00436096"/>
    <w:rsid w:val="004363BB"/>
    <w:rsid w:val="004363D2"/>
    <w:rsid w:val="0043748D"/>
    <w:rsid w:val="00437541"/>
    <w:rsid w:val="00437653"/>
    <w:rsid w:val="0044071B"/>
    <w:rsid w:val="00442ECF"/>
    <w:rsid w:val="0044389B"/>
    <w:rsid w:val="00443F04"/>
    <w:rsid w:val="004447B6"/>
    <w:rsid w:val="0044490C"/>
    <w:rsid w:val="00444E1D"/>
    <w:rsid w:val="004471D5"/>
    <w:rsid w:val="00447BB7"/>
    <w:rsid w:val="0045019A"/>
    <w:rsid w:val="004501BF"/>
    <w:rsid w:val="004514D9"/>
    <w:rsid w:val="004535D2"/>
    <w:rsid w:val="00454682"/>
    <w:rsid w:val="00454F3D"/>
    <w:rsid w:val="00455BF6"/>
    <w:rsid w:val="00456219"/>
    <w:rsid w:val="004564D4"/>
    <w:rsid w:val="004568C7"/>
    <w:rsid w:val="004573CF"/>
    <w:rsid w:val="00460383"/>
    <w:rsid w:val="004603EE"/>
    <w:rsid w:val="00460AAC"/>
    <w:rsid w:val="0046177D"/>
    <w:rsid w:val="00461F3B"/>
    <w:rsid w:val="00461F91"/>
    <w:rsid w:val="00462340"/>
    <w:rsid w:val="00462D0C"/>
    <w:rsid w:val="00463EB4"/>
    <w:rsid w:val="00464762"/>
    <w:rsid w:val="00464BA5"/>
    <w:rsid w:val="004652EC"/>
    <w:rsid w:val="004664C0"/>
    <w:rsid w:val="00470890"/>
    <w:rsid w:val="004709A7"/>
    <w:rsid w:val="004726D8"/>
    <w:rsid w:val="004735CD"/>
    <w:rsid w:val="004767A2"/>
    <w:rsid w:val="00476B2E"/>
    <w:rsid w:val="00476E48"/>
    <w:rsid w:val="00477522"/>
    <w:rsid w:val="00477BB9"/>
    <w:rsid w:val="00480B64"/>
    <w:rsid w:val="0048136C"/>
    <w:rsid w:val="00481DD3"/>
    <w:rsid w:val="00482235"/>
    <w:rsid w:val="0048278D"/>
    <w:rsid w:val="0048300F"/>
    <w:rsid w:val="00483502"/>
    <w:rsid w:val="00483709"/>
    <w:rsid w:val="00483D9C"/>
    <w:rsid w:val="00484C9A"/>
    <w:rsid w:val="004858BE"/>
    <w:rsid w:val="0048610C"/>
    <w:rsid w:val="00486519"/>
    <w:rsid w:val="004867CA"/>
    <w:rsid w:val="0048709D"/>
    <w:rsid w:val="00490921"/>
    <w:rsid w:val="00491548"/>
    <w:rsid w:val="004915FF"/>
    <w:rsid w:val="004916BE"/>
    <w:rsid w:val="00491C30"/>
    <w:rsid w:val="00491E26"/>
    <w:rsid w:val="00494398"/>
    <w:rsid w:val="00494A2A"/>
    <w:rsid w:val="00495A30"/>
    <w:rsid w:val="00495E69"/>
    <w:rsid w:val="004963F6"/>
    <w:rsid w:val="00496A22"/>
    <w:rsid w:val="00497989"/>
    <w:rsid w:val="004A0248"/>
    <w:rsid w:val="004A0813"/>
    <w:rsid w:val="004A122C"/>
    <w:rsid w:val="004A30A0"/>
    <w:rsid w:val="004A3811"/>
    <w:rsid w:val="004A3A0A"/>
    <w:rsid w:val="004A5E88"/>
    <w:rsid w:val="004A62FF"/>
    <w:rsid w:val="004A656A"/>
    <w:rsid w:val="004A6973"/>
    <w:rsid w:val="004A7325"/>
    <w:rsid w:val="004A75EA"/>
    <w:rsid w:val="004B1285"/>
    <w:rsid w:val="004B2309"/>
    <w:rsid w:val="004B4E85"/>
    <w:rsid w:val="004B5C55"/>
    <w:rsid w:val="004B6DA9"/>
    <w:rsid w:val="004B7637"/>
    <w:rsid w:val="004B78D1"/>
    <w:rsid w:val="004C0D14"/>
    <w:rsid w:val="004C13DC"/>
    <w:rsid w:val="004C27B4"/>
    <w:rsid w:val="004C2A7A"/>
    <w:rsid w:val="004C2EC5"/>
    <w:rsid w:val="004C3184"/>
    <w:rsid w:val="004C3620"/>
    <w:rsid w:val="004C3898"/>
    <w:rsid w:val="004C4280"/>
    <w:rsid w:val="004C4AD9"/>
    <w:rsid w:val="004C5A10"/>
    <w:rsid w:val="004C5C59"/>
    <w:rsid w:val="004C5D84"/>
    <w:rsid w:val="004C73D5"/>
    <w:rsid w:val="004C7741"/>
    <w:rsid w:val="004D0987"/>
    <w:rsid w:val="004D1380"/>
    <w:rsid w:val="004D1744"/>
    <w:rsid w:val="004D2343"/>
    <w:rsid w:val="004D257C"/>
    <w:rsid w:val="004D3DBF"/>
    <w:rsid w:val="004D40CA"/>
    <w:rsid w:val="004D54FA"/>
    <w:rsid w:val="004D5FAB"/>
    <w:rsid w:val="004D64B1"/>
    <w:rsid w:val="004D7A05"/>
    <w:rsid w:val="004D7ECC"/>
    <w:rsid w:val="004E0917"/>
    <w:rsid w:val="004E12DC"/>
    <w:rsid w:val="004E15EB"/>
    <w:rsid w:val="004E20BD"/>
    <w:rsid w:val="004E2284"/>
    <w:rsid w:val="004E2781"/>
    <w:rsid w:val="004E29C7"/>
    <w:rsid w:val="004E2BDC"/>
    <w:rsid w:val="004E2E7C"/>
    <w:rsid w:val="004E3636"/>
    <w:rsid w:val="004E57C6"/>
    <w:rsid w:val="004E583D"/>
    <w:rsid w:val="004E5FF3"/>
    <w:rsid w:val="004E74FC"/>
    <w:rsid w:val="004E776A"/>
    <w:rsid w:val="004E7B48"/>
    <w:rsid w:val="004E7E8B"/>
    <w:rsid w:val="004F06B4"/>
    <w:rsid w:val="004F0B9E"/>
    <w:rsid w:val="004F1397"/>
    <w:rsid w:val="004F1974"/>
    <w:rsid w:val="004F2B94"/>
    <w:rsid w:val="004F3F0A"/>
    <w:rsid w:val="004F4F77"/>
    <w:rsid w:val="004F5B61"/>
    <w:rsid w:val="004F5C90"/>
    <w:rsid w:val="004F70C7"/>
    <w:rsid w:val="004F7BCB"/>
    <w:rsid w:val="00500482"/>
    <w:rsid w:val="00500BE1"/>
    <w:rsid w:val="0050104A"/>
    <w:rsid w:val="005013E3"/>
    <w:rsid w:val="005016F5"/>
    <w:rsid w:val="005023CD"/>
    <w:rsid w:val="005030D1"/>
    <w:rsid w:val="005039A8"/>
    <w:rsid w:val="00504255"/>
    <w:rsid w:val="00504A05"/>
    <w:rsid w:val="005051EF"/>
    <w:rsid w:val="0050548A"/>
    <w:rsid w:val="0050568D"/>
    <w:rsid w:val="00505748"/>
    <w:rsid w:val="005060AD"/>
    <w:rsid w:val="0050627F"/>
    <w:rsid w:val="00506589"/>
    <w:rsid w:val="005067B9"/>
    <w:rsid w:val="00506996"/>
    <w:rsid w:val="00506E56"/>
    <w:rsid w:val="00506F24"/>
    <w:rsid w:val="00507438"/>
    <w:rsid w:val="005100D5"/>
    <w:rsid w:val="005108DA"/>
    <w:rsid w:val="005109B5"/>
    <w:rsid w:val="005112B0"/>
    <w:rsid w:val="005114A8"/>
    <w:rsid w:val="005115AD"/>
    <w:rsid w:val="00512FAA"/>
    <w:rsid w:val="005132DA"/>
    <w:rsid w:val="00513669"/>
    <w:rsid w:val="0051518D"/>
    <w:rsid w:val="005151C5"/>
    <w:rsid w:val="00515549"/>
    <w:rsid w:val="00515B13"/>
    <w:rsid w:val="00516DC1"/>
    <w:rsid w:val="00517CB7"/>
    <w:rsid w:val="0052054A"/>
    <w:rsid w:val="00521AFF"/>
    <w:rsid w:val="00521BFC"/>
    <w:rsid w:val="00521D15"/>
    <w:rsid w:val="00522716"/>
    <w:rsid w:val="00522FF2"/>
    <w:rsid w:val="00523B90"/>
    <w:rsid w:val="0052502F"/>
    <w:rsid w:val="00526E80"/>
    <w:rsid w:val="005275CF"/>
    <w:rsid w:val="00530CA5"/>
    <w:rsid w:val="00530D92"/>
    <w:rsid w:val="00531321"/>
    <w:rsid w:val="005319B2"/>
    <w:rsid w:val="00532243"/>
    <w:rsid w:val="00532FAB"/>
    <w:rsid w:val="00533723"/>
    <w:rsid w:val="0053474F"/>
    <w:rsid w:val="005350F6"/>
    <w:rsid w:val="005351E8"/>
    <w:rsid w:val="00535380"/>
    <w:rsid w:val="00535E14"/>
    <w:rsid w:val="005374C2"/>
    <w:rsid w:val="00537C2B"/>
    <w:rsid w:val="0054095E"/>
    <w:rsid w:val="00541232"/>
    <w:rsid w:val="005415C0"/>
    <w:rsid w:val="00542A56"/>
    <w:rsid w:val="0054357E"/>
    <w:rsid w:val="00543C8E"/>
    <w:rsid w:val="00544983"/>
    <w:rsid w:val="0054504A"/>
    <w:rsid w:val="00545839"/>
    <w:rsid w:val="00545DE6"/>
    <w:rsid w:val="005463F2"/>
    <w:rsid w:val="00546BC1"/>
    <w:rsid w:val="00546FF8"/>
    <w:rsid w:val="005470B7"/>
    <w:rsid w:val="00547103"/>
    <w:rsid w:val="005471B4"/>
    <w:rsid w:val="005471FF"/>
    <w:rsid w:val="005518FA"/>
    <w:rsid w:val="00551E29"/>
    <w:rsid w:val="00552656"/>
    <w:rsid w:val="00552AE6"/>
    <w:rsid w:val="00552C4B"/>
    <w:rsid w:val="00553337"/>
    <w:rsid w:val="00553341"/>
    <w:rsid w:val="00554348"/>
    <w:rsid w:val="00554844"/>
    <w:rsid w:val="0055580B"/>
    <w:rsid w:val="005558C0"/>
    <w:rsid w:val="00556891"/>
    <w:rsid w:val="00557461"/>
    <w:rsid w:val="0055795E"/>
    <w:rsid w:val="0056004C"/>
    <w:rsid w:val="00560D98"/>
    <w:rsid w:val="00560F22"/>
    <w:rsid w:val="00560F5B"/>
    <w:rsid w:val="00562088"/>
    <w:rsid w:val="005624E0"/>
    <w:rsid w:val="0056284A"/>
    <w:rsid w:val="0056305C"/>
    <w:rsid w:val="0056318A"/>
    <w:rsid w:val="005631CA"/>
    <w:rsid w:val="00563F38"/>
    <w:rsid w:val="00564273"/>
    <w:rsid w:val="005644FD"/>
    <w:rsid w:val="005648D0"/>
    <w:rsid w:val="005649C0"/>
    <w:rsid w:val="00564C59"/>
    <w:rsid w:val="00564F0D"/>
    <w:rsid w:val="00566B62"/>
    <w:rsid w:val="00566C62"/>
    <w:rsid w:val="00566DC1"/>
    <w:rsid w:val="005671BD"/>
    <w:rsid w:val="00571046"/>
    <w:rsid w:val="00571927"/>
    <w:rsid w:val="00571D1A"/>
    <w:rsid w:val="0057348D"/>
    <w:rsid w:val="00573FDD"/>
    <w:rsid w:val="00574CE4"/>
    <w:rsid w:val="005760A4"/>
    <w:rsid w:val="0057617F"/>
    <w:rsid w:val="00576C09"/>
    <w:rsid w:val="00576DB8"/>
    <w:rsid w:val="00577392"/>
    <w:rsid w:val="00577624"/>
    <w:rsid w:val="00577BB0"/>
    <w:rsid w:val="005801DC"/>
    <w:rsid w:val="0058102B"/>
    <w:rsid w:val="00581312"/>
    <w:rsid w:val="00582574"/>
    <w:rsid w:val="005828DE"/>
    <w:rsid w:val="00582D01"/>
    <w:rsid w:val="005832ED"/>
    <w:rsid w:val="00584390"/>
    <w:rsid w:val="00584846"/>
    <w:rsid w:val="00584AB8"/>
    <w:rsid w:val="00584F13"/>
    <w:rsid w:val="00585426"/>
    <w:rsid w:val="0058662D"/>
    <w:rsid w:val="00587913"/>
    <w:rsid w:val="00587CA3"/>
    <w:rsid w:val="0059021D"/>
    <w:rsid w:val="00590E2C"/>
    <w:rsid w:val="00591114"/>
    <w:rsid w:val="00591AAF"/>
    <w:rsid w:val="00591B9F"/>
    <w:rsid w:val="0059202B"/>
    <w:rsid w:val="0059237D"/>
    <w:rsid w:val="0059306D"/>
    <w:rsid w:val="00593E4A"/>
    <w:rsid w:val="00593EA1"/>
    <w:rsid w:val="00594235"/>
    <w:rsid w:val="0059516C"/>
    <w:rsid w:val="00595E52"/>
    <w:rsid w:val="005962A6"/>
    <w:rsid w:val="005964E0"/>
    <w:rsid w:val="00597498"/>
    <w:rsid w:val="005A04A5"/>
    <w:rsid w:val="005A0C09"/>
    <w:rsid w:val="005A136C"/>
    <w:rsid w:val="005A1407"/>
    <w:rsid w:val="005A15AD"/>
    <w:rsid w:val="005A22E3"/>
    <w:rsid w:val="005A25BB"/>
    <w:rsid w:val="005A2791"/>
    <w:rsid w:val="005A32FB"/>
    <w:rsid w:val="005A337B"/>
    <w:rsid w:val="005A3B08"/>
    <w:rsid w:val="005A3F6B"/>
    <w:rsid w:val="005A4B77"/>
    <w:rsid w:val="005A4EE4"/>
    <w:rsid w:val="005A4FF2"/>
    <w:rsid w:val="005A65DA"/>
    <w:rsid w:val="005A6D04"/>
    <w:rsid w:val="005A7C81"/>
    <w:rsid w:val="005A7ECD"/>
    <w:rsid w:val="005A7FF3"/>
    <w:rsid w:val="005B0A08"/>
    <w:rsid w:val="005B0ECE"/>
    <w:rsid w:val="005B143C"/>
    <w:rsid w:val="005B2B9D"/>
    <w:rsid w:val="005B45ED"/>
    <w:rsid w:val="005B4642"/>
    <w:rsid w:val="005B48E4"/>
    <w:rsid w:val="005B496E"/>
    <w:rsid w:val="005B4A46"/>
    <w:rsid w:val="005B5226"/>
    <w:rsid w:val="005B5843"/>
    <w:rsid w:val="005B5E10"/>
    <w:rsid w:val="005B6327"/>
    <w:rsid w:val="005C0150"/>
    <w:rsid w:val="005C04A0"/>
    <w:rsid w:val="005C1186"/>
    <w:rsid w:val="005C1207"/>
    <w:rsid w:val="005C1ECB"/>
    <w:rsid w:val="005C21CF"/>
    <w:rsid w:val="005C2703"/>
    <w:rsid w:val="005C3348"/>
    <w:rsid w:val="005C369F"/>
    <w:rsid w:val="005C4B95"/>
    <w:rsid w:val="005C5617"/>
    <w:rsid w:val="005C5CED"/>
    <w:rsid w:val="005C6F4B"/>
    <w:rsid w:val="005C70D6"/>
    <w:rsid w:val="005C71BB"/>
    <w:rsid w:val="005C77AF"/>
    <w:rsid w:val="005C7B9A"/>
    <w:rsid w:val="005C7E7E"/>
    <w:rsid w:val="005C7F27"/>
    <w:rsid w:val="005D0421"/>
    <w:rsid w:val="005D27D8"/>
    <w:rsid w:val="005D2885"/>
    <w:rsid w:val="005D3896"/>
    <w:rsid w:val="005D578C"/>
    <w:rsid w:val="005D5E63"/>
    <w:rsid w:val="005D7248"/>
    <w:rsid w:val="005D7ED8"/>
    <w:rsid w:val="005E04C4"/>
    <w:rsid w:val="005E07C4"/>
    <w:rsid w:val="005E0FEF"/>
    <w:rsid w:val="005E1908"/>
    <w:rsid w:val="005E275F"/>
    <w:rsid w:val="005E5DCF"/>
    <w:rsid w:val="005E6409"/>
    <w:rsid w:val="005E6453"/>
    <w:rsid w:val="005E67C4"/>
    <w:rsid w:val="005E71A2"/>
    <w:rsid w:val="005E7EC7"/>
    <w:rsid w:val="005E7EFE"/>
    <w:rsid w:val="005F0298"/>
    <w:rsid w:val="005F0C0C"/>
    <w:rsid w:val="005F12AB"/>
    <w:rsid w:val="005F1374"/>
    <w:rsid w:val="005F15C9"/>
    <w:rsid w:val="005F2079"/>
    <w:rsid w:val="005F2846"/>
    <w:rsid w:val="005F3274"/>
    <w:rsid w:val="005F3A8C"/>
    <w:rsid w:val="005F4172"/>
    <w:rsid w:val="005F43E7"/>
    <w:rsid w:val="005F4553"/>
    <w:rsid w:val="005F464D"/>
    <w:rsid w:val="005F4C76"/>
    <w:rsid w:val="005F58D6"/>
    <w:rsid w:val="005F6248"/>
    <w:rsid w:val="005F6FA4"/>
    <w:rsid w:val="005F7D47"/>
    <w:rsid w:val="00600676"/>
    <w:rsid w:val="00601B6F"/>
    <w:rsid w:val="00601DFD"/>
    <w:rsid w:val="00603231"/>
    <w:rsid w:val="00604084"/>
    <w:rsid w:val="00604771"/>
    <w:rsid w:val="006054D0"/>
    <w:rsid w:val="0060609F"/>
    <w:rsid w:val="0060652F"/>
    <w:rsid w:val="006070E0"/>
    <w:rsid w:val="00607BB6"/>
    <w:rsid w:val="006108F8"/>
    <w:rsid w:val="006121CA"/>
    <w:rsid w:val="00613F50"/>
    <w:rsid w:val="00615BFC"/>
    <w:rsid w:val="006165CA"/>
    <w:rsid w:val="00616B93"/>
    <w:rsid w:val="006174E8"/>
    <w:rsid w:val="0061765F"/>
    <w:rsid w:val="0061773E"/>
    <w:rsid w:val="00620162"/>
    <w:rsid w:val="00620A38"/>
    <w:rsid w:val="00620A87"/>
    <w:rsid w:val="00621077"/>
    <w:rsid w:val="006215A1"/>
    <w:rsid w:val="00621848"/>
    <w:rsid w:val="006218B3"/>
    <w:rsid w:val="00622316"/>
    <w:rsid w:val="00623D3F"/>
    <w:rsid w:val="0062450B"/>
    <w:rsid w:val="00624B43"/>
    <w:rsid w:val="00624E83"/>
    <w:rsid w:val="00624E99"/>
    <w:rsid w:val="0062515A"/>
    <w:rsid w:val="00625826"/>
    <w:rsid w:val="006259E8"/>
    <w:rsid w:val="0062684C"/>
    <w:rsid w:val="00626DCD"/>
    <w:rsid w:val="00627C21"/>
    <w:rsid w:val="00627DDD"/>
    <w:rsid w:val="00630B09"/>
    <w:rsid w:val="0063136F"/>
    <w:rsid w:val="006317BD"/>
    <w:rsid w:val="00631AF7"/>
    <w:rsid w:val="0063261A"/>
    <w:rsid w:val="00633518"/>
    <w:rsid w:val="0063356A"/>
    <w:rsid w:val="0063373D"/>
    <w:rsid w:val="00635AC2"/>
    <w:rsid w:val="0063618D"/>
    <w:rsid w:val="00636AA3"/>
    <w:rsid w:val="00636E66"/>
    <w:rsid w:val="00637633"/>
    <w:rsid w:val="00640C7F"/>
    <w:rsid w:val="00640F98"/>
    <w:rsid w:val="00642A0A"/>
    <w:rsid w:val="00643180"/>
    <w:rsid w:val="006433CA"/>
    <w:rsid w:val="006445F0"/>
    <w:rsid w:val="00644B56"/>
    <w:rsid w:val="00645ED0"/>
    <w:rsid w:val="00645F92"/>
    <w:rsid w:val="0064607C"/>
    <w:rsid w:val="00646473"/>
    <w:rsid w:val="00647172"/>
    <w:rsid w:val="0064725B"/>
    <w:rsid w:val="006478AE"/>
    <w:rsid w:val="006507E9"/>
    <w:rsid w:val="0065208F"/>
    <w:rsid w:val="006527B9"/>
    <w:rsid w:val="00652C43"/>
    <w:rsid w:val="0065342F"/>
    <w:rsid w:val="00653580"/>
    <w:rsid w:val="00653790"/>
    <w:rsid w:val="00653EB0"/>
    <w:rsid w:val="006540C0"/>
    <w:rsid w:val="006551D2"/>
    <w:rsid w:val="006555D7"/>
    <w:rsid w:val="006558D4"/>
    <w:rsid w:val="00655C03"/>
    <w:rsid w:val="00655FAA"/>
    <w:rsid w:val="00656BFB"/>
    <w:rsid w:val="00657646"/>
    <w:rsid w:val="00657922"/>
    <w:rsid w:val="00660511"/>
    <w:rsid w:val="0066062D"/>
    <w:rsid w:val="0066117B"/>
    <w:rsid w:val="00661AE4"/>
    <w:rsid w:val="00661B15"/>
    <w:rsid w:val="00663491"/>
    <w:rsid w:val="00663CE2"/>
    <w:rsid w:val="00664001"/>
    <w:rsid w:val="006657C3"/>
    <w:rsid w:val="0066662F"/>
    <w:rsid w:val="006667BD"/>
    <w:rsid w:val="00666ACB"/>
    <w:rsid w:val="00666E94"/>
    <w:rsid w:val="0066786A"/>
    <w:rsid w:val="00667A06"/>
    <w:rsid w:val="00667BEB"/>
    <w:rsid w:val="0067059B"/>
    <w:rsid w:val="0067148E"/>
    <w:rsid w:val="00672878"/>
    <w:rsid w:val="00673A4D"/>
    <w:rsid w:val="00674B95"/>
    <w:rsid w:val="00675402"/>
    <w:rsid w:val="00675C6E"/>
    <w:rsid w:val="00676132"/>
    <w:rsid w:val="00677B23"/>
    <w:rsid w:val="006806ED"/>
    <w:rsid w:val="00680EDC"/>
    <w:rsid w:val="00682EA0"/>
    <w:rsid w:val="006834B4"/>
    <w:rsid w:val="006838F0"/>
    <w:rsid w:val="00684040"/>
    <w:rsid w:val="00684DB7"/>
    <w:rsid w:val="00685EAA"/>
    <w:rsid w:val="0068619C"/>
    <w:rsid w:val="00686687"/>
    <w:rsid w:val="006868E8"/>
    <w:rsid w:val="006869C7"/>
    <w:rsid w:val="00687831"/>
    <w:rsid w:val="0069126E"/>
    <w:rsid w:val="006938D6"/>
    <w:rsid w:val="00693CF0"/>
    <w:rsid w:val="00694A6D"/>
    <w:rsid w:val="00695157"/>
    <w:rsid w:val="006952B5"/>
    <w:rsid w:val="00695749"/>
    <w:rsid w:val="00695F91"/>
    <w:rsid w:val="006972B4"/>
    <w:rsid w:val="006975CF"/>
    <w:rsid w:val="006A087D"/>
    <w:rsid w:val="006A15DF"/>
    <w:rsid w:val="006A2697"/>
    <w:rsid w:val="006A3333"/>
    <w:rsid w:val="006A365E"/>
    <w:rsid w:val="006A4068"/>
    <w:rsid w:val="006A574D"/>
    <w:rsid w:val="006A5C76"/>
    <w:rsid w:val="006B0E23"/>
    <w:rsid w:val="006B10FF"/>
    <w:rsid w:val="006B12D8"/>
    <w:rsid w:val="006B21BC"/>
    <w:rsid w:val="006B2A95"/>
    <w:rsid w:val="006B3843"/>
    <w:rsid w:val="006B4624"/>
    <w:rsid w:val="006B4A23"/>
    <w:rsid w:val="006B6929"/>
    <w:rsid w:val="006B7CFB"/>
    <w:rsid w:val="006B7E43"/>
    <w:rsid w:val="006C0BC0"/>
    <w:rsid w:val="006C0C03"/>
    <w:rsid w:val="006C228D"/>
    <w:rsid w:val="006C2507"/>
    <w:rsid w:val="006C29A2"/>
    <w:rsid w:val="006C2FA4"/>
    <w:rsid w:val="006C3E53"/>
    <w:rsid w:val="006C3F3E"/>
    <w:rsid w:val="006C49B1"/>
    <w:rsid w:val="006C4A6B"/>
    <w:rsid w:val="006C4E0E"/>
    <w:rsid w:val="006C5156"/>
    <w:rsid w:val="006C5EE1"/>
    <w:rsid w:val="006C7C48"/>
    <w:rsid w:val="006D0879"/>
    <w:rsid w:val="006D0901"/>
    <w:rsid w:val="006D11B6"/>
    <w:rsid w:val="006D13F8"/>
    <w:rsid w:val="006D1829"/>
    <w:rsid w:val="006D188A"/>
    <w:rsid w:val="006D27BB"/>
    <w:rsid w:val="006D2869"/>
    <w:rsid w:val="006D401D"/>
    <w:rsid w:val="006D5EBF"/>
    <w:rsid w:val="006D5F65"/>
    <w:rsid w:val="006D7028"/>
    <w:rsid w:val="006D7E64"/>
    <w:rsid w:val="006E064E"/>
    <w:rsid w:val="006E1A9B"/>
    <w:rsid w:val="006E1C42"/>
    <w:rsid w:val="006E1F33"/>
    <w:rsid w:val="006E2A34"/>
    <w:rsid w:val="006E32F8"/>
    <w:rsid w:val="006E43EB"/>
    <w:rsid w:val="006E4633"/>
    <w:rsid w:val="006E49BE"/>
    <w:rsid w:val="006E4A90"/>
    <w:rsid w:val="006E552C"/>
    <w:rsid w:val="006E67C1"/>
    <w:rsid w:val="006E687B"/>
    <w:rsid w:val="006E6A8C"/>
    <w:rsid w:val="006E6C34"/>
    <w:rsid w:val="006E6C8E"/>
    <w:rsid w:val="006F0002"/>
    <w:rsid w:val="006F0A95"/>
    <w:rsid w:val="006F203B"/>
    <w:rsid w:val="006F3620"/>
    <w:rsid w:val="006F3C4C"/>
    <w:rsid w:val="006F400D"/>
    <w:rsid w:val="006F6941"/>
    <w:rsid w:val="006F74E3"/>
    <w:rsid w:val="006F7849"/>
    <w:rsid w:val="006F7B5D"/>
    <w:rsid w:val="006F7C55"/>
    <w:rsid w:val="006F7D31"/>
    <w:rsid w:val="00700470"/>
    <w:rsid w:val="0070061B"/>
    <w:rsid w:val="00700CB0"/>
    <w:rsid w:val="00701B82"/>
    <w:rsid w:val="00702203"/>
    <w:rsid w:val="00702BFE"/>
    <w:rsid w:val="00702EBC"/>
    <w:rsid w:val="007030DC"/>
    <w:rsid w:val="00703E3A"/>
    <w:rsid w:val="007042A1"/>
    <w:rsid w:val="0070498F"/>
    <w:rsid w:val="007049D0"/>
    <w:rsid w:val="007049E1"/>
    <w:rsid w:val="007049E7"/>
    <w:rsid w:val="00704A29"/>
    <w:rsid w:val="00704FF4"/>
    <w:rsid w:val="00705147"/>
    <w:rsid w:val="007051CC"/>
    <w:rsid w:val="007058CD"/>
    <w:rsid w:val="00705FDC"/>
    <w:rsid w:val="00706112"/>
    <w:rsid w:val="00706844"/>
    <w:rsid w:val="00707D5F"/>
    <w:rsid w:val="00710226"/>
    <w:rsid w:val="00711AF3"/>
    <w:rsid w:val="00711D93"/>
    <w:rsid w:val="00711D9A"/>
    <w:rsid w:val="007123D3"/>
    <w:rsid w:val="007125E2"/>
    <w:rsid w:val="007137C8"/>
    <w:rsid w:val="00713E57"/>
    <w:rsid w:val="00714ABD"/>
    <w:rsid w:val="00714B8A"/>
    <w:rsid w:val="00714C76"/>
    <w:rsid w:val="007151C5"/>
    <w:rsid w:val="007152E0"/>
    <w:rsid w:val="00715A93"/>
    <w:rsid w:val="00716055"/>
    <w:rsid w:val="00716F02"/>
    <w:rsid w:val="00716F9A"/>
    <w:rsid w:val="0071733C"/>
    <w:rsid w:val="007173CE"/>
    <w:rsid w:val="007178C1"/>
    <w:rsid w:val="00717DFB"/>
    <w:rsid w:val="0072215B"/>
    <w:rsid w:val="00722F8E"/>
    <w:rsid w:val="0072301B"/>
    <w:rsid w:val="00724E4C"/>
    <w:rsid w:val="007258A9"/>
    <w:rsid w:val="00725F66"/>
    <w:rsid w:val="00726436"/>
    <w:rsid w:val="00726E5B"/>
    <w:rsid w:val="00726F29"/>
    <w:rsid w:val="007279BF"/>
    <w:rsid w:val="007305E8"/>
    <w:rsid w:val="00730880"/>
    <w:rsid w:val="007309CA"/>
    <w:rsid w:val="00730B67"/>
    <w:rsid w:val="00730E5A"/>
    <w:rsid w:val="007313DB"/>
    <w:rsid w:val="007316DA"/>
    <w:rsid w:val="00731E84"/>
    <w:rsid w:val="00732CBA"/>
    <w:rsid w:val="0073312C"/>
    <w:rsid w:val="00734784"/>
    <w:rsid w:val="00734915"/>
    <w:rsid w:val="00734B31"/>
    <w:rsid w:val="00735E40"/>
    <w:rsid w:val="00736619"/>
    <w:rsid w:val="007370DE"/>
    <w:rsid w:val="00737CE7"/>
    <w:rsid w:val="007410EF"/>
    <w:rsid w:val="00742744"/>
    <w:rsid w:val="007427CE"/>
    <w:rsid w:val="00742AE4"/>
    <w:rsid w:val="00742C66"/>
    <w:rsid w:val="00742CB2"/>
    <w:rsid w:val="00743E3E"/>
    <w:rsid w:val="007444FB"/>
    <w:rsid w:val="00744717"/>
    <w:rsid w:val="007451FF"/>
    <w:rsid w:val="00745C6D"/>
    <w:rsid w:val="00745E77"/>
    <w:rsid w:val="00746241"/>
    <w:rsid w:val="00746D2C"/>
    <w:rsid w:val="0074700F"/>
    <w:rsid w:val="007474BA"/>
    <w:rsid w:val="007475AE"/>
    <w:rsid w:val="00750D5D"/>
    <w:rsid w:val="007518F8"/>
    <w:rsid w:val="00751B60"/>
    <w:rsid w:val="00752353"/>
    <w:rsid w:val="007530BC"/>
    <w:rsid w:val="00753706"/>
    <w:rsid w:val="00753CC9"/>
    <w:rsid w:val="007548AA"/>
    <w:rsid w:val="00754FC2"/>
    <w:rsid w:val="00755102"/>
    <w:rsid w:val="00755307"/>
    <w:rsid w:val="00755497"/>
    <w:rsid w:val="00755645"/>
    <w:rsid w:val="00755681"/>
    <w:rsid w:val="007556F6"/>
    <w:rsid w:val="00755930"/>
    <w:rsid w:val="007563ED"/>
    <w:rsid w:val="0075643C"/>
    <w:rsid w:val="007576B1"/>
    <w:rsid w:val="00760401"/>
    <w:rsid w:val="00760ED4"/>
    <w:rsid w:val="0076120C"/>
    <w:rsid w:val="007613C6"/>
    <w:rsid w:val="007615A2"/>
    <w:rsid w:val="00762B4C"/>
    <w:rsid w:val="00762D1F"/>
    <w:rsid w:val="0076379A"/>
    <w:rsid w:val="00764F8B"/>
    <w:rsid w:val="0076586F"/>
    <w:rsid w:val="0076663F"/>
    <w:rsid w:val="00766642"/>
    <w:rsid w:val="007670F3"/>
    <w:rsid w:val="007671F9"/>
    <w:rsid w:val="00767FD9"/>
    <w:rsid w:val="0077013A"/>
    <w:rsid w:val="00770CD6"/>
    <w:rsid w:val="00770E63"/>
    <w:rsid w:val="00771B43"/>
    <w:rsid w:val="00771ED4"/>
    <w:rsid w:val="00772164"/>
    <w:rsid w:val="00773A8C"/>
    <w:rsid w:val="00773C40"/>
    <w:rsid w:val="00774260"/>
    <w:rsid w:val="007760BD"/>
    <w:rsid w:val="007768F5"/>
    <w:rsid w:val="00776A52"/>
    <w:rsid w:val="007779B4"/>
    <w:rsid w:val="0078095A"/>
    <w:rsid w:val="00781540"/>
    <w:rsid w:val="00781E8F"/>
    <w:rsid w:val="00785ABC"/>
    <w:rsid w:val="00787298"/>
    <w:rsid w:val="007916E7"/>
    <w:rsid w:val="00792A07"/>
    <w:rsid w:val="007933FA"/>
    <w:rsid w:val="00793FFB"/>
    <w:rsid w:val="00794D73"/>
    <w:rsid w:val="00795013"/>
    <w:rsid w:val="007953D9"/>
    <w:rsid w:val="007958C4"/>
    <w:rsid w:val="00795F4E"/>
    <w:rsid w:val="00796B21"/>
    <w:rsid w:val="00796B5F"/>
    <w:rsid w:val="00796ED1"/>
    <w:rsid w:val="00796F61"/>
    <w:rsid w:val="00797F7C"/>
    <w:rsid w:val="007A0120"/>
    <w:rsid w:val="007A0955"/>
    <w:rsid w:val="007A14DF"/>
    <w:rsid w:val="007A170C"/>
    <w:rsid w:val="007A1B4E"/>
    <w:rsid w:val="007A1FCA"/>
    <w:rsid w:val="007A29C7"/>
    <w:rsid w:val="007A2D90"/>
    <w:rsid w:val="007A39C7"/>
    <w:rsid w:val="007A3F19"/>
    <w:rsid w:val="007A3F66"/>
    <w:rsid w:val="007A4762"/>
    <w:rsid w:val="007A48A6"/>
    <w:rsid w:val="007A4D80"/>
    <w:rsid w:val="007A5DDA"/>
    <w:rsid w:val="007A7767"/>
    <w:rsid w:val="007B0078"/>
    <w:rsid w:val="007B0A75"/>
    <w:rsid w:val="007B0BC6"/>
    <w:rsid w:val="007B1586"/>
    <w:rsid w:val="007B1AF3"/>
    <w:rsid w:val="007B2158"/>
    <w:rsid w:val="007B308D"/>
    <w:rsid w:val="007B3B6E"/>
    <w:rsid w:val="007B408F"/>
    <w:rsid w:val="007B4AB7"/>
    <w:rsid w:val="007B4B2C"/>
    <w:rsid w:val="007B4DA8"/>
    <w:rsid w:val="007B559A"/>
    <w:rsid w:val="007B58A7"/>
    <w:rsid w:val="007B6975"/>
    <w:rsid w:val="007B71C6"/>
    <w:rsid w:val="007B73CA"/>
    <w:rsid w:val="007B7936"/>
    <w:rsid w:val="007C1151"/>
    <w:rsid w:val="007C1278"/>
    <w:rsid w:val="007C13D5"/>
    <w:rsid w:val="007C1A34"/>
    <w:rsid w:val="007C25DB"/>
    <w:rsid w:val="007C286C"/>
    <w:rsid w:val="007C3488"/>
    <w:rsid w:val="007C3695"/>
    <w:rsid w:val="007C6A99"/>
    <w:rsid w:val="007C7C7F"/>
    <w:rsid w:val="007D0041"/>
    <w:rsid w:val="007D0354"/>
    <w:rsid w:val="007D0555"/>
    <w:rsid w:val="007D1261"/>
    <w:rsid w:val="007D1B78"/>
    <w:rsid w:val="007D3B93"/>
    <w:rsid w:val="007D3E18"/>
    <w:rsid w:val="007D3E3D"/>
    <w:rsid w:val="007D4177"/>
    <w:rsid w:val="007D4F95"/>
    <w:rsid w:val="007D5027"/>
    <w:rsid w:val="007D591D"/>
    <w:rsid w:val="007D6400"/>
    <w:rsid w:val="007D670D"/>
    <w:rsid w:val="007D6840"/>
    <w:rsid w:val="007D776C"/>
    <w:rsid w:val="007D7A47"/>
    <w:rsid w:val="007D7E8F"/>
    <w:rsid w:val="007E0153"/>
    <w:rsid w:val="007E0B55"/>
    <w:rsid w:val="007E0F43"/>
    <w:rsid w:val="007E0FA1"/>
    <w:rsid w:val="007E1B4B"/>
    <w:rsid w:val="007E3877"/>
    <w:rsid w:val="007E39A1"/>
    <w:rsid w:val="007E3DD5"/>
    <w:rsid w:val="007E467F"/>
    <w:rsid w:val="007E5003"/>
    <w:rsid w:val="007E57B8"/>
    <w:rsid w:val="007E6C14"/>
    <w:rsid w:val="007E6E98"/>
    <w:rsid w:val="007E71D1"/>
    <w:rsid w:val="007E7A2A"/>
    <w:rsid w:val="007E7A60"/>
    <w:rsid w:val="007F08BB"/>
    <w:rsid w:val="007F1281"/>
    <w:rsid w:val="007F30EF"/>
    <w:rsid w:val="007F4E44"/>
    <w:rsid w:val="007F781F"/>
    <w:rsid w:val="00800203"/>
    <w:rsid w:val="00800209"/>
    <w:rsid w:val="00800E41"/>
    <w:rsid w:val="008017DC"/>
    <w:rsid w:val="00801848"/>
    <w:rsid w:val="008023B1"/>
    <w:rsid w:val="00803E2C"/>
    <w:rsid w:val="008049A9"/>
    <w:rsid w:val="00804A93"/>
    <w:rsid w:val="00804E3A"/>
    <w:rsid w:val="00805A75"/>
    <w:rsid w:val="008068FB"/>
    <w:rsid w:val="00806ED9"/>
    <w:rsid w:val="00806F5F"/>
    <w:rsid w:val="00807C18"/>
    <w:rsid w:val="00810351"/>
    <w:rsid w:val="00810EF9"/>
    <w:rsid w:val="00811D0B"/>
    <w:rsid w:val="0081243C"/>
    <w:rsid w:val="00812E3B"/>
    <w:rsid w:val="008137CB"/>
    <w:rsid w:val="008143A9"/>
    <w:rsid w:val="00814BEF"/>
    <w:rsid w:val="00814DD2"/>
    <w:rsid w:val="00815267"/>
    <w:rsid w:val="00815400"/>
    <w:rsid w:val="00817048"/>
    <w:rsid w:val="008171CE"/>
    <w:rsid w:val="00817DFE"/>
    <w:rsid w:val="00820F06"/>
    <w:rsid w:val="00821FC8"/>
    <w:rsid w:val="0082230D"/>
    <w:rsid w:val="00822499"/>
    <w:rsid w:val="00822790"/>
    <w:rsid w:val="00823357"/>
    <w:rsid w:val="00824A98"/>
    <w:rsid w:val="00824D8C"/>
    <w:rsid w:val="00825356"/>
    <w:rsid w:val="00825616"/>
    <w:rsid w:val="00825682"/>
    <w:rsid w:val="00826B0F"/>
    <w:rsid w:val="00827389"/>
    <w:rsid w:val="008303BC"/>
    <w:rsid w:val="008308DD"/>
    <w:rsid w:val="00831882"/>
    <w:rsid w:val="008333C9"/>
    <w:rsid w:val="0083374B"/>
    <w:rsid w:val="00833C49"/>
    <w:rsid w:val="008346C8"/>
    <w:rsid w:val="008349C3"/>
    <w:rsid w:val="00835BFF"/>
    <w:rsid w:val="0083695B"/>
    <w:rsid w:val="00837D92"/>
    <w:rsid w:val="00840494"/>
    <w:rsid w:val="00840B5B"/>
    <w:rsid w:val="00841D2E"/>
    <w:rsid w:val="00841E68"/>
    <w:rsid w:val="008422B4"/>
    <w:rsid w:val="008428FC"/>
    <w:rsid w:val="0084353E"/>
    <w:rsid w:val="008438E6"/>
    <w:rsid w:val="00843A45"/>
    <w:rsid w:val="00843B3E"/>
    <w:rsid w:val="008445C6"/>
    <w:rsid w:val="00844A0E"/>
    <w:rsid w:val="00845A2B"/>
    <w:rsid w:val="00845ADB"/>
    <w:rsid w:val="008472E1"/>
    <w:rsid w:val="00847F5A"/>
    <w:rsid w:val="00850B8F"/>
    <w:rsid w:val="00851188"/>
    <w:rsid w:val="0085261E"/>
    <w:rsid w:val="00852717"/>
    <w:rsid w:val="00852952"/>
    <w:rsid w:val="00853105"/>
    <w:rsid w:val="00853213"/>
    <w:rsid w:val="00853FF2"/>
    <w:rsid w:val="008551EF"/>
    <w:rsid w:val="00855F1C"/>
    <w:rsid w:val="00855FCF"/>
    <w:rsid w:val="0085614A"/>
    <w:rsid w:val="00856554"/>
    <w:rsid w:val="00856B31"/>
    <w:rsid w:val="008572D6"/>
    <w:rsid w:val="00857393"/>
    <w:rsid w:val="0086002D"/>
    <w:rsid w:val="00860574"/>
    <w:rsid w:val="00862004"/>
    <w:rsid w:val="00862A22"/>
    <w:rsid w:val="00862BF1"/>
    <w:rsid w:val="00863508"/>
    <w:rsid w:val="008641BC"/>
    <w:rsid w:val="0086445B"/>
    <w:rsid w:val="00865368"/>
    <w:rsid w:val="00865AE0"/>
    <w:rsid w:val="00865D6D"/>
    <w:rsid w:val="0086603A"/>
    <w:rsid w:val="0086699E"/>
    <w:rsid w:val="00870123"/>
    <w:rsid w:val="008707B1"/>
    <w:rsid w:val="00870AA6"/>
    <w:rsid w:val="00870F94"/>
    <w:rsid w:val="008715AF"/>
    <w:rsid w:val="00871852"/>
    <w:rsid w:val="00871D34"/>
    <w:rsid w:val="00872199"/>
    <w:rsid w:val="00873990"/>
    <w:rsid w:val="00873E4B"/>
    <w:rsid w:val="00876E56"/>
    <w:rsid w:val="0087700D"/>
    <w:rsid w:val="00880BA9"/>
    <w:rsid w:val="00882048"/>
    <w:rsid w:val="0088217A"/>
    <w:rsid w:val="008822F4"/>
    <w:rsid w:val="00882420"/>
    <w:rsid w:val="008828D5"/>
    <w:rsid w:val="00882B32"/>
    <w:rsid w:val="008830AA"/>
    <w:rsid w:val="00883EE5"/>
    <w:rsid w:val="00884357"/>
    <w:rsid w:val="00884458"/>
    <w:rsid w:val="008844A2"/>
    <w:rsid w:val="00884D50"/>
    <w:rsid w:val="0088584E"/>
    <w:rsid w:val="00885EF7"/>
    <w:rsid w:val="008862AD"/>
    <w:rsid w:val="00886E6E"/>
    <w:rsid w:val="00887B56"/>
    <w:rsid w:val="00891CC2"/>
    <w:rsid w:val="00891D30"/>
    <w:rsid w:val="00892A9B"/>
    <w:rsid w:val="008935F4"/>
    <w:rsid w:val="008937DD"/>
    <w:rsid w:val="0089404F"/>
    <w:rsid w:val="008942B5"/>
    <w:rsid w:val="00894B4D"/>
    <w:rsid w:val="00895634"/>
    <w:rsid w:val="00895945"/>
    <w:rsid w:val="00895C62"/>
    <w:rsid w:val="008964E3"/>
    <w:rsid w:val="00896913"/>
    <w:rsid w:val="00896B3C"/>
    <w:rsid w:val="008970A6"/>
    <w:rsid w:val="00897C5D"/>
    <w:rsid w:val="008A20FB"/>
    <w:rsid w:val="008A2900"/>
    <w:rsid w:val="008A2DF6"/>
    <w:rsid w:val="008A40F2"/>
    <w:rsid w:val="008A424A"/>
    <w:rsid w:val="008A43A3"/>
    <w:rsid w:val="008A549C"/>
    <w:rsid w:val="008A57CD"/>
    <w:rsid w:val="008A6C16"/>
    <w:rsid w:val="008A7BEE"/>
    <w:rsid w:val="008B0018"/>
    <w:rsid w:val="008B00E4"/>
    <w:rsid w:val="008B028A"/>
    <w:rsid w:val="008B28D5"/>
    <w:rsid w:val="008B2AF9"/>
    <w:rsid w:val="008B2E4F"/>
    <w:rsid w:val="008B335F"/>
    <w:rsid w:val="008B379C"/>
    <w:rsid w:val="008B3981"/>
    <w:rsid w:val="008B4E29"/>
    <w:rsid w:val="008B5AE1"/>
    <w:rsid w:val="008B6425"/>
    <w:rsid w:val="008B7249"/>
    <w:rsid w:val="008B79AC"/>
    <w:rsid w:val="008C2506"/>
    <w:rsid w:val="008C28F5"/>
    <w:rsid w:val="008C41BD"/>
    <w:rsid w:val="008C46F1"/>
    <w:rsid w:val="008C4BD2"/>
    <w:rsid w:val="008C4E5A"/>
    <w:rsid w:val="008C5908"/>
    <w:rsid w:val="008C5A24"/>
    <w:rsid w:val="008C65BE"/>
    <w:rsid w:val="008C67EF"/>
    <w:rsid w:val="008C7FA4"/>
    <w:rsid w:val="008D034A"/>
    <w:rsid w:val="008D0D5B"/>
    <w:rsid w:val="008D1558"/>
    <w:rsid w:val="008D186C"/>
    <w:rsid w:val="008D1D36"/>
    <w:rsid w:val="008D1E4D"/>
    <w:rsid w:val="008D2483"/>
    <w:rsid w:val="008D2C2C"/>
    <w:rsid w:val="008D345C"/>
    <w:rsid w:val="008D3F36"/>
    <w:rsid w:val="008D4E04"/>
    <w:rsid w:val="008D5B1A"/>
    <w:rsid w:val="008D5EF4"/>
    <w:rsid w:val="008D61F1"/>
    <w:rsid w:val="008D7359"/>
    <w:rsid w:val="008E033D"/>
    <w:rsid w:val="008E0ADE"/>
    <w:rsid w:val="008E0EA5"/>
    <w:rsid w:val="008E104B"/>
    <w:rsid w:val="008E1D24"/>
    <w:rsid w:val="008E1E58"/>
    <w:rsid w:val="008E244E"/>
    <w:rsid w:val="008E2EC4"/>
    <w:rsid w:val="008E32DB"/>
    <w:rsid w:val="008E3943"/>
    <w:rsid w:val="008E40AE"/>
    <w:rsid w:val="008E4917"/>
    <w:rsid w:val="008E532F"/>
    <w:rsid w:val="008E5F64"/>
    <w:rsid w:val="008E67F7"/>
    <w:rsid w:val="008E6F6D"/>
    <w:rsid w:val="008F01C4"/>
    <w:rsid w:val="008F0E71"/>
    <w:rsid w:val="008F225D"/>
    <w:rsid w:val="008F2F03"/>
    <w:rsid w:val="008F31E5"/>
    <w:rsid w:val="008F3529"/>
    <w:rsid w:val="008F39B3"/>
    <w:rsid w:val="008F3A40"/>
    <w:rsid w:val="008F47E6"/>
    <w:rsid w:val="008F49E0"/>
    <w:rsid w:val="008F56CC"/>
    <w:rsid w:val="008F58BE"/>
    <w:rsid w:val="008F5BA4"/>
    <w:rsid w:val="008F6D63"/>
    <w:rsid w:val="008F6EFF"/>
    <w:rsid w:val="00900BD3"/>
    <w:rsid w:val="00900CA3"/>
    <w:rsid w:val="00900EB0"/>
    <w:rsid w:val="0090100B"/>
    <w:rsid w:val="00901EAE"/>
    <w:rsid w:val="00902510"/>
    <w:rsid w:val="00902F52"/>
    <w:rsid w:val="009036F3"/>
    <w:rsid w:val="00903FD1"/>
    <w:rsid w:val="0090452D"/>
    <w:rsid w:val="00904619"/>
    <w:rsid w:val="00905003"/>
    <w:rsid w:val="009057A6"/>
    <w:rsid w:val="00905AA8"/>
    <w:rsid w:val="00905B0B"/>
    <w:rsid w:val="00907526"/>
    <w:rsid w:val="00911E1B"/>
    <w:rsid w:val="00912365"/>
    <w:rsid w:val="00912D46"/>
    <w:rsid w:val="00912DEB"/>
    <w:rsid w:val="00913587"/>
    <w:rsid w:val="00913BAE"/>
    <w:rsid w:val="00913F73"/>
    <w:rsid w:val="009159D1"/>
    <w:rsid w:val="009161D3"/>
    <w:rsid w:val="00916CC2"/>
    <w:rsid w:val="009210E9"/>
    <w:rsid w:val="00921FE1"/>
    <w:rsid w:val="009220E1"/>
    <w:rsid w:val="00923A1D"/>
    <w:rsid w:val="00923EAB"/>
    <w:rsid w:val="00924007"/>
    <w:rsid w:val="00924A4E"/>
    <w:rsid w:val="00925BB1"/>
    <w:rsid w:val="00926209"/>
    <w:rsid w:val="00927C0B"/>
    <w:rsid w:val="00927E6F"/>
    <w:rsid w:val="00927F7D"/>
    <w:rsid w:val="009301FA"/>
    <w:rsid w:val="009302C6"/>
    <w:rsid w:val="00931E53"/>
    <w:rsid w:val="0093212B"/>
    <w:rsid w:val="00934387"/>
    <w:rsid w:val="009343AE"/>
    <w:rsid w:val="00934797"/>
    <w:rsid w:val="00934D53"/>
    <w:rsid w:val="00936ABA"/>
    <w:rsid w:val="00936D8D"/>
    <w:rsid w:val="009404FB"/>
    <w:rsid w:val="009408A1"/>
    <w:rsid w:val="00941100"/>
    <w:rsid w:val="00941315"/>
    <w:rsid w:val="009416A9"/>
    <w:rsid w:val="00944702"/>
    <w:rsid w:val="00945211"/>
    <w:rsid w:val="00945263"/>
    <w:rsid w:val="00945BF9"/>
    <w:rsid w:val="00951175"/>
    <w:rsid w:val="00951438"/>
    <w:rsid w:val="009518A8"/>
    <w:rsid w:val="009526BC"/>
    <w:rsid w:val="009527E3"/>
    <w:rsid w:val="00953ABF"/>
    <w:rsid w:val="00953D64"/>
    <w:rsid w:val="00953D9A"/>
    <w:rsid w:val="00954746"/>
    <w:rsid w:val="00954C05"/>
    <w:rsid w:val="00954E8B"/>
    <w:rsid w:val="009555DC"/>
    <w:rsid w:val="0095593A"/>
    <w:rsid w:val="00957775"/>
    <w:rsid w:val="00960CDE"/>
    <w:rsid w:val="00960F50"/>
    <w:rsid w:val="0096172E"/>
    <w:rsid w:val="00961EE3"/>
    <w:rsid w:val="00962850"/>
    <w:rsid w:val="00962A37"/>
    <w:rsid w:val="00962C72"/>
    <w:rsid w:val="00962D00"/>
    <w:rsid w:val="00963F05"/>
    <w:rsid w:val="0096447D"/>
    <w:rsid w:val="009644BA"/>
    <w:rsid w:val="00964AF3"/>
    <w:rsid w:val="00964C50"/>
    <w:rsid w:val="00964D54"/>
    <w:rsid w:val="00965871"/>
    <w:rsid w:val="00965A59"/>
    <w:rsid w:val="00965FC8"/>
    <w:rsid w:val="009660DB"/>
    <w:rsid w:val="00966315"/>
    <w:rsid w:val="00966639"/>
    <w:rsid w:val="00966F09"/>
    <w:rsid w:val="009674F1"/>
    <w:rsid w:val="0097089E"/>
    <w:rsid w:val="009708CF"/>
    <w:rsid w:val="00970EC3"/>
    <w:rsid w:val="009710CA"/>
    <w:rsid w:val="00971A00"/>
    <w:rsid w:val="009721AA"/>
    <w:rsid w:val="00972449"/>
    <w:rsid w:val="00973012"/>
    <w:rsid w:val="00973DCB"/>
    <w:rsid w:val="00974944"/>
    <w:rsid w:val="00974FE1"/>
    <w:rsid w:val="0097513E"/>
    <w:rsid w:val="009778FD"/>
    <w:rsid w:val="00980236"/>
    <w:rsid w:val="009807A9"/>
    <w:rsid w:val="009810D8"/>
    <w:rsid w:val="00982FF7"/>
    <w:rsid w:val="009836B3"/>
    <w:rsid w:val="00983D52"/>
    <w:rsid w:val="00983FD7"/>
    <w:rsid w:val="009840BF"/>
    <w:rsid w:val="0098410A"/>
    <w:rsid w:val="009843E5"/>
    <w:rsid w:val="00984C84"/>
    <w:rsid w:val="00984DF9"/>
    <w:rsid w:val="00985006"/>
    <w:rsid w:val="00985705"/>
    <w:rsid w:val="0098580A"/>
    <w:rsid w:val="00987FC1"/>
    <w:rsid w:val="009901FD"/>
    <w:rsid w:val="009904AF"/>
    <w:rsid w:val="00990D69"/>
    <w:rsid w:val="009917FB"/>
    <w:rsid w:val="009936CE"/>
    <w:rsid w:val="00993AC7"/>
    <w:rsid w:val="009945E7"/>
    <w:rsid w:val="0099551C"/>
    <w:rsid w:val="00995776"/>
    <w:rsid w:val="0099598F"/>
    <w:rsid w:val="00995AF1"/>
    <w:rsid w:val="00996189"/>
    <w:rsid w:val="0099672A"/>
    <w:rsid w:val="009971F5"/>
    <w:rsid w:val="00997284"/>
    <w:rsid w:val="00997EAB"/>
    <w:rsid w:val="009A100F"/>
    <w:rsid w:val="009A11C7"/>
    <w:rsid w:val="009A2C09"/>
    <w:rsid w:val="009A2E42"/>
    <w:rsid w:val="009A2ECF"/>
    <w:rsid w:val="009A42B7"/>
    <w:rsid w:val="009A46BB"/>
    <w:rsid w:val="009A4ABE"/>
    <w:rsid w:val="009A4E42"/>
    <w:rsid w:val="009A510C"/>
    <w:rsid w:val="009A780D"/>
    <w:rsid w:val="009A7AEE"/>
    <w:rsid w:val="009A7F8F"/>
    <w:rsid w:val="009B1E7F"/>
    <w:rsid w:val="009B21B2"/>
    <w:rsid w:val="009B3316"/>
    <w:rsid w:val="009B3E80"/>
    <w:rsid w:val="009B5068"/>
    <w:rsid w:val="009B5278"/>
    <w:rsid w:val="009B5E53"/>
    <w:rsid w:val="009B6083"/>
    <w:rsid w:val="009B626F"/>
    <w:rsid w:val="009B6F2F"/>
    <w:rsid w:val="009C027F"/>
    <w:rsid w:val="009C0F32"/>
    <w:rsid w:val="009C1D6B"/>
    <w:rsid w:val="009C2DAB"/>
    <w:rsid w:val="009C40BB"/>
    <w:rsid w:val="009C40F1"/>
    <w:rsid w:val="009C53C7"/>
    <w:rsid w:val="009C5EC8"/>
    <w:rsid w:val="009C67BD"/>
    <w:rsid w:val="009C6ADB"/>
    <w:rsid w:val="009C7390"/>
    <w:rsid w:val="009D053E"/>
    <w:rsid w:val="009D0C66"/>
    <w:rsid w:val="009D4C10"/>
    <w:rsid w:val="009D4EBE"/>
    <w:rsid w:val="009D53E6"/>
    <w:rsid w:val="009D5C62"/>
    <w:rsid w:val="009D5C93"/>
    <w:rsid w:val="009D6CB8"/>
    <w:rsid w:val="009D708B"/>
    <w:rsid w:val="009D70A2"/>
    <w:rsid w:val="009D70E2"/>
    <w:rsid w:val="009D78F8"/>
    <w:rsid w:val="009E12E1"/>
    <w:rsid w:val="009E170D"/>
    <w:rsid w:val="009E20E9"/>
    <w:rsid w:val="009E2708"/>
    <w:rsid w:val="009E32E6"/>
    <w:rsid w:val="009E45F6"/>
    <w:rsid w:val="009E59C7"/>
    <w:rsid w:val="009E6026"/>
    <w:rsid w:val="009E7096"/>
    <w:rsid w:val="009E792F"/>
    <w:rsid w:val="009E7CFC"/>
    <w:rsid w:val="009F0228"/>
    <w:rsid w:val="009F1AB2"/>
    <w:rsid w:val="009F25C1"/>
    <w:rsid w:val="009F2BE5"/>
    <w:rsid w:val="009F3CE3"/>
    <w:rsid w:val="009F5EE3"/>
    <w:rsid w:val="009F66C8"/>
    <w:rsid w:val="009F676A"/>
    <w:rsid w:val="009F6C69"/>
    <w:rsid w:val="00A002E2"/>
    <w:rsid w:val="00A01761"/>
    <w:rsid w:val="00A03004"/>
    <w:rsid w:val="00A0386B"/>
    <w:rsid w:val="00A05D78"/>
    <w:rsid w:val="00A060E1"/>
    <w:rsid w:val="00A06167"/>
    <w:rsid w:val="00A06FB7"/>
    <w:rsid w:val="00A07C34"/>
    <w:rsid w:val="00A10FDB"/>
    <w:rsid w:val="00A11351"/>
    <w:rsid w:val="00A113E9"/>
    <w:rsid w:val="00A123C4"/>
    <w:rsid w:val="00A12955"/>
    <w:rsid w:val="00A14340"/>
    <w:rsid w:val="00A1485D"/>
    <w:rsid w:val="00A148E1"/>
    <w:rsid w:val="00A14F59"/>
    <w:rsid w:val="00A1557A"/>
    <w:rsid w:val="00A157EE"/>
    <w:rsid w:val="00A15AE1"/>
    <w:rsid w:val="00A16053"/>
    <w:rsid w:val="00A16ED4"/>
    <w:rsid w:val="00A179FC"/>
    <w:rsid w:val="00A17C8D"/>
    <w:rsid w:val="00A2078E"/>
    <w:rsid w:val="00A215CF"/>
    <w:rsid w:val="00A21D7E"/>
    <w:rsid w:val="00A23BD4"/>
    <w:rsid w:val="00A24120"/>
    <w:rsid w:val="00A24505"/>
    <w:rsid w:val="00A2481C"/>
    <w:rsid w:val="00A248DD"/>
    <w:rsid w:val="00A249FC"/>
    <w:rsid w:val="00A259AA"/>
    <w:rsid w:val="00A25CAD"/>
    <w:rsid w:val="00A26248"/>
    <w:rsid w:val="00A26C3B"/>
    <w:rsid w:val="00A27825"/>
    <w:rsid w:val="00A27DBF"/>
    <w:rsid w:val="00A30265"/>
    <w:rsid w:val="00A305D4"/>
    <w:rsid w:val="00A3077D"/>
    <w:rsid w:val="00A3079C"/>
    <w:rsid w:val="00A30883"/>
    <w:rsid w:val="00A30B19"/>
    <w:rsid w:val="00A30EE5"/>
    <w:rsid w:val="00A313BE"/>
    <w:rsid w:val="00A31430"/>
    <w:rsid w:val="00A31877"/>
    <w:rsid w:val="00A32006"/>
    <w:rsid w:val="00A32444"/>
    <w:rsid w:val="00A331A5"/>
    <w:rsid w:val="00A349DF"/>
    <w:rsid w:val="00A3545A"/>
    <w:rsid w:val="00A3577F"/>
    <w:rsid w:val="00A37548"/>
    <w:rsid w:val="00A40793"/>
    <w:rsid w:val="00A40A0F"/>
    <w:rsid w:val="00A40F22"/>
    <w:rsid w:val="00A41BE1"/>
    <w:rsid w:val="00A420A0"/>
    <w:rsid w:val="00A42280"/>
    <w:rsid w:val="00A42B41"/>
    <w:rsid w:val="00A42CF3"/>
    <w:rsid w:val="00A42E95"/>
    <w:rsid w:val="00A43560"/>
    <w:rsid w:val="00A4491E"/>
    <w:rsid w:val="00A4546A"/>
    <w:rsid w:val="00A46659"/>
    <w:rsid w:val="00A46CDE"/>
    <w:rsid w:val="00A46D03"/>
    <w:rsid w:val="00A46E04"/>
    <w:rsid w:val="00A46F6D"/>
    <w:rsid w:val="00A51AEC"/>
    <w:rsid w:val="00A5299D"/>
    <w:rsid w:val="00A53EC4"/>
    <w:rsid w:val="00A54FC4"/>
    <w:rsid w:val="00A55AA3"/>
    <w:rsid w:val="00A562E7"/>
    <w:rsid w:val="00A564C1"/>
    <w:rsid w:val="00A56577"/>
    <w:rsid w:val="00A57C86"/>
    <w:rsid w:val="00A60BC8"/>
    <w:rsid w:val="00A6156B"/>
    <w:rsid w:val="00A61E09"/>
    <w:rsid w:val="00A62A44"/>
    <w:rsid w:val="00A63F51"/>
    <w:rsid w:val="00A64D39"/>
    <w:rsid w:val="00A65565"/>
    <w:rsid w:val="00A657AE"/>
    <w:rsid w:val="00A65B62"/>
    <w:rsid w:val="00A66AA7"/>
    <w:rsid w:val="00A66D27"/>
    <w:rsid w:val="00A67362"/>
    <w:rsid w:val="00A67E4C"/>
    <w:rsid w:val="00A700EE"/>
    <w:rsid w:val="00A70265"/>
    <w:rsid w:val="00A7029D"/>
    <w:rsid w:val="00A71F7A"/>
    <w:rsid w:val="00A72542"/>
    <w:rsid w:val="00A73212"/>
    <w:rsid w:val="00A73777"/>
    <w:rsid w:val="00A74672"/>
    <w:rsid w:val="00A74A34"/>
    <w:rsid w:val="00A75791"/>
    <w:rsid w:val="00A75D83"/>
    <w:rsid w:val="00A75EB5"/>
    <w:rsid w:val="00A76A6F"/>
    <w:rsid w:val="00A76BD9"/>
    <w:rsid w:val="00A76F92"/>
    <w:rsid w:val="00A80714"/>
    <w:rsid w:val="00A8169C"/>
    <w:rsid w:val="00A81ED5"/>
    <w:rsid w:val="00A83F87"/>
    <w:rsid w:val="00A84B25"/>
    <w:rsid w:val="00A856C3"/>
    <w:rsid w:val="00A8574E"/>
    <w:rsid w:val="00A86492"/>
    <w:rsid w:val="00A86ADD"/>
    <w:rsid w:val="00A87BF7"/>
    <w:rsid w:val="00A904ED"/>
    <w:rsid w:val="00A91AAA"/>
    <w:rsid w:val="00A91B85"/>
    <w:rsid w:val="00A923DD"/>
    <w:rsid w:val="00A9275B"/>
    <w:rsid w:val="00A94173"/>
    <w:rsid w:val="00A94C0D"/>
    <w:rsid w:val="00A97ED8"/>
    <w:rsid w:val="00AA28E6"/>
    <w:rsid w:val="00AA35F5"/>
    <w:rsid w:val="00AA442D"/>
    <w:rsid w:val="00AA4C24"/>
    <w:rsid w:val="00AA6120"/>
    <w:rsid w:val="00AA664C"/>
    <w:rsid w:val="00AA6F88"/>
    <w:rsid w:val="00AB0471"/>
    <w:rsid w:val="00AB0639"/>
    <w:rsid w:val="00AB0FA7"/>
    <w:rsid w:val="00AB1244"/>
    <w:rsid w:val="00AB148A"/>
    <w:rsid w:val="00AB2347"/>
    <w:rsid w:val="00AB261B"/>
    <w:rsid w:val="00AB3569"/>
    <w:rsid w:val="00AB3DD2"/>
    <w:rsid w:val="00AB55D9"/>
    <w:rsid w:val="00AB66BC"/>
    <w:rsid w:val="00AB6C46"/>
    <w:rsid w:val="00AB6DB5"/>
    <w:rsid w:val="00AB77D1"/>
    <w:rsid w:val="00AC06C3"/>
    <w:rsid w:val="00AC09E6"/>
    <w:rsid w:val="00AC1BB3"/>
    <w:rsid w:val="00AC1C5A"/>
    <w:rsid w:val="00AC3D4E"/>
    <w:rsid w:val="00AC3E34"/>
    <w:rsid w:val="00AC4461"/>
    <w:rsid w:val="00AC4F35"/>
    <w:rsid w:val="00AC541B"/>
    <w:rsid w:val="00AC5732"/>
    <w:rsid w:val="00AC760C"/>
    <w:rsid w:val="00AC7802"/>
    <w:rsid w:val="00AD0FC5"/>
    <w:rsid w:val="00AD1FDE"/>
    <w:rsid w:val="00AD2885"/>
    <w:rsid w:val="00AD29E2"/>
    <w:rsid w:val="00AD3265"/>
    <w:rsid w:val="00AD3564"/>
    <w:rsid w:val="00AD3746"/>
    <w:rsid w:val="00AD3974"/>
    <w:rsid w:val="00AD4360"/>
    <w:rsid w:val="00AD4F72"/>
    <w:rsid w:val="00AD624E"/>
    <w:rsid w:val="00AD6261"/>
    <w:rsid w:val="00AD701E"/>
    <w:rsid w:val="00AE0418"/>
    <w:rsid w:val="00AE0641"/>
    <w:rsid w:val="00AE088E"/>
    <w:rsid w:val="00AE0AF5"/>
    <w:rsid w:val="00AE29AE"/>
    <w:rsid w:val="00AE2A12"/>
    <w:rsid w:val="00AE320A"/>
    <w:rsid w:val="00AE3271"/>
    <w:rsid w:val="00AE4F70"/>
    <w:rsid w:val="00AE56A0"/>
    <w:rsid w:val="00AE6F3B"/>
    <w:rsid w:val="00AE7CD2"/>
    <w:rsid w:val="00AE7FC2"/>
    <w:rsid w:val="00AF080A"/>
    <w:rsid w:val="00AF0AD9"/>
    <w:rsid w:val="00AF110C"/>
    <w:rsid w:val="00AF1ECC"/>
    <w:rsid w:val="00AF272F"/>
    <w:rsid w:val="00AF27D2"/>
    <w:rsid w:val="00AF3E25"/>
    <w:rsid w:val="00AF4CF5"/>
    <w:rsid w:val="00AF51D0"/>
    <w:rsid w:val="00B00177"/>
    <w:rsid w:val="00B006E3"/>
    <w:rsid w:val="00B0125A"/>
    <w:rsid w:val="00B026DF"/>
    <w:rsid w:val="00B02C05"/>
    <w:rsid w:val="00B0353F"/>
    <w:rsid w:val="00B03711"/>
    <w:rsid w:val="00B03994"/>
    <w:rsid w:val="00B03F0D"/>
    <w:rsid w:val="00B03F1C"/>
    <w:rsid w:val="00B050B8"/>
    <w:rsid w:val="00B06E79"/>
    <w:rsid w:val="00B06EA8"/>
    <w:rsid w:val="00B0723D"/>
    <w:rsid w:val="00B0740F"/>
    <w:rsid w:val="00B10B03"/>
    <w:rsid w:val="00B11225"/>
    <w:rsid w:val="00B118B5"/>
    <w:rsid w:val="00B11CF6"/>
    <w:rsid w:val="00B11ED3"/>
    <w:rsid w:val="00B124C2"/>
    <w:rsid w:val="00B1264C"/>
    <w:rsid w:val="00B128BA"/>
    <w:rsid w:val="00B14363"/>
    <w:rsid w:val="00B14E29"/>
    <w:rsid w:val="00B155C4"/>
    <w:rsid w:val="00B15B8D"/>
    <w:rsid w:val="00B16E5A"/>
    <w:rsid w:val="00B17011"/>
    <w:rsid w:val="00B17DAD"/>
    <w:rsid w:val="00B219CB"/>
    <w:rsid w:val="00B23706"/>
    <w:rsid w:val="00B23A0F"/>
    <w:rsid w:val="00B23AA0"/>
    <w:rsid w:val="00B23DA2"/>
    <w:rsid w:val="00B24C3F"/>
    <w:rsid w:val="00B25427"/>
    <w:rsid w:val="00B25862"/>
    <w:rsid w:val="00B25DF3"/>
    <w:rsid w:val="00B27D0A"/>
    <w:rsid w:val="00B30A73"/>
    <w:rsid w:val="00B30C33"/>
    <w:rsid w:val="00B311A7"/>
    <w:rsid w:val="00B313C9"/>
    <w:rsid w:val="00B32141"/>
    <w:rsid w:val="00B32307"/>
    <w:rsid w:val="00B32D74"/>
    <w:rsid w:val="00B3426B"/>
    <w:rsid w:val="00B3495C"/>
    <w:rsid w:val="00B36AE5"/>
    <w:rsid w:val="00B36B15"/>
    <w:rsid w:val="00B36FCF"/>
    <w:rsid w:val="00B40B11"/>
    <w:rsid w:val="00B40D40"/>
    <w:rsid w:val="00B42227"/>
    <w:rsid w:val="00B44A48"/>
    <w:rsid w:val="00B44B49"/>
    <w:rsid w:val="00B454C9"/>
    <w:rsid w:val="00B45B98"/>
    <w:rsid w:val="00B45E13"/>
    <w:rsid w:val="00B45F7E"/>
    <w:rsid w:val="00B46E88"/>
    <w:rsid w:val="00B47002"/>
    <w:rsid w:val="00B4745F"/>
    <w:rsid w:val="00B47DE3"/>
    <w:rsid w:val="00B5198B"/>
    <w:rsid w:val="00B527BD"/>
    <w:rsid w:val="00B527BE"/>
    <w:rsid w:val="00B5334B"/>
    <w:rsid w:val="00B5366F"/>
    <w:rsid w:val="00B536E4"/>
    <w:rsid w:val="00B5413F"/>
    <w:rsid w:val="00B54155"/>
    <w:rsid w:val="00B55722"/>
    <w:rsid w:val="00B565BB"/>
    <w:rsid w:val="00B56760"/>
    <w:rsid w:val="00B5711E"/>
    <w:rsid w:val="00B602CF"/>
    <w:rsid w:val="00B62348"/>
    <w:rsid w:val="00B6382F"/>
    <w:rsid w:val="00B64205"/>
    <w:rsid w:val="00B6476D"/>
    <w:rsid w:val="00B64E5B"/>
    <w:rsid w:val="00B64FC1"/>
    <w:rsid w:val="00B668BB"/>
    <w:rsid w:val="00B668FA"/>
    <w:rsid w:val="00B66A12"/>
    <w:rsid w:val="00B66F51"/>
    <w:rsid w:val="00B7010B"/>
    <w:rsid w:val="00B70618"/>
    <w:rsid w:val="00B70F5B"/>
    <w:rsid w:val="00B72101"/>
    <w:rsid w:val="00B72D38"/>
    <w:rsid w:val="00B7369B"/>
    <w:rsid w:val="00B7470D"/>
    <w:rsid w:val="00B74854"/>
    <w:rsid w:val="00B75712"/>
    <w:rsid w:val="00B773D1"/>
    <w:rsid w:val="00B802EA"/>
    <w:rsid w:val="00B81B04"/>
    <w:rsid w:val="00B82D3D"/>
    <w:rsid w:val="00B833EB"/>
    <w:rsid w:val="00B83A0A"/>
    <w:rsid w:val="00B84F1E"/>
    <w:rsid w:val="00B8601E"/>
    <w:rsid w:val="00B86108"/>
    <w:rsid w:val="00B87F25"/>
    <w:rsid w:val="00B90188"/>
    <w:rsid w:val="00B90A20"/>
    <w:rsid w:val="00B90A66"/>
    <w:rsid w:val="00B91FA5"/>
    <w:rsid w:val="00B92125"/>
    <w:rsid w:val="00B92369"/>
    <w:rsid w:val="00B92A51"/>
    <w:rsid w:val="00B9301A"/>
    <w:rsid w:val="00B93CED"/>
    <w:rsid w:val="00B942AC"/>
    <w:rsid w:val="00B94881"/>
    <w:rsid w:val="00B95DDF"/>
    <w:rsid w:val="00B967DB"/>
    <w:rsid w:val="00B96B00"/>
    <w:rsid w:val="00B96FF5"/>
    <w:rsid w:val="00B97688"/>
    <w:rsid w:val="00BA13FE"/>
    <w:rsid w:val="00BA1977"/>
    <w:rsid w:val="00BA4002"/>
    <w:rsid w:val="00BA46D8"/>
    <w:rsid w:val="00BA4ECF"/>
    <w:rsid w:val="00BA4F58"/>
    <w:rsid w:val="00BA5706"/>
    <w:rsid w:val="00BA5F42"/>
    <w:rsid w:val="00BA6191"/>
    <w:rsid w:val="00BA7834"/>
    <w:rsid w:val="00BA7CF0"/>
    <w:rsid w:val="00BB1DEB"/>
    <w:rsid w:val="00BB247B"/>
    <w:rsid w:val="00BB2480"/>
    <w:rsid w:val="00BB2B9A"/>
    <w:rsid w:val="00BB312C"/>
    <w:rsid w:val="00BB3D3E"/>
    <w:rsid w:val="00BB3F5D"/>
    <w:rsid w:val="00BB403E"/>
    <w:rsid w:val="00BB489D"/>
    <w:rsid w:val="00BB4C2B"/>
    <w:rsid w:val="00BB5043"/>
    <w:rsid w:val="00BB549B"/>
    <w:rsid w:val="00BB5E0F"/>
    <w:rsid w:val="00BB69A7"/>
    <w:rsid w:val="00BB7002"/>
    <w:rsid w:val="00BC06EB"/>
    <w:rsid w:val="00BC077A"/>
    <w:rsid w:val="00BC14CB"/>
    <w:rsid w:val="00BC24E1"/>
    <w:rsid w:val="00BC26A0"/>
    <w:rsid w:val="00BC273B"/>
    <w:rsid w:val="00BC3534"/>
    <w:rsid w:val="00BC3C6D"/>
    <w:rsid w:val="00BC4506"/>
    <w:rsid w:val="00BC4C41"/>
    <w:rsid w:val="00BC55E4"/>
    <w:rsid w:val="00BC5A3B"/>
    <w:rsid w:val="00BC5E64"/>
    <w:rsid w:val="00BC731D"/>
    <w:rsid w:val="00BC7BEA"/>
    <w:rsid w:val="00BC7D87"/>
    <w:rsid w:val="00BC7E97"/>
    <w:rsid w:val="00BD0F8A"/>
    <w:rsid w:val="00BD1383"/>
    <w:rsid w:val="00BD15C1"/>
    <w:rsid w:val="00BD174D"/>
    <w:rsid w:val="00BD1AC5"/>
    <w:rsid w:val="00BD2F3E"/>
    <w:rsid w:val="00BD35F2"/>
    <w:rsid w:val="00BD4449"/>
    <w:rsid w:val="00BD5124"/>
    <w:rsid w:val="00BD5EB4"/>
    <w:rsid w:val="00BD6354"/>
    <w:rsid w:val="00BD697A"/>
    <w:rsid w:val="00BD6AB5"/>
    <w:rsid w:val="00BD6B06"/>
    <w:rsid w:val="00BD6CC9"/>
    <w:rsid w:val="00BE0774"/>
    <w:rsid w:val="00BE1143"/>
    <w:rsid w:val="00BE2276"/>
    <w:rsid w:val="00BE339C"/>
    <w:rsid w:val="00BE3957"/>
    <w:rsid w:val="00BE4685"/>
    <w:rsid w:val="00BE4731"/>
    <w:rsid w:val="00BE5311"/>
    <w:rsid w:val="00BE5E68"/>
    <w:rsid w:val="00BE6079"/>
    <w:rsid w:val="00BE7993"/>
    <w:rsid w:val="00BE79D1"/>
    <w:rsid w:val="00BF04E8"/>
    <w:rsid w:val="00BF0B9A"/>
    <w:rsid w:val="00BF1923"/>
    <w:rsid w:val="00BF2644"/>
    <w:rsid w:val="00BF3B33"/>
    <w:rsid w:val="00BF3BC9"/>
    <w:rsid w:val="00BF46E5"/>
    <w:rsid w:val="00BF472A"/>
    <w:rsid w:val="00BF4E53"/>
    <w:rsid w:val="00BF5311"/>
    <w:rsid w:val="00BF665D"/>
    <w:rsid w:val="00BF72D2"/>
    <w:rsid w:val="00BF7A07"/>
    <w:rsid w:val="00BF7B23"/>
    <w:rsid w:val="00BF7B5E"/>
    <w:rsid w:val="00C00727"/>
    <w:rsid w:val="00C00A34"/>
    <w:rsid w:val="00C00D10"/>
    <w:rsid w:val="00C01523"/>
    <w:rsid w:val="00C01E5B"/>
    <w:rsid w:val="00C0206D"/>
    <w:rsid w:val="00C030F2"/>
    <w:rsid w:val="00C033F7"/>
    <w:rsid w:val="00C03634"/>
    <w:rsid w:val="00C036BA"/>
    <w:rsid w:val="00C05856"/>
    <w:rsid w:val="00C06336"/>
    <w:rsid w:val="00C0696C"/>
    <w:rsid w:val="00C07506"/>
    <w:rsid w:val="00C1021A"/>
    <w:rsid w:val="00C104D1"/>
    <w:rsid w:val="00C11990"/>
    <w:rsid w:val="00C12013"/>
    <w:rsid w:val="00C13380"/>
    <w:rsid w:val="00C134AE"/>
    <w:rsid w:val="00C14E54"/>
    <w:rsid w:val="00C15677"/>
    <w:rsid w:val="00C16E61"/>
    <w:rsid w:val="00C172B6"/>
    <w:rsid w:val="00C178CA"/>
    <w:rsid w:val="00C17ACC"/>
    <w:rsid w:val="00C204AE"/>
    <w:rsid w:val="00C20DEE"/>
    <w:rsid w:val="00C216E5"/>
    <w:rsid w:val="00C22556"/>
    <w:rsid w:val="00C225AE"/>
    <w:rsid w:val="00C23121"/>
    <w:rsid w:val="00C2703B"/>
    <w:rsid w:val="00C2737D"/>
    <w:rsid w:val="00C2750C"/>
    <w:rsid w:val="00C27B0F"/>
    <w:rsid w:val="00C30909"/>
    <w:rsid w:val="00C32CAF"/>
    <w:rsid w:val="00C33875"/>
    <w:rsid w:val="00C33A16"/>
    <w:rsid w:val="00C34260"/>
    <w:rsid w:val="00C343D5"/>
    <w:rsid w:val="00C34538"/>
    <w:rsid w:val="00C35171"/>
    <w:rsid w:val="00C35A2A"/>
    <w:rsid w:val="00C3601B"/>
    <w:rsid w:val="00C369D1"/>
    <w:rsid w:val="00C36F21"/>
    <w:rsid w:val="00C37749"/>
    <w:rsid w:val="00C37CED"/>
    <w:rsid w:val="00C4050F"/>
    <w:rsid w:val="00C415A4"/>
    <w:rsid w:val="00C42060"/>
    <w:rsid w:val="00C42853"/>
    <w:rsid w:val="00C42C82"/>
    <w:rsid w:val="00C431EE"/>
    <w:rsid w:val="00C43989"/>
    <w:rsid w:val="00C4458A"/>
    <w:rsid w:val="00C461E4"/>
    <w:rsid w:val="00C50FC0"/>
    <w:rsid w:val="00C5121E"/>
    <w:rsid w:val="00C513CE"/>
    <w:rsid w:val="00C51DE9"/>
    <w:rsid w:val="00C51F0D"/>
    <w:rsid w:val="00C52217"/>
    <w:rsid w:val="00C53250"/>
    <w:rsid w:val="00C53738"/>
    <w:rsid w:val="00C53BC3"/>
    <w:rsid w:val="00C53C7F"/>
    <w:rsid w:val="00C53D6A"/>
    <w:rsid w:val="00C55128"/>
    <w:rsid w:val="00C575CD"/>
    <w:rsid w:val="00C606AE"/>
    <w:rsid w:val="00C61CFF"/>
    <w:rsid w:val="00C6217D"/>
    <w:rsid w:val="00C62FE0"/>
    <w:rsid w:val="00C642FC"/>
    <w:rsid w:val="00C646B1"/>
    <w:rsid w:val="00C65191"/>
    <w:rsid w:val="00C65B93"/>
    <w:rsid w:val="00C65E41"/>
    <w:rsid w:val="00C663C8"/>
    <w:rsid w:val="00C66B80"/>
    <w:rsid w:val="00C66E98"/>
    <w:rsid w:val="00C67128"/>
    <w:rsid w:val="00C6752F"/>
    <w:rsid w:val="00C67F3F"/>
    <w:rsid w:val="00C70039"/>
    <w:rsid w:val="00C70249"/>
    <w:rsid w:val="00C70C41"/>
    <w:rsid w:val="00C71762"/>
    <w:rsid w:val="00C71DB1"/>
    <w:rsid w:val="00C729AA"/>
    <w:rsid w:val="00C72A61"/>
    <w:rsid w:val="00C7363B"/>
    <w:rsid w:val="00C744DA"/>
    <w:rsid w:val="00C749C9"/>
    <w:rsid w:val="00C758BE"/>
    <w:rsid w:val="00C75FB3"/>
    <w:rsid w:val="00C762D1"/>
    <w:rsid w:val="00C7695C"/>
    <w:rsid w:val="00C76C5B"/>
    <w:rsid w:val="00C76C9E"/>
    <w:rsid w:val="00C777D8"/>
    <w:rsid w:val="00C82E3B"/>
    <w:rsid w:val="00C83E45"/>
    <w:rsid w:val="00C84666"/>
    <w:rsid w:val="00C85019"/>
    <w:rsid w:val="00C858CB"/>
    <w:rsid w:val="00C86F2B"/>
    <w:rsid w:val="00C90117"/>
    <w:rsid w:val="00C903BC"/>
    <w:rsid w:val="00C90E86"/>
    <w:rsid w:val="00C9181E"/>
    <w:rsid w:val="00C919CF"/>
    <w:rsid w:val="00C92A1B"/>
    <w:rsid w:val="00C92E5C"/>
    <w:rsid w:val="00C93366"/>
    <w:rsid w:val="00C94883"/>
    <w:rsid w:val="00C95E61"/>
    <w:rsid w:val="00C96155"/>
    <w:rsid w:val="00C971CC"/>
    <w:rsid w:val="00C97293"/>
    <w:rsid w:val="00C975BD"/>
    <w:rsid w:val="00CA0528"/>
    <w:rsid w:val="00CA133A"/>
    <w:rsid w:val="00CA1754"/>
    <w:rsid w:val="00CA1C4E"/>
    <w:rsid w:val="00CA2068"/>
    <w:rsid w:val="00CA30AF"/>
    <w:rsid w:val="00CA513D"/>
    <w:rsid w:val="00CA57A5"/>
    <w:rsid w:val="00CA58B7"/>
    <w:rsid w:val="00CA6AFB"/>
    <w:rsid w:val="00CA737D"/>
    <w:rsid w:val="00CA76A2"/>
    <w:rsid w:val="00CB052B"/>
    <w:rsid w:val="00CB0CA9"/>
    <w:rsid w:val="00CB0D5C"/>
    <w:rsid w:val="00CB213F"/>
    <w:rsid w:val="00CB2BB8"/>
    <w:rsid w:val="00CB2D73"/>
    <w:rsid w:val="00CB31E3"/>
    <w:rsid w:val="00CB3C08"/>
    <w:rsid w:val="00CB41FC"/>
    <w:rsid w:val="00CB456F"/>
    <w:rsid w:val="00CB4C67"/>
    <w:rsid w:val="00CB4D4C"/>
    <w:rsid w:val="00CB6BCD"/>
    <w:rsid w:val="00CB74BF"/>
    <w:rsid w:val="00CB7934"/>
    <w:rsid w:val="00CC20A5"/>
    <w:rsid w:val="00CC28DD"/>
    <w:rsid w:val="00CC4311"/>
    <w:rsid w:val="00CC4C1F"/>
    <w:rsid w:val="00CC56FE"/>
    <w:rsid w:val="00CC5894"/>
    <w:rsid w:val="00CC682E"/>
    <w:rsid w:val="00CC7700"/>
    <w:rsid w:val="00CC7954"/>
    <w:rsid w:val="00CC7FE4"/>
    <w:rsid w:val="00CD0785"/>
    <w:rsid w:val="00CD1285"/>
    <w:rsid w:val="00CD17BF"/>
    <w:rsid w:val="00CD2073"/>
    <w:rsid w:val="00CD2D22"/>
    <w:rsid w:val="00CD2ECF"/>
    <w:rsid w:val="00CD4697"/>
    <w:rsid w:val="00CD4EE3"/>
    <w:rsid w:val="00CD513E"/>
    <w:rsid w:val="00CE1566"/>
    <w:rsid w:val="00CE3A48"/>
    <w:rsid w:val="00CE4B6B"/>
    <w:rsid w:val="00CE4E8F"/>
    <w:rsid w:val="00CE5478"/>
    <w:rsid w:val="00CE565C"/>
    <w:rsid w:val="00CE5B33"/>
    <w:rsid w:val="00CE649D"/>
    <w:rsid w:val="00CE6ADC"/>
    <w:rsid w:val="00CF1325"/>
    <w:rsid w:val="00CF1414"/>
    <w:rsid w:val="00CF1BE0"/>
    <w:rsid w:val="00CF1D0E"/>
    <w:rsid w:val="00CF1DE1"/>
    <w:rsid w:val="00CF1F27"/>
    <w:rsid w:val="00CF2DEE"/>
    <w:rsid w:val="00CF35B5"/>
    <w:rsid w:val="00CF56A7"/>
    <w:rsid w:val="00CF5751"/>
    <w:rsid w:val="00CF5DA4"/>
    <w:rsid w:val="00CF626B"/>
    <w:rsid w:val="00CF67AD"/>
    <w:rsid w:val="00CF7E4A"/>
    <w:rsid w:val="00CF7F27"/>
    <w:rsid w:val="00D00092"/>
    <w:rsid w:val="00D005ED"/>
    <w:rsid w:val="00D017D9"/>
    <w:rsid w:val="00D0200C"/>
    <w:rsid w:val="00D02AE7"/>
    <w:rsid w:val="00D03E2A"/>
    <w:rsid w:val="00D0446C"/>
    <w:rsid w:val="00D04F15"/>
    <w:rsid w:val="00D05196"/>
    <w:rsid w:val="00D05A62"/>
    <w:rsid w:val="00D06E11"/>
    <w:rsid w:val="00D10A51"/>
    <w:rsid w:val="00D10B21"/>
    <w:rsid w:val="00D10BA1"/>
    <w:rsid w:val="00D11133"/>
    <w:rsid w:val="00D117BE"/>
    <w:rsid w:val="00D123DA"/>
    <w:rsid w:val="00D12ECD"/>
    <w:rsid w:val="00D12F60"/>
    <w:rsid w:val="00D13018"/>
    <w:rsid w:val="00D136F5"/>
    <w:rsid w:val="00D14C87"/>
    <w:rsid w:val="00D15FC9"/>
    <w:rsid w:val="00D16145"/>
    <w:rsid w:val="00D178DD"/>
    <w:rsid w:val="00D17BC6"/>
    <w:rsid w:val="00D17D4E"/>
    <w:rsid w:val="00D17D72"/>
    <w:rsid w:val="00D17FA5"/>
    <w:rsid w:val="00D20561"/>
    <w:rsid w:val="00D208BE"/>
    <w:rsid w:val="00D20D4B"/>
    <w:rsid w:val="00D21FE3"/>
    <w:rsid w:val="00D24090"/>
    <w:rsid w:val="00D241A2"/>
    <w:rsid w:val="00D262AD"/>
    <w:rsid w:val="00D263B2"/>
    <w:rsid w:val="00D26E5C"/>
    <w:rsid w:val="00D279BE"/>
    <w:rsid w:val="00D302A3"/>
    <w:rsid w:val="00D30459"/>
    <w:rsid w:val="00D31988"/>
    <w:rsid w:val="00D319CD"/>
    <w:rsid w:val="00D31A15"/>
    <w:rsid w:val="00D32140"/>
    <w:rsid w:val="00D34930"/>
    <w:rsid w:val="00D35367"/>
    <w:rsid w:val="00D35696"/>
    <w:rsid w:val="00D36768"/>
    <w:rsid w:val="00D36A1D"/>
    <w:rsid w:val="00D3723E"/>
    <w:rsid w:val="00D405CC"/>
    <w:rsid w:val="00D40A01"/>
    <w:rsid w:val="00D41256"/>
    <w:rsid w:val="00D42933"/>
    <w:rsid w:val="00D43A3A"/>
    <w:rsid w:val="00D441AA"/>
    <w:rsid w:val="00D441DE"/>
    <w:rsid w:val="00D44345"/>
    <w:rsid w:val="00D44B24"/>
    <w:rsid w:val="00D4515E"/>
    <w:rsid w:val="00D45E09"/>
    <w:rsid w:val="00D45EC9"/>
    <w:rsid w:val="00D46680"/>
    <w:rsid w:val="00D4768F"/>
    <w:rsid w:val="00D477AB"/>
    <w:rsid w:val="00D47A90"/>
    <w:rsid w:val="00D5108F"/>
    <w:rsid w:val="00D51602"/>
    <w:rsid w:val="00D5217B"/>
    <w:rsid w:val="00D52A20"/>
    <w:rsid w:val="00D53120"/>
    <w:rsid w:val="00D54613"/>
    <w:rsid w:val="00D547E5"/>
    <w:rsid w:val="00D54B2D"/>
    <w:rsid w:val="00D55FDA"/>
    <w:rsid w:val="00D5601A"/>
    <w:rsid w:val="00D5610B"/>
    <w:rsid w:val="00D57318"/>
    <w:rsid w:val="00D5775F"/>
    <w:rsid w:val="00D577B4"/>
    <w:rsid w:val="00D57C51"/>
    <w:rsid w:val="00D6321D"/>
    <w:rsid w:val="00D636ED"/>
    <w:rsid w:val="00D63FBD"/>
    <w:rsid w:val="00D641EC"/>
    <w:rsid w:val="00D6427F"/>
    <w:rsid w:val="00D64AD6"/>
    <w:rsid w:val="00D64B3D"/>
    <w:rsid w:val="00D65C8E"/>
    <w:rsid w:val="00D65EDF"/>
    <w:rsid w:val="00D6616C"/>
    <w:rsid w:val="00D66417"/>
    <w:rsid w:val="00D66A94"/>
    <w:rsid w:val="00D67761"/>
    <w:rsid w:val="00D70864"/>
    <w:rsid w:val="00D70A10"/>
    <w:rsid w:val="00D70B18"/>
    <w:rsid w:val="00D70D93"/>
    <w:rsid w:val="00D723B8"/>
    <w:rsid w:val="00D72FF4"/>
    <w:rsid w:val="00D73579"/>
    <w:rsid w:val="00D73AF9"/>
    <w:rsid w:val="00D73EAB"/>
    <w:rsid w:val="00D7434F"/>
    <w:rsid w:val="00D7463C"/>
    <w:rsid w:val="00D752B1"/>
    <w:rsid w:val="00D75514"/>
    <w:rsid w:val="00D75AE1"/>
    <w:rsid w:val="00D76B9A"/>
    <w:rsid w:val="00D771ED"/>
    <w:rsid w:val="00D80FF1"/>
    <w:rsid w:val="00D81750"/>
    <w:rsid w:val="00D81A25"/>
    <w:rsid w:val="00D83049"/>
    <w:rsid w:val="00D830FB"/>
    <w:rsid w:val="00D8318E"/>
    <w:rsid w:val="00D83803"/>
    <w:rsid w:val="00D842C1"/>
    <w:rsid w:val="00D85317"/>
    <w:rsid w:val="00D85AE3"/>
    <w:rsid w:val="00D85B24"/>
    <w:rsid w:val="00D85FAD"/>
    <w:rsid w:val="00D87A1D"/>
    <w:rsid w:val="00D90073"/>
    <w:rsid w:val="00D90CB4"/>
    <w:rsid w:val="00D91655"/>
    <w:rsid w:val="00D91725"/>
    <w:rsid w:val="00D91B89"/>
    <w:rsid w:val="00D91F6A"/>
    <w:rsid w:val="00D92247"/>
    <w:rsid w:val="00D92678"/>
    <w:rsid w:val="00D92BCE"/>
    <w:rsid w:val="00D93074"/>
    <w:rsid w:val="00D936A5"/>
    <w:rsid w:val="00D938C2"/>
    <w:rsid w:val="00D93C77"/>
    <w:rsid w:val="00D94CC8"/>
    <w:rsid w:val="00D9571F"/>
    <w:rsid w:val="00D958F9"/>
    <w:rsid w:val="00D96537"/>
    <w:rsid w:val="00D9684A"/>
    <w:rsid w:val="00D973BE"/>
    <w:rsid w:val="00D97CA1"/>
    <w:rsid w:val="00DA0544"/>
    <w:rsid w:val="00DA113A"/>
    <w:rsid w:val="00DA11AF"/>
    <w:rsid w:val="00DA17C9"/>
    <w:rsid w:val="00DA18BF"/>
    <w:rsid w:val="00DA202A"/>
    <w:rsid w:val="00DA25AB"/>
    <w:rsid w:val="00DA35E9"/>
    <w:rsid w:val="00DA40EE"/>
    <w:rsid w:val="00DA4C57"/>
    <w:rsid w:val="00DA53D7"/>
    <w:rsid w:val="00DA55A1"/>
    <w:rsid w:val="00DA57F1"/>
    <w:rsid w:val="00DA5EB5"/>
    <w:rsid w:val="00DA6634"/>
    <w:rsid w:val="00DA66A4"/>
    <w:rsid w:val="00DB0859"/>
    <w:rsid w:val="00DB0E97"/>
    <w:rsid w:val="00DB2F95"/>
    <w:rsid w:val="00DB3C80"/>
    <w:rsid w:val="00DB4880"/>
    <w:rsid w:val="00DB52C2"/>
    <w:rsid w:val="00DB5793"/>
    <w:rsid w:val="00DB6696"/>
    <w:rsid w:val="00DB6914"/>
    <w:rsid w:val="00DB7111"/>
    <w:rsid w:val="00DB7FBA"/>
    <w:rsid w:val="00DC0528"/>
    <w:rsid w:val="00DC05A7"/>
    <w:rsid w:val="00DC1DB2"/>
    <w:rsid w:val="00DC2359"/>
    <w:rsid w:val="00DC2998"/>
    <w:rsid w:val="00DC35A0"/>
    <w:rsid w:val="00DC3977"/>
    <w:rsid w:val="00DC39CC"/>
    <w:rsid w:val="00DC4251"/>
    <w:rsid w:val="00DC4D8B"/>
    <w:rsid w:val="00DC5C50"/>
    <w:rsid w:val="00DC5F31"/>
    <w:rsid w:val="00DC7439"/>
    <w:rsid w:val="00DD1979"/>
    <w:rsid w:val="00DD5D53"/>
    <w:rsid w:val="00DD5FE8"/>
    <w:rsid w:val="00DD6D48"/>
    <w:rsid w:val="00DD6F8E"/>
    <w:rsid w:val="00DD7361"/>
    <w:rsid w:val="00DD77EB"/>
    <w:rsid w:val="00DE1C34"/>
    <w:rsid w:val="00DE1CC0"/>
    <w:rsid w:val="00DE1E9F"/>
    <w:rsid w:val="00DE221C"/>
    <w:rsid w:val="00DE2A5A"/>
    <w:rsid w:val="00DE2F8D"/>
    <w:rsid w:val="00DE3035"/>
    <w:rsid w:val="00DE3C38"/>
    <w:rsid w:val="00DE52C1"/>
    <w:rsid w:val="00DE56C3"/>
    <w:rsid w:val="00DE583E"/>
    <w:rsid w:val="00DE60B8"/>
    <w:rsid w:val="00DE66A7"/>
    <w:rsid w:val="00DE6CF0"/>
    <w:rsid w:val="00DF0B3A"/>
    <w:rsid w:val="00DF0D9E"/>
    <w:rsid w:val="00DF15FD"/>
    <w:rsid w:val="00DF22D9"/>
    <w:rsid w:val="00DF261F"/>
    <w:rsid w:val="00DF2A87"/>
    <w:rsid w:val="00DF3C6F"/>
    <w:rsid w:val="00DF4A7F"/>
    <w:rsid w:val="00DF5299"/>
    <w:rsid w:val="00DF5816"/>
    <w:rsid w:val="00DF5A50"/>
    <w:rsid w:val="00DF6171"/>
    <w:rsid w:val="00DF79D1"/>
    <w:rsid w:val="00DF7CF4"/>
    <w:rsid w:val="00E00711"/>
    <w:rsid w:val="00E0095E"/>
    <w:rsid w:val="00E00CA7"/>
    <w:rsid w:val="00E00E13"/>
    <w:rsid w:val="00E02411"/>
    <w:rsid w:val="00E025FD"/>
    <w:rsid w:val="00E02DAB"/>
    <w:rsid w:val="00E04840"/>
    <w:rsid w:val="00E04CA8"/>
    <w:rsid w:val="00E0658D"/>
    <w:rsid w:val="00E07E10"/>
    <w:rsid w:val="00E10254"/>
    <w:rsid w:val="00E10879"/>
    <w:rsid w:val="00E12402"/>
    <w:rsid w:val="00E1297F"/>
    <w:rsid w:val="00E1375A"/>
    <w:rsid w:val="00E14792"/>
    <w:rsid w:val="00E16153"/>
    <w:rsid w:val="00E17763"/>
    <w:rsid w:val="00E21569"/>
    <w:rsid w:val="00E215BE"/>
    <w:rsid w:val="00E21CF7"/>
    <w:rsid w:val="00E22700"/>
    <w:rsid w:val="00E22F88"/>
    <w:rsid w:val="00E239D8"/>
    <w:rsid w:val="00E23C9C"/>
    <w:rsid w:val="00E243A6"/>
    <w:rsid w:val="00E244B5"/>
    <w:rsid w:val="00E24668"/>
    <w:rsid w:val="00E258FC"/>
    <w:rsid w:val="00E25FE3"/>
    <w:rsid w:val="00E26A37"/>
    <w:rsid w:val="00E26C85"/>
    <w:rsid w:val="00E30879"/>
    <w:rsid w:val="00E3149B"/>
    <w:rsid w:val="00E31AB0"/>
    <w:rsid w:val="00E327CD"/>
    <w:rsid w:val="00E32DC8"/>
    <w:rsid w:val="00E35C08"/>
    <w:rsid w:val="00E35F8E"/>
    <w:rsid w:val="00E36690"/>
    <w:rsid w:val="00E372B9"/>
    <w:rsid w:val="00E37318"/>
    <w:rsid w:val="00E37BD4"/>
    <w:rsid w:val="00E37D9B"/>
    <w:rsid w:val="00E4077C"/>
    <w:rsid w:val="00E419E8"/>
    <w:rsid w:val="00E43E7F"/>
    <w:rsid w:val="00E45583"/>
    <w:rsid w:val="00E45D1A"/>
    <w:rsid w:val="00E4719D"/>
    <w:rsid w:val="00E47E29"/>
    <w:rsid w:val="00E5007A"/>
    <w:rsid w:val="00E51055"/>
    <w:rsid w:val="00E511CA"/>
    <w:rsid w:val="00E512E6"/>
    <w:rsid w:val="00E519E7"/>
    <w:rsid w:val="00E52AEB"/>
    <w:rsid w:val="00E532E5"/>
    <w:rsid w:val="00E533AA"/>
    <w:rsid w:val="00E5348B"/>
    <w:rsid w:val="00E53589"/>
    <w:rsid w:val="00E53862"/>
    <w:rsid w:val="00E53CD8"/>
    <w:rsid w:val="00E540FF"/>
    <w:rsid w:val="00E5419B"/>
    <w:rsid w:val="00E55296"/>
    <w:rsid w:val="00E55E48"/>
    <w:rsid w:val="00E5653C"/>
    <w:rsid w:val="00E5672C"/>
    <w:rsid w:val="00E57012"/>
    <w:rsid w:val="00E571FC"/>
    <w:rsid w:val="00E576C6"/>
    <w:rsid w:val="00E57790"/>
    <w:rsid w:val="00E57884"/>
    <w:rsid w:val="00E57A73"/>
    <w:rsid w:val="00E62B81"/>
    <w:rsid w:val="00E62B9C"/>
    <w:rsid w:val="00E62C8C"/>
    <w:rsid w:val="00E63255"/>
    <w:rsid w:val="00E6354E"/>
    <w:rsid w:val="00E63F91"/>
    <w:rsid w:val="00E6561B"/>
    <w:rsid w:val="00E65F13"/>
    <w:rsid w:val="00E70357"/>
    <w:rsid w:val="00E70621"/>
    <w:rsid w:val="00E70C95"/>
    <w:rsid w:val="00E716E8"/>
    <w:rsid w:val="00E7238E"/>
    <w:rsid w:val="00E72936"/>
    <w:rsid w:val="00E74AD2"/>
    <w:rsid w:val="00E74AD9"/>
    <w:rsid w:val="00E74F15"/>
    <w:rsid w:val="00E754E6"/>
    <w:rsid w:val="00E7674E"/>
    <w:rsid w:val="00E76EBF"/>
    <w:rsid w:val="00E7739C"/>
    <w:rsid w:val="00E77577"/>
    <w:rsid w:val="00E7761E"/>
    <w:rsid w:val="00E778DD"/>
    <w:rsid w:val="00E77FAD"/>
    <w:rsid w:val="00E80F17"/>
    <w:rsid w:val="00E810EA"/>
    <w:rsid w:val="00E82436"/>
    <w:rsid w:val="00E82C75"/>
    <w:rsid w:val="00E83260"/>
    <w:rsid w:val="00E83D50"/>
    <w:rsid w:val="00E86534"/>
    <w:rsid w:val="00E86EFA"/>
    <w:rsid w:val="00E8725E"/>
    <w:rsid w:val="00E87787"/>
    <w:rsid w:val="00E87B16"/>
    <w:rsid w:val="00E87C2B"/>
    <w:rsid w:val="00E87C7D"/>
    <w:rsid w:val="00E902CF"/>
    <w:rsid w:val="00E9067A"/>
    <w:rsid w:val="00E9114F"/>
    <w:rsid w:val="00E9205C"/>
    <w:rsid w:val="00E92153"/>
    <w:rsid w:val="00E92255"/>
    <w:rsid w:val="00E9226E"/>
    <w:rsid w:val="00E93C58"/>
    <w:rsid w:val="00E9640F"/>
    <w:rsid w:val="00E97185"/>
    <w:rsid w:val="00E9774A"/>
    <w:rsid w:val="00E97BD9"/>
    <w:rsid w:val="00E97FAA"/>
    <w:rsid w:val="00EA00AF"/>
    <w:rsid w:val="00EA0141"/>
    <w:rsid w:val="00EA0C6E"/>
    <w:rsid w:val="00EA0EA3"/>
    <w:rsid w:val="00EA1360"/>
    <w:rsid w:val="00EA2079"/>
    <w:rsid w:val="00EA25E3"/>
    <w:rsid w:val="00EA28C8"/>
    <w:rsid w:val="00EA39C7"/>
    <w:rsid w:val="00EA3A73"/>
    <w:rsid w:val="00EA49F3"/>
    <w:rsid w:val="00EA51C6"/>
    <w:rsid w:val="00EA5A05"/>
    <w:rsid w:val="00EA6E86"/>
    <w:rsid w:val="00EA6F4E"/>
    <w:rsid w:val="00EA70E6"/>
    <w:rsid w:val="00EB0F80"/>
    <w:rsid w:val="00EB1085"/>
    <w:rsid w:val="00EB11EB"/>
    <w:rsid w:val="00EB1ECA"/>
    <w:rsid w:val="00EB214C"/>
    <w:rsid w:val="00EB22F6"/>
    <w:rsid w:val="00EB2455"/>
    <w:rsid w:val="00EB5DAC"/>
    <w:rsid w:val="00EB6289"/>
    <w:rsid w:val="00EB74D2"/>
    <w:rsid w:val="00EB7B1D"/>
    <w:rsid w:val="00EB7B9E"/>
    <w:rsid w:val="00EC13B6"/>
    <w:rsid w:val="00EC152B"/>
    <w:rsid w:val="00EC19BF"/>
    <w:rsid w:val="00EC2587"/>
    <w:rsid w:val="00EC25C0"/>
    <w:rsid w:val="00EC2D88"/>
    <w:rsid w:val="00EC3617"/>
    <w:rsid w:val="00EC3819"/>
    <w:rsid w:val="00EC3B0A"/>
    <w:rsid w:val="00EC41D5"/>
    <w:rsid w:val="00EC43EF"/>
    <w:rsid w:val="00EC4792"/>
    <w:rsid w:val="00EC4E26"/>
    <w:rsid w:val="00EC540E"/>
    <w:rsid w:val="00EC5C64"/>
    <w:rsid w:val="00EC66C7"/>
    <w:rsid w:val="00ED0305"/>
    <w:rsid w:val="00ED0353"/>
    <w:rsid w:val="00ED1CBA"/>
    <w:rsid w:val="00ED1E0F"/>
    <w:rsid w:val="00ED248C"/>
    <w:rsid w:val="00ED31EE"/>
    <w:rsid w:val="00ED45DE"/>
    <w:rsid w:val="00ED4D27"/>
    <w:rsid w:val="00ED51DC"/>
    <w:rsid w:val="00ED684F"/>
    <w:rsid w:val="00ED6A4F"/>
    <w:rsid w:val="00EE1D74"/>
    <w:rsid w:val="00EE21F9"/>
    <w:rsid w:val="00EE2436"/>
    <w:rsid w:val="00EE27D0"/>
    <w:rsid w:val="00EE2C0F"/>
    <w:rsid w:val="00EE4333"/>
    <w:rsid w:val="00EE4442"/>
    <w:rsid w:val="00EE46CE"/>
    <w:rsid w:val="00EE4B88"/>
    <w:rsid w:val="00EE554A"/>
    <w:rsid w:val="00EE6140"/>
    <w:rsid w:val="00EE67A3"/>
    <w:rsid w:val="00EE69BC"/>
    <w:rsid w:val="00EE6DDD"/>
    <w:rsid w:val="00EE6E24"/>
    <w:rsid w:val="00EE7595"/>
    <w:rsid w:val="00EE772E"/>
    <w:rsid w:val="00EE7B56"/>
    <w:rsid w:val="00EE7DCB"/>
    <w:rsid w:val="00EF0493"/>
    <w:rsid w:val="00EF18BA"/>
    <w:rsid w:val="00EF18DB"/>
    <w:rsid w:val="00EF2C8E"/>
    <w:rsid w:val="00EF2FB9"/>
    <w:rsid w:val="00EF31E0"/>
    <w:rsid w:val="00EF3349"/>
    <w:rsid w:val="00EF3E16"/>
    <w:rsid w:val="00EF400C"/>
    <w:rsid w:val="00EF40C8"/>
    <w:rsid w:val="00EF4446"/>
    <w:rsid w:val="00EF46E6"/>
    <w:rsid w:val="00EF4FF0"/>
    <w:rsid w:val="00EF502E"/>
    <w:rsid w:val="00EF56A3"/>
    <w:rsid w:val="00EF5A76"/>
    <w:rsid w:val="00EF63D5"/>
    <w:rsid w:val="00EF6430"/>
    <w:rsid w:val="00EF6BCC"/>
    <w:rsid w:val="00F00225"/>
    <w:rsid w:val="00F00F30"/>
    <w:rsid w:val="00F02196"/>
    <w:rsid w:val="00F0421E"/>
    <w:rsid w:val="00F04C9E"/>
    <w:rsid w:val="00F06383"/>
    <w:rsid w:val="00F065A2"/>
    <w:rsid w:val="00F067D4"/>
    <w:rsid w:val="00F07AFC"/>
    <w:rsid w:val="00F07DE7"/>
    <w:rsid w:val="00F10518"/>
    <w:rsid w:val="00F106DB"/>
    <w:rsid w:val="00F106FA"/>
    <w:rsid w:val="00F108C9"/>
    <w:rsid w:val="00F117DC"/>
    <w:rsid w:val="00F11B27"/>
    <w:rsid w:val="00F12A6A"/>
    <w:rsid w:val="00F12B62"/>
    <w:rsid w:val="00F131CB"/>
    <w:rsid w:val="00F1375F"/>
    <w:rsid w:val="00F13A5E"/>
    <w:rsid w:val="00F14DF4"/>
    <w:rsid w:val="00F15911"/>
    <w:rsid w:val="00F161BB"/>
    <w:rsid w:val="00F168B1"/>
    <w:rsid w:val="00F16B04"/>
    <w:rsid w:val="00F1759E"/>
    <w:rsid w:val="00F1781F"/>
    <w:rsid w:val="00F17A1A"/>
    <w:rsid w:val="00F17EB9"/>
    <w:rsid w:val="00F20052"/>
    <w:rsid w:val="00F2080E"/>
    <w:rsid w:val="00F20FF1"/>
    <w:rsid w:val="00F2124A"/>
    <w:rsid w:val="00F215C7"/>
    <w:rsid w:val="00F21FE1"/>
    <w:rsid w:val="00F22678"/>
    <w:rsid w:val="00F2289D"/>
    <w:rsid w:val="00F22B1B"/>
    <w:rsid w:val="00F239F8"/>
    <w:rsid w:val="00F25A0C"/>
    <w:rsid w:val="00F25F58"/>
    <w:rsid w:val="00F26CD8"/>
    <w:rsid w:val="00F2784E"/>
    <w:rsid w:val="00F27D2B"/>
    <w:rsid w:val="00F3002D"/>
    <w:rsid w:val="00F3049E"/>
    <w:rsid w:val="00F30606"/>
    <w:rsid w:val="00F30AE9"/>
    <w:rsid w:val="00F31104"/>
    <w:rsid w:val="00F312AE"/>
    <w:rsid w:val="00F31CC1"/>
    <w:rsid w:val="00F3283E"/>
    <w:rsid w:val="00F32A60"/>
    <w:rsid w:val="00F32AF1"/>
    <w:rsid w:val="00F337C6"/>
    <w:rsid w:val="00F339D7"/>
    <w:rsid w:val="00F340D7"/>
    <w:rsid w:val="00F342AE"/>
    <w:rsid w:val="00F34A1A"/>
    <w:rsid w:val="00F35EB3"/>
    <w:rsid w:val="00F361C9"/>
    <w:rsid w:val="00F40967"/>
    <w:rsid w:val="00F41040"/>
    <w:rsid w:val="00F41BB0"/>
    <w:rsid w:val="00F42222"/>
    <w:rsid w:val="00F433E5"/>
    <w:rsid w:val="00F43FC4"/>
    <w:rsid w:val="00F441A4"/>
    <w:rsid w:val="00F45ACF"/>
    <w:rsid w:val="00F47F47"/>
    <w:rsid w:val="00F50676"/>
    <w:rsid w:val="00F50BF0"/>
    <w:rsid w:val="00F51098"/>
    <w:rsid w:val="00F51EC3"/>
    <w:rsid w:val="00F520B3"/>
    <w:rsid w:val="00F52BA0"/>
    <w:rsid w:val="00F52F32"/>
    <w:rsid w:val="00F53813"/>
    <w:rsid w:val="00F53F33"/>
    <w:rsid w:val="00F54D8C"/>
    <w:rsid w:val="00F54EDD"/>
    <w:rsid w:val="00F54F0C"/>
    <w:rsid w:val="00F5598A"/>
    <w:rsid w:val="00F56362"/>
    <w:rsid w:val="00F56392"/>
    <w:rsid w:val="00F56937"/>
    <w:rsid w:val="00F57AE5"/>
    <w:rsid w:val="00F57B56"/>
    <w:rsid w:val="00F6007E"/>
    <w:rsid w:val="00F60321"/>
    <w:rsid w:val="00F635E1"/>
    <w:rsid w:val="00F6362C"/>
    <w:rsid w:val="00F63981"/>
    <w:rsid w:val="00F63B33"/>
    <w:rsid w:val="00F6417D"/>
    <w:rsid w:val="00F661BD"/>
    <w:rsid w:val="00F66B1B"/>
    <w:rsid w:val="00F66EDD"/>
    <w:rsid w:val="00F67261"/>
    <w:rsid w:val="00F67982"/>
    <w:rsid w:val="00F67FAA"/>
    <w:rsid w:val="00F70712"/>
    <w:rsid w:val="00F71095"/>
    <w:rsid w:val="00F7110A"/>
    <w:rsid w:val="00F7132F"/>
    <w:rsid w:val="00F71522"/>
    <w:rsid w:val="00F7164B"/>
    <w:rsid w:val="00F7195A"/>
    <w:rsid w:val="00F71A1C"/>
    <w:rsid w:val="00F71DA9"/>
    <w:rsid w:val="00F71EE2"/>
    <w:rsid w:val="00F72651"/>
    <w:rsid w:val="00F726B1"/>
    <w:rsid w:val="00F73554"/>
    <w:rsid w:val="00F74D47"/>
    <w:rsid w:val="00F755B2"/>
    <w:rsid w:val="00F76241"/>
    <w:rsid w:val="00F767A2"/>
    <w:rsid w:val="00F76B0D"/>
    <w:rsid w:val="00F77391"/>
    <w:rsid w:val="00F813F5"/>
    <w:rsid w:val="00F821FC"/>
    <w:rsid w:val="00F82725"/>
    <w:rsid w:val="00F82F40"/>
    <w:rsid w:val="00F82FCA"/>
    <w:rsid w:val="00F83426"/>
    <w:rsid w:val="00F842FA"/>
    <w:rsid w:val="00F847B2"/>
    <w:rsid w:val="00F8759C"/>
    <w:rsid w:val="00F87D11"/>
    <w:rsid w:val="00F9029C"/>
    <w:rsid w:val="00F90781"/>
    <w:rsid w:val="00F91529"/>
    <w:rsid w:val="00F9310F"/>
    <w:rsid w:val="00F94692"/>
    <w:rsid w:val="00F947E8"/>
    <w:rsid w:val="00F950BA"/>
    <w:rsid w:val="00F95280"/>
    <w:rsid w:val="00F96E42"/>
    <w:rsid w:val="00F97178"/>
    <w:rsid w:val="00F9727B"/>
    <w:rsid w:val="00F97C6E"/>
    <w:rsid w:val="00FA1147"/>
    <w:rsid w:val="00FA1D02"/>
    <w:rsid w:val="00FA2038"/>
    <w:rsid w:val="00FA24C0"/>
    <w:rsid w:val="00FA2A9C"/>
    <w:rsid w:val="00FA331C"/>
    <w:rsid w:val="00FA3A54"/>
    <w:rsid w:val="00FA3C13"/>
    <w:rsid w:val="00FA4340"/>
    <w:rsid w:val="00FA4C52"/>
    <w:rsid w:val="00FA4FAC"/>
    <w:rsid w:val="00FA538B"/>
    <w:rsid w:val="00FA5E7F"/>
    <w:rsid w:val="00FA5ECE"/>
    <w:rsid w:val="00FA6864"/>
    <w:rsid w:val="00FB015C"/>
    <w:rsid w:val="00FB0A16"/>
    <w:rsid w:val="00FB26B7"/>
    <w:rsid w:val="00FB30BC"/>
    <w:rsid w:val="00FB3157"/>
    <w:rsid w:val="00FB33BF"/>
    <w:rsid w:val="00FB37A9"/>
    <w:rsid w:val="00FB37B2"/>
    <w:rsid w:val="00FB3D98"/>
    <w:rsid w:val="00FB3F75"/>
    <w:rsid w:val="00FB5059"/>
    <w:rsid w:val="00FB549F"/>
    <w:rsid w:val="00FB54D4"/>
    <w:rsid w:val="00FB5785"/>
    <w:rsid w:val="00FB63F5"/>
    <w:rsid w:val="00FB7F14"/>
    <w:rsid w:val="00FC0791"/>
    <w:rsid w:val="00FC232C"/>
    <w:rsid w:val="00FC32D8"/>
    <w:rsid w:val="00FC3729"/>
    <w:rsid w:val="00FC39F0"/>
    <w:rsid w:val="00FC3F62"/>
    <w:rsid w:val="00FC4E77"/>
    <w:rsid w:val="00FC4E8E"/>
    <w:rsid w:val="00FC57DA"/>
    <w:rsid w:val="00FC62DC"/>
    <w:rsid w:val="00FC6E2F"/>
    <w:rsid w:val="00FD0825"/>
    <w:rsid w:val="00FD231E"/>
    <w:rsid w:val="00FD348D"/>
    <w:rsid w:val="00FD3A6B"/>
    <w:rsid w:val="00FD4BEB"/>
    <w:rsid w:val="00FD4C23"/>
    <w:rsid w:val="00FD58B3"/>
    <w:rsid w:val="00FD593A"/>
    <w:rsid w:val="00FD5E51"/>
    <w:rsid w:val="00FD5ED8"/>
    <w:rsid w:val="00FD651C"/>
    <w:rsid w:val="00FD6A67"/>
    <w:rsid w:val="00FD7055"/>
    <w:rsid w:val="00FD7BBB"/>
    <w:rsid w:val="00FE03BC"/>
    <w:rsid w:val="00FE267D"/>
    <w:rsid w:val="00FE28FD"/>
    <w:rsid w:val="00FE2B31"/>
    <w:rsid w:val="00FE34D2"/>
    <w:rsid w:val="00FE3AE1"/>
    <w:rsid w:val="00FE3AE9"/>
    <w:rsid w:val="00FE4066"/>
    <w:rsid w:val="00FE439F"/>
    <w:rsid w:val="00FE5396"/>
    <w:rsid w:val="00FE553B"/>
    <w:rsid w:val="00FE6FDA"/>
    <w:rsid w:val="00FE7C63"/>
    <w:rsid w:val="00FF0212"/>
    <w:rsid w:val="00FF0729"/>
    <w:rsid w:val="00FF073D"/>
    <w:rsid w:val="00FF098F"/>
    <w:rsid w:val="00FF1EFF"/>
    <w:rsid w:val="00FF2960"/>
    <w:rsid w:val="00FF326A"/>
    <w:rsid w:val="00FF3BF9"/>
    <w:rsid w:val="00FF58FA"/>
    <w:rsid w:val="00FF5C08"/>
    <w:rsid w:val="00FF5F58"/>
    <w:rsid w:val="00FF611F"/>
    <w:rsid w:val="00FF671D"/>
    <w:rsid w:val="00FF6FA5"/>
    <w:rsid w:val="00FF7463"/>
    <w:rsid w:val="00FF7661"/>
    <w:rsid w:val="00FF7804"/>
    <w:rsid w:val="00FF7C9C"/>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B0"/>
    <w:rPr>
      <w:sz w:val="24"/>
      <w:szCs w:val="24"/>
      <w:lang w:val="en-US" w:eastAsia="ja-JP"/>
    </w:rPr>
  </w:style>
  <w:style w:type="paragraph" w:styleId="Heading1">
    <w:name w:val="heading 1"/>
    <w:basedOn w:val="Normal"/>
    <w:next w:val="Normal"/>
    <w:qFormat/>
    <w:rsid w:val="00262A23"/>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262A23"/>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B40D40"/>
    <w:pPr>
      <w:keepNext/>
      <w:spacing w:before="240" w:after="60"/>
      <w:outlineLvl w:val="2"/>
    </w:pPr>
    <w:rPr>
      <w:rFonts w:ascii="Arial" w:hAnsi="Arial" w:cs="Arial"/>
      <w:b/>
      <w:bCs/>
      <w:sz w:val="26"/>
      <w:szCs w:val="26"/>
    </w:rPr>
  </w:style>
  <w:style w:type="paragraph" w:styleId="Heading4">
    <w:name w:val="heading 4"/>
    <w:basedOn w:val="Normal"/>
    <w:next w:val="Normal"/>
    <w:qFormat/>
    <w:rsid w:val="00262A23"/>
    <w:pPr>
      <w:keepNext/>
      <w:spacing w:before="240" w:after="60"/>
      <w:outlineLvl w:val="3"/>
    </w:pPr>
    <w:rPr>
      <w:rFonts w:eastAsia="SimSun"/>
      <w:b/>
      <w:bCs/>
      <w:sz w:val="28"/>
      <w:szCs w:val="28"/>
      <w:lang w:eastAsia="zh-CN"/>
    </w:rPr>
  </w:style>
  <w:style w:type="paragraph" w:styleId="Heading5">
    <w:name w:val="heading 5"/>
    <w:basedOn w:val="Normal"/>
    <w:next w:val="Normal"/>
    <w:qFormat/>
    <w:rsid w:val="00262A23"/>
    <w:pPr>
      <w:spacing w:before="240" w:after="60"/>
      <w:outlineLvl w:val="4"/>
    </w:pPr>
    <w:rPr>
      <w:rFonts w:eastAsia="SimSun"/>
      <w:b/>
      <w:bCs/>
      <w:i/>
      <w:iCs/>
      <w:sz w:val="26"/>
      <w:szCs w:val="26"/>
      <w:lang w:eastAsia="zh-CN"/>
    </w:rPr>
  </w:style>
  <w:style w:type="paragraph" w:styleId="Heading6">
    <w:name w:val="heading 6"/>
    <w:basedOn w:val="Normal"/>
    <w:next w:val="Normal"/>
    <w:qFormat/>
    <w:rsid w:val="00262A23"/>
    <w:pPr>
      <w:spacing w:before="240" w:after="60"/>
      <w:outlineLvl w:val="5"/>
    </w:pPr>
    <w:rPr>
      <w:rFonts w:eastAsia="SimSun"/>
      <w:b/>
      <w:bCs/>
      <w:sz w:val="22"/>
      <w:szCs w:val="22"/>
      <w:lang w:eastAsia="zh-CN"/>
    </w:rPr>
  </w:style>
  <w:style w:type="paragraph" w:styleId="Heading7">
    <w:name w:val="heading 7"/>
    <w:basedOn w:val="Normal"/>
    <w:next w:val="Normal"/>
    <w:qFormat/>
    <w:rsid w:val="00262A23"/>
    <w:pPr>
      <w:spacing w:before="240" w:after="60"/>
      <w:outlineLvl w:val="6"/>
    </w:pPr>
    <w:rPr>
      <w:rFonts w:eastAsia="SimSun"/>
      <w:lang w:eastAsia="zh-CN"/>
    </w:rPr>
  </w:style>
  <w:style w:type="paragraph" w:styleId="Heading8">
    <w:name w:val="heading 8"/>
    <w:basedOn w:val="Normal"/>
    <w:next w:val="Normal"/>
    <w:qFormat/>
    <w:rsid w:val="00262A23"/>
    <w:pPr>
      <w:spacing w:before="240" w:after="60"/>
      <w:outlineLvl w:val="7"/>
    </w:pPr>
    <w:rPr>
      <w:rFonts w:eastAsia="SimSun"/>
      <w:i/>
      <w:iCs/>
      <w:lang w:eastAsia="zh-CN"/>
    </w:rPr>
  </w:style>
  <w:style w:type="paragraph" w:styleId="Heading9">
    <w:name w:val="heading 9"/>
    <w:basedOn w:val="Normal"/>
    <w:next w:val="Normal"/>
    <w:qFormat/>
    <w:rsid w:val="00262A23"/>
    <w:p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0D40"/>
    <w:rPr>
      <w:rFonts w:ascii="Arial" w:eastAsia="MS Mincho" w:hAnsi="Arial" w:cs="Arial"/>
      <w:b/>
      <w:bCs/>
      <w:sz w:val="26"/>
      <w:szCs w:val="26"/>
      <w:lang w:val="en-US" w:eastAsia="ja-JP" w:bidi="ar-SA"/>
    </w:rPr>
  </w:style>
  <w:style w:type="table" w:styleId="TableGrid">
    <w:name w:val="Table Grid"/>
    <w:basedOn w:val="TableNormal"/>
    <w:rsid w:val="009A7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EF3349"/>
    <w:rPr>
      <w:rFonts w:ascii="Tahoma" w:hAnsi="Tahoma" w:cs="Tahoma"/>
      <w:sz w:val="16"/>
      <w:szCs w:val="16"/>
    </w:rPr>
  </w:style>
  <w:style w:type="character" w:styleId="CommentReference">
    <w:name w:val="annotation reference"/>
    <w:rsid w:val="00855FCF"/>
    <w:rPr>
      <w:sz w:val="16"/>
      <w:szCs w:val="16"/>
    </w:rPr>
  </w:style>
  <w:style w:type="paragraph" w:styleId="CommentText">
    <w:name w:val="annotation text"/>
    <w:basedOn w:val="Normal"/>
    <w:link w:val="CommentTextChar"/>
    <w:rsid w:val="00855FCF"/>
    <w:rPr>
      <w:sz w:val="20"/>
      <w:szCs w:val="20"/>
      <w:lang/>
    </w:rPr>
  </w:style>
  <w:style w:type="character" w:customStyle="1" w:styleId="CommentTextChar">
    <w:name w:val="Comment Text Char"/>
    <w:link w:val="CommentText"/>
    <w:rsid w:val="00855FCF"/>
    <w:rPr>
      <w:lang w:eastAsia="ja-JP"/>
    </w:rPr>
  </w:style>
  <w:style w:type="paragraph" w:styleId="CommentSubject">
    <w:name w:val="annotation subject"/>
    <w:basedOn w:val="CommentText"/>
    <w:next w:val="CommentText"/>
    <w:link w:val="CommentSubjectChar"/>
    <w:rsid w:val="00855FCF"/>
    <w:rPr>
      <w:b/>
      <w:bCs/>
    </w:rPr>
  </w:style>
  <w:style w:type="character" w:customStyle="1" w:styleId="CommentSubjectChar">
    <w:name w:val="Comment Subject Char"/>
    <w:link w:val="CommentSubject"/>
    <w:rsid w:val="00855FCF"/>
    <w:rPr>
      <w:b/>
      <w:bCs/>
      <w:lang w:eastAsia="ja-JP"/>
    </w:rPr>
  </w:style>
  <w:style w:type="character" w:styleId="Hyperlink">
    <w:name w:val="Hyperlink"/>
    <w:rsid w:val="003E1C3D"/>
    <w:rPr>
      <w:color w:val="0000FF"/>
      <w:u w:val="single"/>
    </w:rPr>
  </w:style>
  <w:style w:type="table" w:styleId="TableClassic1">
    <w:name w:val="Table Classic 1"/>
    <w:basedOn w:val="TableNormal"/>
    <w:rsid w:val="003E4E2B"/>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rsid w:val="00C7695C"/>
    <w:pPr>
      <w:tabs>
        <w:tab w:val="center" w:pos="4320"/>
        <w:tab w:val="right" w:pos="8640"/>
      </w:tabs>
    </w:pPr>
  </w:style>
  <w:style w:type="character" w:styleId="PageNumber">
    <w:name w:val="page number"/>
    <w:basedOn w:val="DefaultParagraphFont"/>
    <w:rsid w:val="00C7695C"/>
  </w:style>
  <w:style w:type="paragraph" w:styleId="NoSpacing">
    <w:name w:val="No Spacing"/>
    <w:uiPriority w:val="1"/>
    <w:qFormat/>
    <w:rsid w:val="0035164D"/>
    <w:rPr>
      <w:rFonts w:ascii="Calibri" w:eastAsia="Calibri" w:hAnsi="Calibri"/>
      <w:sz w:val="22"/>
      <w:szCs w:val="22"/>
      <w:lang w:eastAsia="en-US"/>
    </w:rPr>
  </w:style>
  <w:style w:type="paragraph" w:styleId="Header">
    <w:name w:val="header"/>
    <w:basedOn w:val="Normal"/>
    <w:link w:val="HeaderChar"/>
    <w:rsid w:val="000F7F04"/>
    <w:pPr>
      <w:tabs>
        <w:tab w:val="center" w:pos="4680"/>
        <w:tab w:val="right" w:pos="9360"/>
      </w:tabs>
    </w:pPr>
    <w:rPr>
      <w:lang/>
    </w:rPr>
  </w:style>
  <w:style w:type="character" w:customStyle="1" w:styleId="HeaderChar">
    <w:name w:val="Header Char"/>
    <w:link w:val="Header"/>
    <w:rsid w:val="000F7F04"/>
    <w:rPr>
      <w:sz w:val="24"/>
      <w:szCs w:val="24"/>
      <w:lang w:eastAsia="ja-JP"/>
    </w:rPr>
  </w:style>
  <w:style w:type="paragraph" w:styleId="ListParagraph">
    <w:name w:val="List Paragraph"/>
    <w:basedOn w:val="Normal"/>
    <w:qFormat/>
    <w:rsid w:val="009D708B"/>
    <w:pPr>
      <w:spacing w:after="200" w:line="276" w:lineRule="auto"/>
      <w:ind w:left="720"/>
      <w:contextualSpacing/>
    </w:pPr>
    <w:rPr>
      <w:rFonts w:eastAsia="Malgun Gothic"/>
      <w:bCs/>
      <w:iCs/>
      <w:lang w:eastAsia="zh-CN"/>
    </w:rPr>
  </w:style>
  <w:style w:type="character" w:customStyle="1" w:styleId="pseudotab">
    <w:name w:val="pseudotab"/>
    <w:basedOn w:val="DefaultParagraphFont"/>
    <w:rsid w:val="00B11225"/>
  </w:style>
  <w:style w:type="paragraph" w:customStyle="1" w:styleId="Standard">
    <w:name w:val="Standard"/>
    <w:rsid w:val="00A349DF"/>
    <w:pPr>
      <w:widowControl w:val="0"/>
      <w:suppressAutoHyphens/>
      <w:autoSpaceDN w:val="0"/>
      <w:textAlignment w:val="baseline"/>
    </w:pPr>
    <w:rPr>
      <w:rFonts w:eastAsia="DejaVu Sans" w:cs="Lohit Hindi"/>
      <w:kern w:val="3"/>
      <w:sz w:val="24"/>
      <w:szCs w:val="24"/>
      <w:lang w:val="en-US" w:eastAsia="zh-CN" w:bidi="hi-IN"/>
    </w:rPr>
  </w:style>
  <w:style w:type="paragraph" w:customStyle="1" w:styleId="Textbody">
    <w:name w:val="Text body"/>
    <w:basedOn w:val="Standard"/>
    <w:rsid w:val="001011E2"/>
    <w:pPr>
      <w:spacing w:after="120"/>
    </w:pPr>
  </w:style>
  <w:style w:type="paragraph" w:customStyle="1" w:styleId="EndNoteBibliographyTitle">
    <w:name w:val="EndNote Bibliography Title"/>
    <w:basedOn w:val="Normal"/>
    <w:link w:val="EndNoteBibliographyTitleChar"/>
    <w:rsid w:val="00CB7934"/>
    <w:pPr>
      <w:jc w:val="center"/>
    </w:pPr>
    <w:rPr>
      <w:noProof/>
    </w:rPr>
  </w:style>
  <w:style w:type="character" w:customStyle="1" w:styleId="EndNoteBibliographyTitleChar">
    <w:name w:val="EndNote Bibliography Title Char"/>
    <w:basedOn w:val="DefaultParagraphFont"/>
    <w:link w:val="EndNoteBibliographyTitle"/>
    <w:rsid w:val="00CB7934"/>
    <w:rPr>
      <w:noProof/>
      <w:sz w:val="24"/>
      <w:szCs w:val="24"/>
      <w:lang w:val="en-US" w:eastAsia="ja-JP"/>
    </w:rPr>
  </w:style>
  <w:style w:type="paragraph" w:customStyle="1" w:styleId="EndNoteBibliography">
    <w:name w:val="EndNote Bibliography"/>
    <w:basedOn w:val="Normal"/>
    <w:link w:val="EndNoteBibliographyChar"/>
    <w:rsid w:val="00CB7934"/>
    <w:rPr>
      <w:noProof/>
    </w:rPr>
  </w:style>
  <w:style w:type="character" w:customStyle="1" w:styleId="EndNoteBibliographyChar">
    <w:name w:val="EndNote Bibliography Char"/>
    <w:basedOn w:val="DefaultParagraphFont"/>
    <w:link w:val="EndNoteBibliography"/>
    <w:rsid w:val="00CB7934"/>
    <w:rPr>
      <w:noProof/>
      <w:sz w:val="24"/>
      <w:szCs w:val="24"/>
      <w:lang w:val="en-US" w:eastAsia="ja-JP"/>
    </w:rPr>
  </w:style>
  <w:style w:type="paragraph" w:styleId="Revision">
    <w:name w:val="Revision"/>
    <w:hidden/>
    <w:uiPriority w:val="99"/>
    <w:semiHidden/>
    <w:rsid w:val="00342B1D"/>
    <w:rPr>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22555551">
      <w:bodyDiv w:val="1"/>
      <w:marLeft w:val="0"/>
      <w:marRight w:val="0"/>
      <w:marTop w:val="0"/>
      <w:marBottom w:val="0"/>
      <w:divBdr>
        <w:top w:val="none" w:sz="0" w:space="0" w:color="auto"/>
        <w:left w:val="none" w:sz="0" w:space="0" w:color="auto"/>
        <w:bottom w:val="none" w:sz="0" w:space="0" w:color="auto"/>
        <w:right w:val="none" w:sz="0" w:space="0" w:color="auto"/>
      </w:divBdr>
    </w:div>
    <w:div w:id="96298420">
      <w:bodyDiv w:val="1"/>
      <w:marLeft w:val="0"/>
      <w:marRight w:val="0"/>
      <w:marTop w:val="0"/>
      <w:marBottom w:val="0"/>
      <w:divBdr>
        <w:top w:val="none" w:sz="0" w:space="0" w:color="auto"/>
        <w:left w:val="none" w:sz="0" w:space="0" w:color="auto"/>
        <w:bottom w:val="none" w:sz="0" w:space="0" w:color="auto"/>
        <w:right w:val="none" w:sz="0" w:space="0" w:color="auto"/>
      </w:divBdr>
    </w:div>
    <w:div w:id="152910795">
      <w:bodyDiv w:val="1"/>
      <w:marLeft w:val="0"/>
      <w:marRight w:val="0"/>
      <w:marTop w:val="0"/>
      <w:marBottom w:val="0"/>
      <w:divBdr>
        <w:top w:val="none" w:sz="0" w:space="0" w:color="auto"/>
        <w:left w:val="none" w:sz="0" w:space="0" w:color="auto"/>
        <w:bottom w:val="none" w:sz="0" w:space="0" w:color="auto"/>
        <w:right w:val="none" w:sz="0" w:space="0" w:color="auto"/>
      </w:divBdr>
    </w:div>
    <w:div w:id="202863301">
      <w:bodyDiv w:val="1"/>
      <w:marLeft w:val="0"/>
      <w:marRight w:val="0"/>
      <w:marTop w:val="0"/>
      <w:marBottom w:val="0"/>
      <w:divBdr>
        <w:top w:val="none" w:sz="0" w:space="0" w:color="auto"/>
        <w:left w:val="none" w:sz="0" w:space="0" w:color="auto"/>
        <w:bottom w:val="none" w:sz="0" w:space="0" w:color="auto"/>
        <w:right w:val="none" w:sz="0" w:space="0" w:color="auto"/>
      </w:divBdr>
    </w:div>
    <w:div w:id="266081274">
      <w:bodyDiv w:val="1"/>
      <w:marLeft w:val="0"/>
      <w:marRight w:val="0"/>
      <w:marTop w:val="0"/>
      <w:marBottom w:val="0"/>
      <w:divBdr>
        <w:top w:val="none" w:sz="0" w:space="0" w:color="auto"/>
        <w:left w:val="none" w:sz="0" w:space="0" w:color="auto"/>
        <w:bottom w:val="none" w:sz="0" w:space="0" w:color="auto"/>
        <w:right w:val="none" w:sz="0" w:space="0" w:color="auto"/>
      </w:divBdr>
    </w:div>
    <w:div w:id="528572865">
      <w:bodyDiv w:val="1"/>
      <w:marLeft w:val="0"/>
      <w:marRight w:val="0"/>
      <w:marTop w:val="0"/>
      <w:marBottom w:val="0"/>
      <w:divBdr>
        <w:top w:val="none" w:sz="0" w:space="0" w:color="auto"/>
        <w:left w:val="none" w:sz="0" w:space="0" w:color="auto"/>
        <w:bottom w:val="none" w:sz="0" w:space="0" w:color="auto"/>
        <w:right w:val="none" w:sz="0" w:space="0" w:color="auto"/>
      </w:divBdr>
    </w:div>
    <w:div w:id="547571314">
      <w:bodyDiv w:val="1"/>
      <w:marLeft w:val="0"/>
      <w:marRight w:val="0"/>
      <w:marTop w:val="0"/>
      <w:marBottom w:val="0"/>
      <w:divBdr>
        <w:top w:val="none" w:sz="0" w:space="0" w:color="auto"/>
        <w:left w:val="none" w:sz="0" w:space="0" w:color="auto"/>
        <w:bottom w:val="none" w:sz="0" w:space="0" w:color="auto"/>
        <w:right w:val="none" w:sz="0" w:space="0" w:color="auto"/>
      </w:divBdr>
    </w:div>
    <w:div w:id="554855938">
      <w:bodyDiv w:val="1"/>
      <w:marLeft w:val="0"/>
      <w:marRight w:val="0"/>
      <w:marTop w:val="0"/>
      <w:marBottom w:val="0"/>
      <w:divBdr>
        <w:top w:val="none" w:sz="0" w:space="0" w:color="auto"/>
        <w:left w:val="none" w:sz="0" w:space="0" w:color="auto"/>
        <w:bottom w:val="none" w:sz="0" w:space="0" w:color="auto"/>
        <w:right w:val="none" w:sz="0" w:space="0" w:color="auto"/>
      </w:divBdr>
    </w:div>
    <w:div w:id="612329049">
      <w:bodyDiv w:val="1"/>
      <w:marLeft w:val="0"/>
      <w:marRight w:val="0"/>
      <w:marTop w:val="0"/>
      <w:marBottom w:val="0"/>
      <w:divBdr>
        <w:top w:val="none" w:sz="0" w:space="0" w:color="auto"/>
        <w:left w:val="none" w:sz="0" w:space="0" w:color="auto"/>
        <w:bottom w:val="none" w:sz="0" w:space="0" w:color="auto"/>
        <w:right w:val="none" w:sz="0" w:space="0" w:color="auto"/>
      </w:divBdr>
    </w:div>
    <w:div w:id="628318646">
      <w:bodyDiv w:val="1"/>
      <w:marLeft w:val="0"/>
      <w:marRight w:val="0"/>
      <w:marTop w:val="0"/>
      <w:marBottom w:val="0"/>
      <w:divBdr>
        <w:top w:val="none" w:sz="0" w:space="0" w:color="auto"/>
        <w:left w:val="none" w:sz="0" w:space="0" w:color="auto"/>
        <w:bottom w:val="none" w:sz="0" w:space="0" w:color="auto"/>
        <w:right w:val="none" w:sz="0" w:space="0" w:color="auto"/>
      </w:divBdr>
    </w:div>
    <w:div w:id="765540639">
      <w:bodyDiv w:val="1"/>
      <w:marLeft w:val="0"/>
      <w:marRight w:val="0"/>
      <w:marTop w:val="0"/>
      <w:marBottom w:val="0"/>
      <w:divBdr>
        <w:top w:val="none" w:sz="0" w:space="0" w:color="auto"/>
        <w:left w:val="none" w:sz="0" w:space="0" w:color="auto"/>
        <w:bottom w:val="none" w:sz="0" w:space="0" w:color="auto"/>
        <w:right w:val="none" w:sz="0" w:space="0" w:color="auto"/>
      </w:divBdr>
    </w:div>
    <w:div w:id="821507456">
      <w:bodyDiv w:val="1"/>
      <w:marLeft w:val="0"/>
      <w:marRight w:val="0"/>
      <w:marTop w:val="0"/>
      <w:marBottom w:val="0"/>
      <w:divBdr>
        <w:top w:val="none" w:sz="0" w:space="0" w:color="auto"/>
        <w:left w:val="none" w:sz="0" w:space="0" w:color="auto"/>
        <w:bottom w:val="none" w:sz="0" w:space="0" w:color="auto"/>
        <w:right w:val="none" w:sz="0" w:space="0" w:color="auto"/>
      </w:divBdr>
    </w:div>
    <w:div w:id="968392651">
      <w:bodyDiv w:val="1"/>
      <w:marLeft w:val="0"/>
      <w:marRight w:val="0"/>
      <w:marTop w:val="0"/>
      <w:marBottom w:val="0"/>
      <w:divBdr>
        <w:top w:val="none" w:sz="0" w:space="0" w:color="auto"/>
        <w:left w:val="none" w:sz="0" w:space="0" w:color="auto"/>
        <w:bottom w:val="none" w:sz="0" w:space="0" w:color="auto"/>
        <w:right w:val="none" w:sz="0" w:space="0" w:color="auto"/>
      </w:divBdr>
    </w:div>
    <w:div w:id="1074543867">
      <w:bodyDiv w:val="1"/>
      <w:marLeft w:val="0"/>
      <w:marRight w:val="0"/>
      <w:marTop w:val="0"/>
      <w:marBottom w:val="0"/>
      <w:divBdr>
        <w:top w:val="none" w:sz="0" w:space="0" w:color="auto"/>
        <w:left w:val="none" w:sz="0" w:space="0" w:color="auto"/>
        <w:bottom w:val="none" w:sz="0" w:space="0" w:color="auto"/>
        <w:right w:val="none" w:sz="0" w:space="0" w:color="auto"/>
      </w:divBdr>
    </w:div>
    <w:div w:id="1187212756">
      <w:bodyDiv w:val="1"/>
      <w:marLeft w:val="0"/>
      <w:marRight w:val="0"/>
      <w:marTop w:val="0"/>
      <w:marBottom w:val="0"/>
      <w:divBdr>
        <w:top w:val="none" w:sz="0" w:space="0" w:color="auto"/>
        <w:left w:val="none" w:sz="0" w:space="0" w:color="auto"/>
        <w:bottom w:val="none" w:sz="0" w:space="0" w:color="auto"/>
        <w:right w:val="none" w:sz="0" w:space="0" w:color="auto"/>
      </w:divBdr>
    </w:div>
    <w:div w:id="1195534986">
      <w:bodyDiv w:val="1"/>
      <w:marLeft w:val="0"/>
      <w:marRight w:val="0"/>
      <w:marTop w:val="0"/>
      <w:marBottom w:val="0"/>
      <w:divBdr>
        <w:top w:val="none" w:sz="0" w:space="0" w:color="auto"/>
        <w:left w:val="none" w:sz="0" w:space="0" w:color="auto"/>
        <w:bottom w:val="none" w:sz="0" w:space="0" w:color="auto"/>
        <w:right w:val="none" w:sz="0" w:space="0" w:color="auto"/>
      </w:divBdr>
    </w:div>
    <w:div w:id="1293948597">
      <w:bodyDiv w:val="1"/>
      <w:marLeft w:val="0"/>
      <w:marRight w:val="0"/>
      <w:marTop w:val="0"/>
      <w:marBottom w:val="0"/>
      <w:divBdr>
        <w:top w:val="none" w:sz="0" w:space="0" w:color="auto"/>
        <w:left w:val="none" w:sz="0" w:space="0" w:color="auto"/>
        <w:bottom w:val="none" w:sz="0" w:space="0" w:color="auto"/>
        <w:right w:val="none" w:sz="0" w:space="0" w:color="auto"/>
      </w:divBdr>
    </w:div>
    <w:div w:id="1329483555">
      <w:bodyDiv w:val="1"/>
      <w:marLeft w:val="0"/>
      <w:marRight w:val="0"/>
      <w:marTop w:val="0"/>
      <w:marBottom w:val="0"/>
      <w:divBdr>
        <w:top w:val="none" w:sz="0" w:space="0" w:color="auto"/>
        <w:left w:val="none" w:sz="0" w:space="0" w:color="auto"/>
        <w:bottom w:val="none" w:sz="0" w:space="0" w:color="auto"/>
        <w:right w:val="none" w:sz="0" w:space="0" w:color="auto"/>
      </w:divBdr>
    </w:div>
    <w:div w:id="1337226863">
      <w:bodyDiv w:val="1"/>
      <w:marLeft w:val="0"/>
      <w:marRight w:val="0"/>
      <w:marTop w:val="0"/>
      <w:marBottom w:val="0"/>
      <w:divBdr>
        <w:top w:val="none" w:sz="0" w:space="0" w:color="auto"/>
        <w:left w:val="none" w:sz="0" w:space="0" w:color="auto"/>
        <w:bottom w:val="none" w:sz="0" w:space="0" w:color="auto"/>
        <w:right w:val="none" w:sz="0" w:space="0" w:color="auto"/>
      </w:divBdr>
    </w:div>
    <w:div w:id="1338189214">
      <w:bodyDiv w:val="1"/>
      <w:marLeft w:val="0"/>
      <w:marRight w:val="0"/>
      <w:marTop w:val="0"/>
      <w:marBottom w:val="0"/>
      <w:divBdr>
        <w:top w:val="none" w:sz="0" w:space="0" w:color="auto"/>
        <w:left w:val="none" w:sz="0" w:space="0" w:color="auto"/>
        <w:bottom w:val="none" w:sz="0" w:space="0" w:color="auto"/>
        <w:right w:val="none" w:sz="0" w:space="0" w:color="auto"/>
      </w:divBdr>
    </w:div>
    <w:div w:id="1354189340">
      <w:bodyDiv w:val="1"/>
      <w:marLeft w:val="0"/>
      <w:marRight w:val="0"/>
      <w:marTop w:val="0"/>
      <w:marBottom w:val="0"/>
      <w:divBdr>
        <w:top w:val="none" w:sz="0" w:space="0" w:color="auto"/>
        <w:left w:val="none" w:sz="0" w:space="0" w:color="auto"/>
        <w:bottom w:val="none" w:sz="0" w:space="0" w:color="auto"/>
        <w:right w:val="none" w:sz="0" w:space="0" w:color="auto"/>
      </w:divBdr>
    </w:div>
    <w:div w:id="1441491925">
      <w:bodyDiv w:val="1"/>
      <w:marLeft w:val="0"/>
      <w:marRight w:val="0"/>
      <w:marTop w:val="0"/>
      <w:marBottom w:val="0"/>
      <w:divBdr>
        <w:top w:val="none" w:sz="0" w:space="0" w:color="auto"/>
        <w:left w:val="none" w:sz="0" w:space="0" w:color="auto"/>
        <w:bottom w:val="none" w:sz="0" w:space="0" w:color="auto"/>
        <w:right w:val="none" w:sz="0" w:space="0" w:color="auto"/>
      </w:divBdr>
    </w:div>
    <w:div w:id="1488781443">
      <w:bodyDiv w:val="1"/>
      <w:marLeft w:val="0"/>
      <w:marRight w:val="0"/>
      <w:marTop w:val="0"/>
      <w:marBottom w:val="0"/>
      <w:divBdr>
        <w:top w:val="none" w:sz="0" w:space="0" w:color="auto"/>
        <w:left w:val="none" w:sz="0" w:space="0" w:color="auto"/>
        <w:bottom w:val="none" w:sz="0" w:space="0" w:color="auto"/>
        <w:right w:val="none" w:sz="0" w:space="0" w:color="auto"/>
      </w:divBdr>
    </w:div>
    <w:div w:id="1619800282">
      <w:bodyDiv w:val="1"/>
      <w:marLeft w:val="0"/>
      <w:marRight w:val="0"/>
      <w:marTop w:val="0"/>
      <w:marBottom w:val="0"/>
      <w:divBdr>
        <w:top w:val="none" w:sz="0" w:space="0" w:color="auto"/>
        <w:left w:val="none" w:sz="0" w:space="0" w:color="auto"/>
        <w:bottom w:val="none" w:sz="0" w:space="0" w:color="auto"/>
        <w:right w:val="none" w:sz="0" w:space="0" w:color="auto"/>
      </w:divBdr>
    </w:div>
    <w:div w:id="1742824564">
      <w:bodyDiv w:val="1"/>
      <w:marLeft w:val="0"/>
      <w:marRight w:val="0"/>
      <w:marTop w:val="0"/>
      <w:marBottom w:val="0"/>
      <w:divBdr>
        <w:top w:val="none" w:sz="0" w:space="0" w:color="auto"/>
        <w:left w:val="none" w:sz="0" w:space="0" w:color="auto"/>
        <w:bottom w:val="none" w:sz="0" w:space="0" w:color="auto"/>
        <w:right w:val="none" w:sz="0" w:space="0" w:color="auto"/>
      </w:divBdr>
      <w:divsChild>
        <w:div w:id="890118993">
          <w:marLeft w:val="0"/>
          <w:marRight w:val="0"/>
          <w:marTop w:val="0"/>
          <w:marBottom w:val="0"/>
          <w:divBdr>
            <w:top w:val="none" w:sz="0" w:space="0" w:color="auto"/>
            <w:left w:val="none" w:sz="0" w:space="0" w:color="auto"/>
            <w:bottom w:val="none" w:sz="0" w:space="0" w:color="auto"/>
            <w:right w:val="none" w:sz="0" w:space="0" w:color="auto"/>
          </w:divBdr>
          <w:divsChild>
            <w:div w:id="11739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6315">
      <w:bodyDiv w:val="1"/>
      <w:marLeft w:val="0"/>
      <w:marRight w:val="0"/>
      <w:marTop w:val="0"/>
      <w:marBottom w:val="0"/>
      <w:divBdr>
        <w:top w:val="none" w:sz="0" w:space="0" w:color="auto"/>
        <w:left w:val="none" w:sz="0" w:space="0" w:color="auto"/>
        <w:bottom w:val="none" w:sz="0" w:space="0" w:color="auto"/>
        <w:right w:val="none" w:sz="0" w:space="0" w:color="auto"/>
      </w:divBdr>
    </w:div>
    <w:div w:id="2048677812">
      <w:bodyDiv w:val="1"/>
      <w:marLeft w:val="0"/>
      <w:marRight w:val="0"/>
      <w:marTop w:val="0"/>
      <w:marBottom w:val="0"/>
      <w:divBdr>
        <w:top w:val="none" w:sz="0" w:space="0" w:color="auto"/>
        <w:left w:val="none" w:sz="0" w:space="0" w:color="auto"/>
        <w:bottom w:val="none" w:sz="0" w:space="0" w:color="auto"/>
        <w:right w:val="none" w:sz="0" w:space="0" w:color="auto"/>
      </w:divBdr>
    </w:div>
    <w:div w:id="20603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C467-988B-46DF-BD5F-3EEEF35A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Population Immunity in India</vt:lpstr>
    </vt:vector>
  </TitlesOfParts>
  <Company>University of Michigan</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Immunity in India</dc:title>
  <dc:creator>Dominika Kalkowska - EWI</dc:creator>
  <cp:lastModifiedBy>jdionaldo</cp:lastModifiedBy>
  <cp:revision>3</cp:revision>
  <cp:lastPrinted>2014-10-23T14:39:00Z</cp:lastPrinted>
  <dcterms:created xsi:type="dcterms:W3CDTF">2015-01-19T14:43:00Z</dcterms:created>
  <dcterms:modified xsi:type="dcterms:W3CDTF">2015-02-04T19:15:00Z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