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FC" w:rsidRPr="00D44C8A" w:rsidRDefault="007010FC" w:rsidP="00F51BBF">
      <w:pPr>
        <w:spacing w:line="480" w:lineRule="auto"/>
        <w:rPr>
          <w:b/>
        </w:rPr>
      </w:pPr>
      <w:r>
        <w:rPr>
          <w:b/>
        </w:rPr>
        <w:t>SUPPLEMENTAL TABLE</w:t>
      </w:r>
    </w:p>
    <w:p w:rsidR="007010FC" w:rsidRDefault="007010FC" w:rsidP="00F51BBF">
      <w:r w:rsidRPr="00F51BBF">
        <w:rPr>
          <w:b/>
        </w:rPr>
        <w:t>Supplemental Table.</w:t>
      </w:r>
      <w:r>
        <w:t xml:space="preserve">  Characteristics of frequent vaccinees, infrequent vaccinees, and those not receiving influenza vaccine during the previous five years.  This comparison is restricted to 7,315 participants </w:t>
      </w:r>
      <w:r w:rsidRPr="00163125">
        <w:t>with ≥5 years of continuous residency</w:t>
      </w:r>
      <w:r>
        <w:t>.</w:t>
      </w:r>
    </w:p>
    <w:p w:rsidR="007010FC" w:rsidRDefault="007010FC" w:rsidP="00F51BBF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2538"/>
        <w:gridCol w:w="2430"/>
        <w:gridCol w:w="2430"/>
        <w:gridCol w:w="2430"/>
        <w:gridCol w:w="2430"/>
      </w:tblGrid>
      <w:tr w:rsidR="007010FC" w:rsidRPr="008861AB" w:rsidTr="008861A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10FC" w:rsidRPr="008861AB" w:rsidRDefault="007010FC" w:rsidP="00F51BBF">
            <w:pPr>
              <w:rPr>
                <w:i/>
                <w:i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/>
                <w:iCs/>
              </w:rPr>
              <w:t>Frequent vaccinees</w:t>
            </w:r>
          </w:p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Cs/>
              </w:rPr>
              <w:t>n=2015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/>
                <w:iCs/>
              </w:rPr>
              <w:t>Infrequent vaccinees</w:t>
            </w:r>
          </w:p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Cs/>
              </w:rPr>
              <w:t>n=2335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/>
                <w:iCs/>
              </w:rPr>
              <w:t>Nonvaccinees</w:t>
            </w:r>
          </w:p>
          <w:p w:rsidR="007010FC" w:rsidRPr="008861AB" w:rsidRDefault="007010FC" w:rsidP="008861AB">
            <w:pPr>
              <w:jc w:val="center"/>
              <w:rPr>
                <w:i/>
                <w:iCs/>
              </w:rPr>
            </w:pPr>
            <w:r w:rsidRPr="008861AB">
              <w:rPr>
                <w:i/>
                <w:iCs/>
              </w:rPr>
              <w:t>n=2965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10FC" w:rsidRPr="008861AB" w:rsidRDefault="007010FC" w:rsidP="008861AB">
            <w:pPr>
              <w:jc w:val="center"/>
              <w:rPr>
                <w:b/>
                <w:i/>
                <w:iCs/>
              </w:rPr>
            </w:pPr>
            <w:r w:rsidRPr="008861AB">
              <w:rPr>
                <w:b/>
                <w:i/>
                <w:iCs/>
              </w:rPr>
              <w:t>p-value</w:t>
            </w:r>
          </w:p>
        </w:tc>
      </w:tr>
      <w:tr w:rsidR="007010FC" w:rsidRPr="008861AB" w:rsidTr="008861AB">
        <w:tc>
          <w:tcPr>
            <w:tcW w:w="2538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F51BBF">
            <w:pPr>
              <w:rPr>
                <w:b/>
              </w:rPr>
            </w:pPr>
            <w:r w:rsidRPr="008861AB">
              <w:rPr>
                <w:b/>
              </w:rPr>
              <w:t>Season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80"/>
              </w:tabs>
              <w:ind w:left="180"/>
            </w:pPr>
            <w:r w:rsidRPr="008861AB">
              <w:t>2004-2005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210 (10)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132 (6)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88 (3)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2005-2006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86 (4)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60 (3)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66 (2)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2006-2007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117 (6)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102 (4)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82 (3)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2007-2008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243 (12)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358 (15)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653 (22)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2008-2009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246 (12)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407 (17)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640 (22)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2010-2011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329 (16)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457 (20)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533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2011-2012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244 (12)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326 (14)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348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45"/>
              </w:tabs>
              <w:ind w:left="145"/>
            </w:pPr>
            <w:r w:rsidRPr="008861AB">
              <w:t>2012-2013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209 (10)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207 (9)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197 (7)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F51BBF">
            <w:pPr>
              <w:rPr>
                <w:b/>
              </w:rPr>
            </w:pPr>
            <w:r w:rsidRPr="008861AB">
              <w:rPr>
                <w:b/>
              </w:rPr>
              <w:t>Median age, years (IQR)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57 (41, 71)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34 (19, 52)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29 (16, 45)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F51BBF">
            <w:pPr>
              <w:rPr>
                <w:b/>
              </w:rPr>
            </w:pPr>
            <w:r w:rsidRPr="008861AB">
              <w:rPr>
                <w:b/>
              </w:rPr>
              <w:t>Age group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9-19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219 (11)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588 (25)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1039 (35)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  <w:rPr>
                <w:b/>
              </w:rPr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20-49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490 (24)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1059 (45)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1385 (47)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  <w:rPr>
                <w:b/>
              </w:rPr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50-59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389 (19)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352 (15)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335 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60-69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334 (17)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205 (9)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137 (5)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70-79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362 (18)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93 (4)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44 (1)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≥80 years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221 (11)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38 (2)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25 (1)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rPr>
                <w:b/>
              </w:rPr>
            </w:pPr>
            <w:r w:rsidRPr="008861AB">
              <w:rPr>
                <w:b/>
              </w:rPr>
              <w:t>Male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678 (34)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846 (36)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1365 (46)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rPr>
                <w:b/>
              </w:rPr>
            </w:pPr>
            <w:r w:rsidRPr="008861AB">
              <w:rPr>
                <w:b/>
              </w:rPr>
              <w:t>Any high risk condition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1287 (64)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917 (39)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639 (22)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Cardiovascular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566 (28)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279 (12)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202 (7)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Diabetes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392 (19)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217 (9)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85 (3)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Pulmonary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547 (27)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459 (20)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286 (10)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Other high risk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635 (32)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371 (16)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246 (8)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rPr>
                <w:b/>
              </w:rPr>
            </w:pPr>
            <w:r w:rsidRPr="008861AB">
              <w:rPr>
                <w:b/>
              </w:rPr>
              <w:t>Onset to swab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&lt;0.001</w:t>
            </w: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&lt;3 days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677 (34)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635 (27)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764 (26)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nil"/>
              <w:right w:val="single" w:sz="6" w:space="0" w:color="000000"/>
            </w:tcBorders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3-4 days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695 (34)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856 (37)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1063 (36)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  <w:tr w:rsidR="007010FC" w:rsidRPr="008861AB" w:rsidTr="008861AB">
        <w:tc>
          <w:tcPr>
            <w:tcW w:w="2538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7010FC" w:rsidRPr="008861AB" w:rsidRDefault="007010FC" w:rsidP="008861AB">
            <w:pPr>
              <w:tabs>
                <w:tab w:val="left" w:pos="160"/>
              </w:tabs>
              <w:ind w:left="160"/>
            </w:pPr>
            <w:r w:rsidRPr="008861AB">
              <w:t>5-7 days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643 (32)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844 (36)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  <w:r w:rsidRPr="008861AB">
              <w:t>1138 (38)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bottom"/>
          </w:tcPr>
          <w:p w:rsidR="007010FC" w:rsidRPr="008861AB" w:rsidRDefault="007010FC" w:rsidP="008861AB">
            <w:pPr>
              <w:jc w:val="center"/>
            </w:pPr>
          </w:p>
        </w:tc>
      </w:tr>
    </w:tbl>
    <w:p w:rsidR="007010FC" w:rsidRDefault="007010FC"/>
    <w:sectPr w:rsidR="007010FC" w:rsidSect="00F51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BF"/>
    <w:rsid w:val="000716B3"/>
    <w:rsid w:val="00163125"/>
    <w:rsid w:val="001F0404"/>
    <w:rsid w:val="007010FC"/>
    <w:rsid w:val="007E1425"/>
    <w:rsid w:val="008861AB"/>
    <w:rsid w:val="00CB22ED"/>
    <w:rsid w:val="00D44C8A"/>
    <w:rsid w:val="00E03AD8"/>
    <w:rsid w:val="00E60BAB"/>
    <w:rsid w:val="00F51BBF"/>
    <w:rsid w:val="00F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F51BB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rsid w:val="00F51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1208</Characters>
  <Application>Microsoft Office Outlook</Application>
  <DocSecurity>0</DocSecurity>
  <Lines>0</Lines>
  <Paragraphs>0</Paragraphs>
  <ScaleCrop>false</ScaleCrop>
  <Company>Marshfield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</dc:title>
  <dc:subject/>
  <dc:creator>McLean, Huong Q</dc:creator>
  <cp:keywords/>
  <dc:description/>
  <cp:lastModifiedBy>638</cp:lastModifiedBy>
  <cp:revision>2</cp:revision>
  <dcterms:created xsi:type="dcterms:W3CDTF">2014-09-29T13:51:00Z</dcterms:created>
  <dcterms:modified xsi:type="dcterms:W3CDTF">2014-09-29T13:51:00Z</dcterms:modified>
</cp:coreProperties>
</file>