
<file path=[Content_Types].xml><?xml version="1.0" encoding="utf-8"?>
<Types xmlns="http://schemas.openxmlformats.org/package/2006/content-types"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861" w:rsidRDefault="00442573">
      <w:r>
        <w:t>Supplementary Figures and Tables</w:t>
      </w:r>
    </w:p>
    <w:p w:rsidR="00D9283C" w:rsidRDefault="00D9283C"/>
    <w:p w:rsidR="00D9283C" w:rsidRDefault="00D9283C">
      <w:pPr>
        <w:rPr>
          <w:rFonts w:ascii="Times New Roman" w:hAnsi="Times New Roman"/>
        </w:rPr>
      </w:pPr>
    </w:p>
    <w:p w:rsidR="00D9283C" w:rsidRDefault="00D9283C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86400" cy="4730750"/>
            <wp:effectExtent l="25400" t="0" r="0" b="0"/>
            <wp:docPr id="5" name="Picture 4" descr="Continental_differenc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inental_difference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83C" w:rsidRDefault="00D9283C"/>
    <w:p w:rsidR="00D9283C" w:rsidRDefault="00FC7A54" w:rsidP="00D9283C">
      <w:pPr>
        <w:jc w:val="both"/>
      </w:pPr>
      <w:r>
        <w:t>Figure S1</w:t>
      </w:r>
      <w:r w:rsidR="00D9283C">
        <w:t>: Pairwise F</w:t>
      </w:r>
      <w:r w:rsidR="00D9283C" w:rsidRPr="00D9283C">
        <w:rPr>
          <w:vertAlign w:val="subscript"/>
        </w:rPr>
        <w:t>ST</w:t>
      </w:r>
      <w:r w:rsidR="00D9283C">
        <w:t xml:space="preserve"> for populations grouped by continent (A) between European and African groups (B) between African and Asian groups (C) between European and Asian groups. The 95</w:t>
      </w:r>
      <w:r w:rsidR="00D9283C" w:rsidRPr="00D9283C">
        <w:rPr>
          <w:vertAlign w:val="superscript"/>
        </w:rPr>
        <w:t>th</w:t>
      </w:r>
      <w:r w:rsidR="00D9283C">
        <w:t xml:space="preserve"> percentile and the 99</w:t>
      </w:r>
      <w:r w:rsidR="00D9283C" w:rsidRPr="00D9283C">
        <w:rPr>
          <w:vertAlign w:val="superscript"/>
        </w:rPr>
        <w:t>th</w:t>
      </w:r>
      <w:r w:rsidR="00D9283C">
        <w:t xml:space="preserve"> percentile are represented by blue and dotted red lines, respectively, in each group. </w:t>
      </w:r>
    </w:p>
    <w:p w:rsidR="00D9283C" w:rsidRDefault="00D9283C" w:rsidP="00D9283C">
      <w:pPr>
        <w:jc w:val="both"/>
      </w:pPr>
    </w:p>
    <w:p w:rsidR="00D9283C" w:rsidRDefault="00D9283C" w:rsidP="00D9283C">
      <w:pPr>
        <w:jc w:val="both"/>
      </w:pPr>
    </w:p>
    <w:p w:rsidR="00D9283C" w:rsidRDefault="00D9283C" w:rsidP="00D9283C">
      <w:pPr>
        <w:jc w:val="both"/>
      </w:pPr>
    </w:p>
    <w:p w:rsidR="00D9283C" w:rsidRDefault="00D9283C" w:rsidP="00D9283C">
      <w:pPr>
        <w:jc w:val="both"/>
      </w:pPr>
    </w:p>
    <w:p w:rsidR="00D9283C" w:rsidRDefault="00D9283C" w:rsidP="00D9283C">
      <w:pPr>
        <w:jc w:val="both"/>
      </w:pPr>
      <w:r>
        <w:rPr>
          <w:noProof/>
        </w:rPr>
        <w:drawing>
          <wp:inline distT="0" distB="0" distL="0" distR="0">
            <wp:extent cx="5486400" cy="5099685"/>
            <wp:effectExtent l="25400" t="0" r="0" b="0"/>
            <wp:docPr id="6" name="Picture 5" descr="FST_pvalu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T_pvalues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DDE" w:rsidRDefault="00FC7A54" w:rsidP="00D9283C">
      <w:pPr>
        <w:jc w:val="both"/>
      </w:pPr>
      <w:r>
        <w:t>Figure S2</w:t>
      </w:r>
      <w:r w:rsidR="00D9283C">
        <w:t>: Distribution of p-values for pairwise F</w:t>
      </w:r>
      <w:r w:rsidR="00D9283C" w:rsidRPr="00240899">
        <w:rPr>
          <w:vertAlign w:val="subscript"/>
        </w:rPr>
        <w:t>ST</w:t>
      </w:r>
      <w:r w:rsidR="00D9283C">
        <w:t>’s measured between African and non-African populations. The 95</w:t>
      </w:r>
      <w:r w:rsidR="00D9283C" w:rsidRPr="00D9283C">
        <w:rPr>
          <w:vertAlign w:val="superscript"/>
        </w:rPr>
        <w:t>th</w:t>
      </w:r>
      <w:r w:rsidR="00D9283C">
        <w:t xml:space="preserve"> percentile and the 99</w:t>
      </w:r>
      <w:r w:rsidR="00D9283C" w:rsidRPr="00D9283C">
        <w:rPr>
          <w:vertAlign w:val="superscript"/>
        </w:rPr>
        <w:t>th</w:t>
      </w:r>
      <w:r w:rsidR="00D9283C">
        <w:t xml:space="preserve"> percentile are represented by blue and dotted red lines, respectively. The black dotted line represents p-values below (p &lt; 0.05). </w:t>
      </w:r>
      <w:r w:rsidR="000F7226">
        <w:t xml:space="preserve"> PD-miRNA variants are highlighted in orange and HPD-miRNA variants in green. (Insert) Blow-up of all significant F</w:t>
      </w:r>
      <w:r w:rsidR="000F7226" w:rsidRPr="000F7226">
        <w:rPr>
          <w:vertAlign w:val="subscript"/>
        </w:rPr>
        <w:t>ST</w:t>
      </w:r>
      <w:r w:rsidR="000F7226">
        <w:t>’s (p &lt;0.05)</w:t>
      </w:r>
      <w:r w:rsidR="00D9283C">
        <w:t xml:space="preserve"> </w:t>
      </w:r>
    </w:p>
    <w:p w:rsidR="00B83D21" w:rsidRDefault="00B83D21">
      <w:pPr>
        <w:rPr>
          <w:noProof/>
        </w:rPr>
      </w:pPr>
    </w:p>
    <w:p w:rsidR="0068741C" w:rsidRDefault="00B83D21">
      <w:r>
        <w:rPr>
          <w:noProof/>
        </w:rPr>
        <w:drawing>
          <wp:inline distT="0" distB="0" distL="0" distR="0">
            <wp:extent cx="5486400" cy="5127625"/>
            <wp:effectExtent l="25400" t="0" r="0" b="0"/>
            <wp:docPr id="10" name="Picture 9" descr="S1_seed_sequenc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_seed_sequence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EF" w:rsidRDefault="007203EF"/>
    <w:p w:rsidR="000F7226" w:rsidRDefault="001958D6">
      <w:pPr>
        <w:rPr>
          <w:rFonts w:ascii="Times New Roman" w:hAnsi="Times New Roman"/>
        </w:rPr>
      </w:pPr>
      <w:r>
        <w:t>Figure</w:t>
      </w:r>
      <w:r w:rsidR="00105DDE">
        <w:t xml:space="preserve"> </w:t>
      </w:r>
      <w:r w:rsidR="00442573">
        <w:t>S</w:t>
      </w:r>
      <w:r w:rsidR="00FC7A54">
        <w:t>3</w:t>
      </w:r>
      <w:r w:rsidR="00442573">
        <w:t xml:space="preserve">: </w:t>
      </w:r>
      <w:r>
        <w:t>Allele</w:t>
      </w:r>
      <w:r w:rsidR="00240899">
        <w:t xml:space="preserve"> f</w:t>
      </w:r>
      <w:r w:rsidR="0068741C">
        <w:t xml:space="preserve">requencies for </w:t>
      </w:r>
      <w:r w:rsidR="00D3584A">
        <w:t>the 4 PD-variants in miRNA seed sequences</w:t>
      </w:r>
      <w:r>
        <w:t>, African populations (green) and non-African populations (blue)</w:t>
      </w:r>
      <w:r w:rsidR="00D3584A">
        <w:t>.</w:t>
      </w:r>
      <w:r w:rsidR="00B83D21">
        <w:t xml:space="preserve"> </w:t>
      </w:r>
    </w:p>
    <w:p w:rsidR="000F7226" w:rsidRDefault="000F7226" w:rsidP="00630EBE">
      <w:pPr>
        <w:ind w:left="-144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7285571" cy="5829300"/>
            <wp:effectExtent l="25400" t="0" r="4229" b="0"/>
            <wp:docPr id="7" name="Picture 6" descr="Sig_Target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_Targets2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85571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226" w:rsidRDefault="000F7226">
      <w:pPr>
        <w:rPr>
          <w:rFonts w:ascii="Times New Roman" w:hAnsi="Times New Roman"/>
        </w:rPr>
      </w:pPr>
    </w:p>
    <w:p w:rsidR="000F7226" w:rsidRPr="000F7226" w:rsidRDefault="000F7226" w:rsidP="000F7226">
      <w:pPr>
        <w:rPr>
          <w:rFonts w:ascii="Times New Roman" w:hAnsi="Times New Roman"/>
        </w:rPr>
      </w:pPr>
      <w:r w:rsidRPr="000F7226">
        <w:rPr>
          <w:rFonts w:ascii="Times New Roman" w:hAnsi="Times New Roman"/>
        </w:rPr>
        <w:t>Figure</w:t>
      </w:r>
      <w:r w:rsidR="00FC7A54">
        <w:rPr>
          <w:rFonts w:ascii="Times New Roman" w:hAnsi="Times New Roman"/>
        </w:rPr>
        <w:t xml:space="preserve"> S4</w:t>
      </w:r>
      <w:r w:rsidRPr="000F7226">
        <w:rPr>
          <w:rFonts w:ascii="Times New Roman" w:hAnsi="Times New Roman"/>
        </w:rPr>
        <w:t xml:space="preserve">: </w:t>
      </w:r>
      <w:r w:rsidR="00240899" w:rsidRPr="000F7226">
        <w:rPr>
          <w:rFonts w:ascii="Times New Roman" w:hAnsi="Times New Roman"/>
        </w:rPr>
        <w:t>Biological functions</w:t>
      </w:r>
      <w:r w:rsidR="00240899">
        <w:rPr>
          <w:rFonts w:ascii="Times New Roman" w:hAnsi="Times New Roman"/>
        </w:rPr>
        <w:t xml:space="preserve"> of the 72 significant gene t</w:t>
      </w:r>
      <w:r w:rsidRPr="000F7226">
        <w:rPr>
          <w:rFonts w:ascii="Times New Roman" w:hAnsi="Times New Roman"/>
        </w:rPr>
        <w:t xml:space="preserve">argets of </w:t>
      </w:r>
      <w:r w:rsidR="00630EBE">
        <w:rPr>
          <w:rFonts w:ascii="Times New Roman" w:hAnsi="Times New Roman"/>
        </w:rPr>
        <w:t xml:space="preserve">the </w:t>
      </w:r>
      <w:r w:rsidR="00240899">
        <w:rPr>
          <w:rFonts w:ascii="Times New Roman" w:hAnsi="Times New Roman"/>
        </w:rPr>
        <w:t>8 HPD miRNA</w:t>
      </w:r>
      <w:r w:rsidRPr="000F7226">
        <w:rPr>
          <w:rFonts w:ascii="Times New Roman" w:hAnsi="Times New Roman"/>
        </w:rPr>
        <w:t xml:space="preserve">. </w:t>
      </w:r>
    </w:p>
    <w:p w:rsidR="002B269D" w:rsidRDefault="002B269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86400" cy="4128135"/>
            <wp:effectExtent l="25400" t="0" r="0" b="0"/>
            <wp:docPr id="2" name="Picture 1" descr="F5_Cluster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_Clustering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D" w:rsidRDefault="002B269D">
      <w:pPr>
        <w:rPr>
          <w:rFonts w:ascii="Times New Roman" w:hAnsi="Times New Roman"/>
        </w:rPr>
      </w:pPr>
    </w:p>
    <w:p w:rsidR="002B269D" w:rsidRPr="004D591F" w:rsidRDefault="002B269D" w:rsidP="002B269D">
      <w:pPr>
        <w:jc w:val="both"/>
        <w:rPr>
          <w:rFonts w:ascii="Times New Roman" w:eastAsia="Cambria" w:hAnsi="Times New Roman"/>
          <w:szCs w:val="20"/>
        </w:rPr>
      </w:pPr>
      <w:r>
        <w:rPr>
          <w:rFonts w:ascii="Times New Roman" w:hAnsi="Times New Roman"/>
          <w:szCs w:val="20"/>
        </w:rPr>
        <w:t>Figure S5</w:t>
      </w:r>
      <w:r w:rsidRPr="004D591F">
        <w:rPr>
          <w:rFonts w:ascii="Times New Roman" w:hAnsi="Times New Roman"/>
          <w:szCs w:val="20"/>
        </w:rPr>
        <w:t>: Clustering analysis of enriched biological processes. HPD-miRNA significantly enriched for regulation of 55 biological processes (Supplemental Table S8)</w:t>
      </w:r>
      <w:r>
        <w:rPr>
          <w:rFonts w:ascii="Times New Roman" w:hAnsi="Times New Roman"/>
          <w:szCs w:val="20"/>
        </w:rPr>
        <w:t xml:space="preserve">. </w:t>
      </w:r>
      <w:r>
        <w:rPr>
          <w:rFonts w:ascii="Times New Roman" w:eastAsia="Cambria" w:hAnsi="Times New Roman"/>
          <w:color w:val="000000"/>
          <w:szCs w:val="20"/>
        </w:rPr>
        <w:t>U</w:t>
      </w:r>
      <w:r w:rsidRPr="004D591F">
        <w:rPr>
          <w:rFonts w:ascii="Times New Roman" w:eastAsia="Cambria" w:hAnsi="Times New Roman"/>
          <w:color w:val="000000"/>
          <w:szCs w:val="20"/>
        </w:rPr>
        <w:t>sing the REVIGO clustering-like algorithm</w:t>
      </w:r>
      <w:r>
        <w:rPr>
          <w:rFonts w:ascii="Times New Roman" w:eastAsia="Cambria" w:hAnsi="Times New Roman"/>
          <w:color w:val="000000"/>
          <w:szCs w:val="20"/>
        </w:rPr>
        <w:t xml:space="preserve"> </w:t>
      </w:r>
      <w:r w:rsidRPr="004D591F">
        <w:rPr>
          <w:rFonts w:ascii="Times New Roman" w:eastAsia="Cambria" w:hAnsi="Times New Roman"/>
          <w:color w:val="000000"/>
          <w:szCs w:val="20"/>
        </w:rPr>
        <w:fldChar w:fldCharType="begin"/>
      </w:r>
      <w:r>
        <w:rPr>
          <w:rFonts w:ascii="Times New Roman" w:eastAsia="Cambria" w:hAnsi="Times New Roman"/>
          <w:color w:val="000000"/>
          <w:szCs w:val="20"/>
        </w:rPr>
        <w:instrText xml:space="preserve"> ADDIN EN.CITE &lt;EndNote&gt;&lt;Cite&gt;&lt;Author&gt;Supek&lt;/Author&gt;&lt;Year&gt;2011&lt;/Year&gt;&lt;RecNum&gt;165&lt;/RecNum&gt;&lt;DisplayText&gt;[113]&lt;/DisplayText&gt;&lt;record&gt;&lt;rec-number&gt;165&lt;/rec-number&gt;&lt;foreign-keys&gt;&lt;key app="EN" db-id="5v5fsf2vj059wye2ed75ver80wfarz50edw5"&gt;165&lt;/key&gt;&lt;/foreign-keys&gt;&lt;ref-type name="Journal Article"&gt;17&lt;/ref-type&gt;&lt;contributors&gt;&lt;authors&gt;&lt;author&gt;Supek, F.&lt;/author&gt;&lt;author&gt;Bosnjak, M.&lt;/author&gt;&lt;author&gt;Skunca, N.&lt;/author&gt;&lt;author&gt;Smuc, T.&lt;/author&gt;&lt;/authors&gt;&lt;/contributors&gt;&lt;auth-address&gt;Division of Electronics, Rudjer Boskovic Institute, Zagreb, Croatia. fran.supek@irb.hr&lt;/auth-address&gt;&lt;titles&gt;&lt;title&gt;REVIGO summarizes and visualizes long lists of gene ontology terms&lt;/title&gt;&lt;secondary-title&gt;PloS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One&lt;/abbr-1&gt;&lt;/alt-periodical&gt;&lt;pages&gt;e21800&lt;/pages&gt;&lt;volume&gt;6&lt;/volume&gt;&lt;number&gt;7&lt;/number&gt;&lt;edition&gt;2011/07/27&lt;/edition&gt;&lt;keywords&gt;&lt;keyword&gt;*Algorithms&lt;/keyword&gt;&lt;keyword&gt;Computational Biology/*methods&lt;/keyword&gt;&lt;keyword&gt;Gene Expression Regulation&lt;/keyword&gt;&lt;keyword&gt;Humans&lt;/keyword&gt;&lt;keyword&gt;Internet&lt;/keyword&gt;&lt;keyword&gt;*Molecular Sequence Annotation&lt;/keyword&gt;&lt;keyword&gt;Software&lt;/keyword&gt;&lt;keyword&gt;Transcription Factors/genetics/metabolism&lt;/keyword&gt;&lt;keyword&gt;User-Computer Interface&lt;/keyword&gt;&lt;/keywords&gt;&lt;dates&gt;&lt;year&gt;2011&lt;/year&gt;&lt;/dates&gt;&lt;isbn&gt;1932-6203 (Electronic)&amp;#xD;1932-6203 (Linking)&lt;/isbn&gt;&lt;accession-num&gt;21789182&lt;/accession-num&gt;&lt;work-type&gt;Research Support, Non-U.S. Gov&amp;apos;t&lt;/work-type&gt;&lt;urls&gt;&lt;related-urls&gt;&lt;url&gt;http://www.ncbi.nlm.nih.gov/pubmed/21789182&lt;/url&gt;&lt;/related-urls&gt;&lt;/urls&gt;&lt;custom2&gt;3138752&lt;/custom2&gt;&lt;electronic-resource-num&gt;10.1371/journal.pone.0021800&lt;/electronic-resource-num&gt;&lt;language&gt;eng&lt;/language&gt;&lt;/record&gt;&lt;/Cite&gt;&lt;/EndNote&gt;</w:instrText>
      </w:r>
      <w:r w:rsidRPr="004D591F">
        <w:rPr>
          <w:rFonts w:ascii="Times New Roman" w:eastAsia="Cambria" w:hAnsi="Times New Roman"/>
          <w:color w:val="000000"/>
          <w:szCs w:val="20"/>
        </w:rPr>
        <w:fldChar w:fldCharType="separate"/>
      </w:r>
      <w:r>
        <w:rPr>
          <w:rFonts w:ascii="Times New Roman" w:eastAsia="Cambria" w:hAnsi="Times New Roman"/>
          <w:noProof/>
          <w:color w:val="000000"/>
          <w:szCs w:val="20"/>
        </w:rPr>
        <w:t>[</w:t>
      </w:r>
      <w:hyperlink w:anchor="_ENREF_113" w:tooltip="Supek, 2011 #165" w:history="1">
        <w:r>
          <w:rPr>
            <w:rFonts w:ascii="Times New Roman" w:eastAsia="Cambria" w:hAnsi="Times New Roman"/>
            <w:noProof/>
            <w:color w:val="000000"/>
            <w:szCs w:val="20"/>
          </w:rPr>
          <w:t>113</w:t>
        </w:r>
      </w:hyperlink>
      <w:r>
        <w:rPr>
          <w:rFonts w:ascii="Times New Roman" w:eastAsia="Cambria" w:hAnsi="Times New Roman"/>
          <w:noProof/>
          <w:color w:val="000000"/>
          <w:szCs w:val="20"/>
        </w:rPr>
        <w:t>]</w:t>
      </w:r>
      <w:r w:rsidRPr="004D591F">
        <w:rPr>
          <w:rFonts w:ascii="Times New Roman" w:eastAsia="Cambria" w:hAnsi="Times New Roman"/>
          <w:color w:val="000000"/>
          <w:szCs w:val="20"/>
        </w:rPr>
        <w:fldChar w:fldCharType="end"/>
      </w:r>
      <w:r w:rsidRPr="004D591F">
        <w:rPr>
          <w:rFonts w:ascii="Times New Roman" w:eastAsia="Cambria" w:hAnsi="Times New Roman"/>
          <w:color w:val="000000"/>
          <w:szCs w:val="20"/>
        </w:rPr>
        <w:t xml:space="preserve">, </w:t>
      </w:r>
      <w:r>
        <w:rPr>
          <w:rFonts w:ascii="Times New Roman" w:eastAsia="Cambria" w:hAnsi="Times New Roman"/>
          <w:color w:val="000000"/>
          <w:szCs w:val="20"/>
        </w:rPr>
        <w:t xml:space="preserve">biological processes were clustered </w:t>
      </w:r>
      <w:r w:rsidRPr="004D591F">
        <w:rPr>
          <w:rFonts w:ascii="Times New Roman" w:hAnsi="Times New Roman"/>
          <w:szCs w:val="20"/>
        </w:rPr>
        <w:t xml:space="preserve">based on </w:t>
      </w:r>
      <w:r w:rsidRPr="004D591F">
        <w:rPr>
          <w:rFonts w:ascii="Times New Roman" w:eastAsia="Cambria" w:hAnsi="Times New Roman"/>
          <w:color w:val="000000"/>
          <w:szCs w:val="20"/>
        </w:rPr>
        <w:t xml:space="preserve">previously defined measures of semantic similarity in gene ontology </w:t>
      </w:r>
      <w:r w:rsidRPr="004D591F">
        <w:rPr>
          <w:rFonts w:ascii="Times New Roman" w:eastAsia="Cambria" w:hAnsi="Times New Roman"/>
          <w:color w:val="000000"/>
          <w:szCs w:val="20"/>
        </w:rPr>
        <w:fldChar w:fldCharType="begin"/>
      </w:r>
      <w:r>
        <w:rPr>
          <w:rFonts w:ascii="Times New Roman" w:eastAsia="Cambria" w:hAnsi="Times New Roman"/>
          <w:color w:val="000000"/>
          <w:szCs w:val="20"/>
        </w:rPr>
        <w:instrText xml:space="preserve"> ADDIN EN.CITE &lt;EndNote&gt;&lt;Cite&gt;&lt;Author&gt;Supek&lt;/Author&gt;&lt;Year&gt;2011&lt;/Year&gt;&lt;RecNum&gt;165&lt;/RecNum&gt;&lt;DisplayText&gt;[113]&lt;/DisplayText&gt;&lt;record&gt;&lt;rec-number&gt;165&lt;/rec-number&gt;&lt;foreign-keys&gt;&lt;key app="EN" db-id="5v5fsf2vj059wye2ed75ver80wfarz50edw5"&gt;165&lt;/key&gt;&lt;/foreign-keys&gt;&lt;ref-type name="Journal Article"&gt;17&lt;/ref-type&gt;&lt;contributors&gt;&lt;authors&gt;&lt;author&gt;Supek, F.&lt;/author&gt;&lt;author&gt;Bosnjak, M.&lt;/author&gt;&lt;author&gt;Skunca, N.&lt;/author&gt;&lt;author&gt;Smuc, T.&lt;/author&gt;&lt;/authors&gt;&lt;/contributors&gt;&lt;auth-address&gt;Division of Electronics, Rudjer Boskovic Institute, Zagreb, Croatia. fran.supek@irb.hr&lt;/auth-address&gt;&lt;titles&gt;&lt;title&gt;REVIGO summarizes and visualizes long lists of gene ontology terms&lt;/title&gt;&lt;secondary-title&gt;PloS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One&lt;/abbr-1&gt;&lt;/alt-periodical&gt;&lt;pages&gt;e21800&lt;/pages&gt;&lt;volume&gt;6&lt;/volume&gt;&lt;number&gt;7&lt;/number&gt;&lt;edition&gt;2011/07/27&lt;/edition&gt;&lt;keywords&gt;&lt;keyword&gt;*Algorithms&lt;/keyword&gt;&lt;keyword&gt;Computational Biology/*methods&lt;/keyword&gt;&lt;keyword&gt;Gene Expression Regulation&lt;/keyword&gt;&lt;keyword&gt;Humans&lt;/keyword&gt;&lt;keyword&gt;Internet&lt;/keyword&gt;&lt;keyword&gt;*Molecular Sequence Annotation&lt;/keyword&gt;&lt;keyword&gt;Software&lt;/keyword&gt;&lt;keyword&gt;Transcription Factors/genetics/metabolism&lt;/keyword&gt;&lt;keyword&gt;User-Computer Interface&lt;/keyword&gt;&lt;/keywords&gt;&lt;dates&gt;&lt;year&gt;2011&lt;/year&gt;&lt;/dates&gt;&lt;isbn&gt;1932-6203 (Electronic)&amp;#xD;1932-6203 (Linking)&lt;/isbn&gt;&lt;accession-num&gt;21789182&lt;/accession-num&gt;&lt;work-type&gt;Research Support, Non-U.S. Gov&amp;apos;t&lt;/work-type&gt;&lt;urls&gt;&lt;related-urls&gt;&lt;url&gt;http://www.ncbi.nlm.nih.gov/pubmed/21789182&lt;/url&gt;&lt;/related-urls&gt;&lt;/urls&gt;&lt;custom2&gt;3138752&lt;/custom2&gt;&lt;electronic-resource-num&gt;10.1371/journal.pone.0021800&lt;/electronic-resource-num&gt;&lt;language&gt;eng&lt;/language&gt;&lt;/record&gt;&lt;/Cite&gt;&lt;/EndNote&gt;</w:instrText>
      </w:r>
      <w:r w:rsidRPr="004D591F">
        <w:rPr>
          <w:rFonts w:ascii="Times New Roman" w:eastAsia="Cambria" w:hAnsi="Times New Roman"/>
          <w:color w:val="000000"/>
          <w:szCs w:val="20"/>
        </w:rPr>
        <w:fldChar w:fldCharType="separate"/>
      </w:r>
      <w:r>
        <w:rPr>
          <w:rFonts w:ascii="Times New Roman" w:eastAsia="Cambria" w:hAnsi="Times New Roman"/>
          <w:noProof/>
          <w:color w:val="000000"/>
          <w:szCs w:val="20"/>
        </w:rPr>
        <w:t>[</w:t>
      </w:r>
      <w:hyperlink w:anchor="_ENREF_113" w:tooltip="Supek, 2011 #165" w:history="1">
        <w:r>
          <w:rPr>
            <w:rFonts w:ascii="Times New Roman" w:eastAsia="Cambria" w:hAnsi="Times New Roman"/>
            <w:noProof/>
            <w:color w:val="000000"/>
            <w:szCs w:val="20"/>
          </w:rPr>
          <w:t>113</w:t>
        </w:r>
      </w:hyperlink>
      <w:r>
        <w:rPr>
          <w:rFonts w:ascii="Times New Roman" w:eastAsia="Cambria" w:hAnsi="Times New Roman"/>
          <w:noProof/>
          <w:color w:val="000000"/>
          <w:szCs w:val="20"/>
        </w:rPr>
        <w:t>]</w:t>
      </w:r>
      <w:r w:rsidRPr="004D591F">
        <w:rPr>
          <w:rFonts w:ascii="Times New Roman" w:eastAsia="Cambria" w:hAnsi="Times New Roman"/>
          <w:color w:val="000000"/>
          <w:szCs w:val="20"/>
        </w:rPr>
        <w:fldChar w:fldCharType="end"/>
      </w:r>
      <w:r w:rsidRPr="004D591F">
        <w:rPr>
          <w:rFonts w:ascii="Times New Roman" w:eastAsia="Cambria" w:hAnsi="Times New Roman"/>
          <w:color w:val="000000"/>
          <w:szCs w:val="20"/>
        </w:rPr>
        <w:t xml:space="preserve">. </w:t>
      </w:r>
      <w:r>
        <w:rPr>
          <w:rFonts w:ascii="Times New Roman" w:eastAsia="Cambria" w:hAnsi="Times New Roman"/>
          <w:color w:val="000000"/>
          <w:szCs w:val="20"/>
        </w:rPr>
        <w:t>Clustering identified 26 semantically unique</w:t>
      </w:r>
      <w:r w:rsidRPr="004D591F">
        <w:rPr>
          <w:rFonts w:ascii="Times New Roman" w:eastAsia="Cambria" w:hAnsi="Times New Roman"/>
          <w:color w:val="000000"/>
          <w:szCs w:val="20"/>
        </w:rPr>
        <w:t xml:space="preserve"> </w:t>
      </w:r>
      <w:r>
        <w:rPr>
          <w:rFonts w:ascii="Times New Roman" w:eastAsia="Cambria" w:hAnsi="Times New Roman"/>
          <w:color w:val="000000"/>
          <w:szCs w:val="20"/>
        </w:rPr>
        <w:t>biological processes that represented</w:t>
      </w:r>
      <w:r w:rsidRPr="004D591F">
        <w:rPr>
          <w:rFonts w:ascii="Times New Roman" w:eastAsia="Cambria" w:hAnsi="Times New Roman"/>
          <w:color w:val="000000"/>
          <w:szCs w:val="20"/>
        </w:rPr>
        <w:t xml:space="preserve"> the minimum set necessary to describe the </w:t>
      </w:r>
      <w:r>
        <w:rPr>
          <w:rFonts w:ascii="Times New Roman" w:eastAsia="Cambria" w:hAnsi="Times New Roman"/>
          <w:color w:val="000000"/>
          <w:szCs w:val="20"/>
        </w:rPr>
        <w:t>entire list.</w:t>
      </w:r>
      <w:r w:rsidRPr="004D591F">
        <w:rPr>
          <w:rFonts w:ascii="Times New Roman" w:eastAsia="Cambria" w:hAnsi="Times New Roman"/>
          <w:color w:val="000000"/>
          <w:szCs w:val="20"/>
        </w:rPr>
        <w:t xml:space="preserve"> </w:t>
      </w:r>
      <w:r w:rsidRPr="004D591F">
        <w:rPr>
          <w:rFonts w:ascii="Times New Roman" w:hAnsi="Times New Roman"/>
          <w:szCs w:val="20"/>
        </w:rPr>
        <w:t xml:space="preserve">Connected </w:t>
      </w:r>
      <w:r>
        <w:rPr>
          <w:rFonts w:ascii="Times New Roman" w:hAnsi="Times New Roman"/>
          <w:szCs w:val="20"/>
        </w:rPr>
        <w:t>biological processes</w:t>
      </w:r>
      <w:r w:rsidRPr="004D591F">
        <w:rPr>
          <w:rFonts w:ascii="Times New Roman" w:hAnsi="Times New Roman"/>
          <w:szCs w:val="20"/>
        </w:rPr>
        <w:t xml:space="preserve"> have similar GO classifications with line thickness representing the strength of the </w:t>
      </w:r>
      <w:r w:rsidRPr="004D591F">
        <w:rPr>
          <w:rFonts w:ascii="Times New Roman" w:eastAsia="Cambria" w:hAnsi="Times New Roman"/>
          <w:color w:val="000000"/>
          <w:szCs w:val="20"/>
        </w:rPr>
        <w:t>semantic connection</w:t>
      </w:r>
      <w:r w:rsidRPr="004D591F">
        <w:rPr>
          <w:rFonts w:ascii="Times New Roman" w:hAnsi="Times New Roman"/>
          <w:szCs w:val="20"/>
        </w:rPr>
        <w:t>.  Significance level</w:t>
      </w:r>
      <w:r>
        <w:rPr>
          <w:rFonts w:ascii="Times New Roman" w:hAnsi="Times New Roman"/>
          <w:szCs w:val="20"/>
        </w:rPr>
        <w:t>s</w:t>
      </w:r>
      <w:r w:rsidRPr="004D591F">
        <w:rPr>
          <w:rFonts w:ascii="Times New Roman" w:hAnsi="Times New Roman"/>
          <w:szCs w:val="20"/>
        </w:rPr>
        <w:t xml:space="preserve"> of </w:t>
      </w:r>
      <w:r>
        <w:rPr>
          <w:rFonts w:ascii="Times New Roman" w:hAnsi="Times New Roman"/>
          <w:szCs w:val="20"/>
        </w:rPr>
        <w:t>biological process</w:t>
      </w:r>
      <w:r w:rsidRPr="004D591F">
        <w:rPr>
          <w:rFonts w:ascii="Times New Roman" w:hAnsi="Times New Roman"/>
          <w:szCs w:val="20"/>
        </w:rPr>
        <w:t xml:space="preserve"> cluster</w:t>
      </w:r>
      <w:r>
        <w:rPr>
          <w:rFonts w:ascii="Times New Roman" w:hAnsi="Times New Roman"/>
          <w:szCs w:val="20"/>
        </w:rPr>
        <w:t>s</w:t>
      </w:r>
      <w:r w:rsidRPr="004D591F">
        <w:rPr>
          <w:rFonts w:ascii="Times New Roman" w:hAnsi="Times New Roman"/>
          <w:szCs w:val="20"/>
        </w:rPr>
        <w:t xml:space="preserve"> </w:t>
      </w:r>
      <w:r>
        <w:rPr>
          <w:rFonts w:ascii="Times New Roman" w:hAnsi="Times New Roman"/>
          <w:szCs w:val="20"/>
        </w:rPr>
        <w:t xml:space="preserve">are </w:t>
      </w:r>
      <w:r w:rsidRPr="004D591F">
        <w:rPr>
          <w:rFonts w:ascii="Times New Roman" w:hAnsi="Times New Roman"/>
          <w:szCs w:val="20"/>
        </w:rPr>
        <w:t>indicated with bubble color (cluster</w:t>
      </w:r>
      <w:r>
        <w:rPr>
          <w:rFonts w:ascii="Times New Roman" w:hAnsi="Times New Roman"/>
          <w:szCs w:val="20"/>
        </w:rPr>
        <w:t>s</w:t>
      </w:r>
      <w:r w:rsidRPr="004D591F">
        <w:rPr>
          <w:rFonts w:ascii="Times New Roman" w:hAnsi="Times New Roman"/>
          <w:szCs w:val="20"/>
        </w:rPr>
        <w:t xml:space="preserve"> shown in red have p-values </w:t>
      </w:r>
      <w:r>
        <w:rPr>
          <w:rFonts w:ascii="Times New Roman" w:hAnsi="Times New Roman"/>
          <w:szCs w:val="20"/>
        </w:rPr>
        <w:t xml:space="preserve">that remain significant after </w:t>
      </w:r>
      <w:proofErr w:type="spellStart"/>
      <w:r>
        <w:rPr>
          <w:rFonts w:ascii="Times New Roman" w:hAnsi="Times New Roman"/>
          <w:szCs w:val="20"/>
        </w:rPr>
        <w:t>Bonferroni</w:t>
      </w:r>
      <w:proofErr w:type="spellEnd"/>
      <w:r>
        <w:rPr>
          <w:rFonts w:ascii="Times New Roman" w:hAnsi="Times New Roman"/>
          <w:szCs w:val="20"/>
        </w:rPr>
        <w:t xml:space="preserve"> correction</w:t>
      </w:r>
      <w:r w:rsidRPr="004D591F">
        <w:rPr>
          <w:rFonts w:ascii="Times New Roman" w:hAnsi="Times New Roman"/>
          <w:szCs w:val="20"/>
        </w:rPr>
        <w:t xml:space="preserve">). </w:t>
      </w:r>
    </w:p>
    <w:p w:rsidR="00105DDE" w:rsidRDefault="00105DDE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="005853CC">
        <w:rPr>
          <w:rFonts w:ascii="Times New Roman" w:hAnsi="Times New Roman"/>
          <w:noProof/>
        </w:rPr>
        <w:drawing>
          <wp:inline distT="0" distB="0" distL="0" distR="0">
            <wp:extent cx="5486400" cy="8185150"/>
            <wp:effectExtent l="25400" t="0" r="0" b="0"/>
            <wp:docPr id="1" name="Picture 0" descr="LD_plot_TOTAL_BIS_AR.MC_Fina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_plot_TOTAL_BIS_AR.MC_Final.tif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8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1C" w:rsidRDefault="0068741C" w:rsidP="002E6C0F">
      <w:pPr>
        <w:ind w:left="-720"/>
        <w:rPr>
          <w:rFonts w:ascii="Times New Roman" w:hAnsi="Times New Roman"/>
        </w:rPr>
      </w:pPr>
    </w:p>
    <w:p w:rsidR="00105DDE" w:rsidRDefault="00105DDE" w:rsidP="00105DDE">
      <w:pPr>
        <w:rPr>
          <w:rFonts w:ascii="Times New Roman" w:hAnsi="Times New Roman"/>
        </w:rPr>
      </w:pPr>
    </w:p>
    <w:p w:rsidR="005853CC" w:rsidRDefault="005853CC" w:rsidP="007203EF">
      <w:pPr>
        <w:jc w:val="both"/>
        <w:rPr>
          <w:rFonts w:ascii="Times New Roman" w:eastAsia="Times New Roman" w:hAnsi="Times New Roman"/>
        </w:rPr>
      </w:pPr>
      <w:r w:rsidRPr="00F2649A">
        <w:rPr>
          <w:rFonts w:ascii="Times New Roman" w:eastAsia="Times New Roman" w:hAnsi="Times New Roman"/>
        </w:rPr>
        <w:t xml:space="preserve">Figure </w:t>
      </w:r>
      <w:r>
        <w:rPr>
          <w:rFonts w:ascii="Times New Roman" w:eastAsia="Times New Roman" w:hAnsi="Times New Roman"/>
        </w:rPr>
        <w:t>S5</w:t>
      </w:r>
      <w:r w:rsidRPr="00F2649A">
        <w:rPr>
          <w:rFonts w:ascii="Times New Roman" w:eastAsia="Times New Roman" w:hAnsi="Times New Roman"/>
        </w:rPr>
        <w:t xml:space="preserve">. </w:t>
      </w:r>
      <w:r w:rsidRPr="005853CC">
        <w:rPr>
          <w:rFonts w:ascii="Times New Roman" w:eastAsia="Times New Roman" w:hAnsi="Times New Roman"/>
        </w:rPr>
        <w:t xml:space="preserve">LD plots for </w:t>
      </w:r>
      <w:r w:rsidR="00204B41">
        <w:rPr>
          <w:rFonts w:ascii="Times New Roman" w:eastAsia="Times New Roman" w:hAnsi="Times New Roman"/>
        </w:rPr>
        <w:t>HPD-</w:t>
      </w:r>
      <w:proofErr w:type="spellStart"/>
      <w:r w:rsidR="00204B41">
        <w:rPr>
          <w:rFonts w:ascii="Times New Roman" w:eastAsia="Times New Roman" w:hAnsi="Times New Roman"/>
        </w:rPr>
        <w:t>SNPs</w:t>
      </w:r>
      <w:proofErr w:type="spellEnd"/>
      <w:r w:rsidR="00204B41">
        <w:rPr>
          <w:rFonts w:ascii="Times New Roman" w:eastAsia="Times New Roman" w:hAnsi="Times New Roman"/>
        </w:rPr>
        <w:t xml:space="preserve"> in </w:t>
      </w:r>
      <w:r w:rsidRPr="005853CC">
        <w:rPr>
          <w:rFonts w:ascii="Times New Roman" w:eastAsia="Times New Roman" w:hAnsi="Times New Roman"/>
        </w:rPr>
        <w:t>African Population from West Central, Central and East Africa.</w:t>
      </w:r>
      <w:r w:rsidRPr="00F2649A">
        <w:rPr>
          <w:rFonts w:ascii="Times New Roman" w:eastAsia="Times New Roman" w:hAnsi="Times New Roman"/>
        </w:rPr>
        <w:t xml:space="preserve"> </w:t>
      </w:r>
      <w:proofErr w:type="spellStart"/>
      <w:r w:rsidRPr="00F2649A">
        <w:rPr>
          <w:rFonts w:ascii="Times New Roman" w:eastAsia="Times New Roman" w:hAnsi="Times New Roman"/>
        </w:rPr>
        <w:t>Pairwise</w:t>
      </w:r>
      <w:proofErr w:type="spellEnd"/>
      <w:r w:rsidRPr="00F2649A">
        <w:rPr>
          <w:rFonts w:ascii="Times New Roman" w:eastAsia="Times New Roman" w:hAnsi="Times New Roman"/>
        </w:rPr>
        <w:t xml:space="preserve"> plots of LD </w:t>
      </w:r>
      <w:r>
        <w:rPr>
          <w:rFonts w:ascii="Times New Roman" w:eastAsia="Times New Roman" w:hAnsi="Times New Roman"/>
        </w:rPr>
        <w:t xml:space="preserve">among genotyped loci from the </w:t>
      </w:r>
      <w:proofErr w:type="spellStart"/>
      <w:r>
        <w:rPr>
          <w:rFonts w:ascii="Times New Roman" w:eastAsia="Times New Roman" w:hAnsi="Times New Roman"/>
        </w:rPr>
        <w:t>Illumina</w:t>
      </w:r>
      <w:proofErr w:type="spellEnd"/>
      <w:r>
        <w:rPr>
          <w:rFonts w:ascii="Times New Roman" w:eastAsia="Times New Roman" w:hAnsi="Times New Roman"/>
        </w:rPr>
        <w:t xml:space="preserve"> 1M Duo SNP array that flank HPD-</w:t>
      </w:r>
      <w:proofErr w:type="spellStart"/>
      <w:r>
        <w:rPr>
          <w:rFonts w:ascii="Times New Roman" w:eastAsia="Times New Roman" w:hAnsi="Times New Roman"/>
        </w:rPr>
        <w:t>miRNAs</w:t>
      </w:r>
      <w:proofErr w:type="spellEnd"/>
      <w:r>
        <w:rPr>
          <w:rFonts w:ascii="Times New Roman" w:eastAsia="Times New Roman" w:hAnsi="Times New Roman"/>
        </w:rPr>
        <w:t xml:space="preserve"> </w:t>
      </w:r>
      <w:r w:rsidRPr="00FE5059">
        <w:rPr>
          <w:rFonts w:ascii="Times New Roman" w:eastAsia="Times New Roman" w:hAnsi="Times New Roman"/>
        </w:rPr>
        <w:t>on chromosomes 4,5,10, 11,13 and</w:t>
      </w:r>
      <w:r>
        <w:rPr>
          <w:rFonts w:ascii="Times New Roman" w:eastAsia="Times New Roman" w:hAnsi="Times New Roman"/>
        </w:rPr>
        <w:t xml:space="preserve"> </w:t>
      </w:r>
      <w:r w:rsidRPr="00FE5059">
        <w:rPr>
          <w:rFonts w:ascii="Times New Roman" w:eastAsia="Times New Roman" w:hAnsi="Times New Roman"/>
        </w:rPr>
        <w:t>14</w:t>
      </w:r>
      <w:r w:rsidRPr="00F2649A">
        <w:rPr>
          <w:rFonts w:ascii="Times New Roman" w:eastAsia="Times New Roman" w:hAnsi="Times New Roman"/>
        </w:rPr>
        <w:t xml:space="preserve"> were constructed using the </w:t>
      </w:r>
      <w:proofErr w:type="spellStart"/>
      <w:r w:rsidRPr="00F2649A">
        <w:rPr>
          <w:rFonts w:ascii="Times New Roman" w:eastAsia="Times New Roman" w:hAnsi="Times New Roman"/>
        </w:rPr>
        <w:t>Haploview</w:t>
      </w:r>
      <w:proofErr w:type="spellEnd"/>
      <w:r w:rsidRPr="00F2649A">
        <w:rPr>
          <w:rFonts w:ascii="Times New Roman" w:eastAsia="Times New Roman" w:hAnsi="Times New Roman"/>
        </w:rPr>
        <w:t xml:space="preserve"> program</w:t>
      </w:r>
      <w:r>
        <w:rPr>
          <w:rFonts w:ascii="Times New Roman" w:eastAsia="Times New Roman" w:hAnsi="Times New Roman"/>
        </w:rPr>
        <w:t xml:space="preserve"> </w:t>
      </w:r>
      <w:r w:rsidRPr="00F2649A">
        <w:rPr>
          <w:rFonts w:ascii="Times New Roman" w:eastAsia="Times New Roman" w:hAnsi="Times New Roman"/>
        </w:rPr>
        <w:t>(Barrett et al. 2005). The color of each square</w:t>
      </w:r>
      <w:r w:rsidRPr="00FE5059">
        <w:rPr>
          <w:rFonts w:ascii="Times New Roman" w:eastAsia="Times New Roman" w:hAnsi="Times New Roman"/>
        </w:rPr>
        <w:t xml:space="preserve"> </w:t>
      </w:r>
      <w:r w:rsidRPr="00F2649A">
        <w:rPr>
          <w:rFonts w:ascii="Times New Roman" w:eastAsia="Times New Roman" w:hAnsi="Times New Roman"/>
        </w:rPr>
        <w:t>signifies the strength of the relationship between SNP alleles. For example, bright red squares indicate statistically significant LD between a given pair of SNP loci (D’=1; LOD &gt; 2), while shades of pink/white squares indicate little</w:t>
      </w:r>
      <w:r w:rsidRPr="00FE5059">
        <w:rPr>
          <w:rFonts w:ascii="Times New Roman" w:eastAsia="Times New Roman" w:hAnsi="Times New Roman"/>
        </w:rPr>
        <w:t xml:space="preserve"> </w:t>
      </w:r>
      <w:r w:rsidRPr="00F2649A">
        <w:rPr>
          <w:rFonts w:ascii="Times New Roman" w:eastAsia="Times New Roman" w:hAnsi="Times New Roman"/>
        </w:rPr>
        <w:t xml:space="preserve">evidence </w:t>
      </w:r>
      <w:r>
        <w:rPr>
          <w:rFonts w:ascii="Times New Roman" w:eastAsia="Times New Roman" w:hAnsi="Times New Roman"/>
        </w:rPr>
        <w:t>for</w:t>
      </w:r>
      <w:r w:rsidRPr="00F2649A">
        <w:rPr>
          <w:rFonts w:ascii="Times New Roman" w:eastAsia="Times New Roman" w:hAnsi="Times New Roman"/>
        </w:rPr>
        <w:t xml:space="preserve"> LD. Purple</w:t>
      </w:r>
      <w:r w:rsidRPr="00FE5059">
        <w:rPr>
          <w:rFonts w:ascii="Times New Roman" w:eastAsia="Times New Roman" w:hAnsi="Times New Roman"/>
        </w:rPr>
        <w:t xml:space="preserve"> </w:t>
      </w:r>
      <w:r w:rsidRPr="00F2649A">
        <w:rPr>
          <w:rFonts w:ascii="Times New Roman" w:eastAsia="Times New Roman" w:hAnsi="Times New Roman"/>
        </w:rPr>
        <w:t>squares indicate high LD but with little statistical support</w:t>
      </w:r>
      <w:r w:rsidRPr="00FE5059">
        <w:rPr>
          <w:rFonts w:ascii="Times New Roman" w:eastAsia="Times New Roman" w:hAnsi="Times New Roman"/>
        </w:rPr>
        <w:t xml:space="preserve"> </w:t>
      </w:r>
      <w:r w:rsidRPr="00F2649A">
        <w:rPr>
          <w:rFonts w:ascii="Times New Roman" w:eastAsia="Times New Roman" w:hAnsi="Times New Roman"/>
        </w:rPr>
        <w:t xml:space="preserve">(low LOD). </w:t>
      </w:r>
      <w:r w:rsidRPr="00FE5059">
        <w:rPr>
          <w:rFonts w:ascii="Times New Roman" w:eastAsia="Times New Roman" w:hAnsi="Times New Roman"/>
        </w:rPr>
        <w:t xml:space="preserve">The </w:t>
      </w:r>
      <w:proofErr w:type="spellStart"/>
      <w:r w:rsidRPr="00FE5059">
        <w:rPr>
          <w:rFonts w:ascii="Times New Roman" w:eastAsia="Times New Roman" w:hAnsi="Times New Roman"/>
        </w:rPr>
        <w:t>rs</w:t>
      </w:r>
      <w:proofErr w:type="spellEnd"/>
      <w:r>
        <w:rPr>
          <w:rFonts w:ascii="Times New Roman" w:eastAsia="Times New Roman" w:hAnsi="Times New Roman"/>
        </w:rPr>
        <w:t xml:space="preserve"> </w:t>
      </w:r>
      <w:r w:rsidRPr="00FE5059">
        <w:rPr>
          <w:rFonts w:ascii="Times New Roman" w:eastAsia="Times New Roman" w:hAnsi="Times New Roman"/>
        </w:rPr>
        <w:t xml:space="preserve">numbers for </w:t>
      </w:r>
      <w:r>
        <w:rPr>
          <w:rFonts w:ascii="Times New Roman" w:eastAsia="Times New Roman" w:hAnsi="Times New Roman"/>
        </w:rPr>
        <w:t xml:space="preserve">the 1M </w:t>
      </w:r>
      <w:proofErr w:type="spellStart"/>
      <w:r>
        <w:rPr>
          <w:rFonts w:ascii="Times New Roman" w:eastAsia="Times New Roman" w:hAnsi="Times New Roman"/>
        </w:rPr>
        <w:t>Illumina</w:t>
      </w:r>
      <w:proofErr w:type="spellEnd"/>
      <w:r w:rsidRPr="00FE5059">
        <w:rPr>
          <w:rFonts w:ascii="Times New Roman" w:eastAsia="Times New Roman" w:hAnsi="Times New Roman"/>
        </w:rPr>
        <w:t xml:space="preserve"> </w:t>
      </w:r>
      <w:proofErr w:type="spellStart"/>
      <w:r w:rsidRPr="00FE5059">
        <w:rPr>
          <w:rFonts w:ascii="Times New Roman" w:eastAsia="Times New Roman" w:hAnsi="Times New Roman"/>
        </w:rPr>
        <w:t>SNP</w:t>
      </w:r>
      <w:r>
        <w:rPr>
          <w:rFonts w:ascii="Times New Roman" w:eastAsia="Times New Roman" w:hAnsi="Times New Roman"/>
        </w:rPr>
        <w:t>s</w:t>
      </w:r>
      <w:proofErr w:type="spellEnd"/>
      <w:r w:rsidRPr="00FE5059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are given across the top of each plot.</w:t>
      </w:r>
      <w:r w:rsidRPr="00FE5059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The </w:t>
      </w:r>
      <w:proofErr w:type="gramStart"/>
      <w:r>
        <w:rPr>
          <w:rFonts w:ascii="Times New Roman" w:eastAsia="Times New Roman" w:hAnsi="Times New Roman"/>
        </w:rPr>
        <w:t>position of the 8 HPD-mi</w:t>
      </w:r>
      <w:r w:rsidRPr="00FE5059">
        <w:rPr>
          <w:rFonts w:ascii="Times New Roman" w:eastAsia="Times New Roman" w:hAnsi="Times New Roman"/>
        </w:rPr>
        <w:t>RNA</w:t>
      </w:r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SNPs</w:t>
      </w:r>
      <w:proofErr w:type="spellEnd"/>
      <w:r>
        <w:rPr>
          <w:rFonts w:ascii="Times New Roman" w:eastAsia="Times New Roman" w:hAnsi="Times New Roman"/>
        </w:rPr>
        <w:t xml:space="preserve"> are</w:t>
      </w:r>
      <w:proofErr w:type="gramEnd"/>
      <w:r>
        <w:rPr>
          <w:rFonts w:ascii="Times New Roman" w:eastAsia="Times New Roman" w:hAnsi="Times New Roman"/>
        </w:rPr>
        <w:t xml:space="preserve"> indicated with a black arrows.</w:t>
      </w:r>
    </w:p>
    <w:p w:rsidR="007203EF" w:rsidRDefault="007203E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05DDE" w:rsidRDefault="00105DDE" w:rsidP="00630EBE">
      <w:pPr>
        <w:ind w:left="-360"/>
        <w:jc w:val="both"/>
        <w:rPr>
          <w:rFonts w:ascii="Times New Roman" w:hAnsi="Times New Roman"/>
        </w:rPr>
      </w:pPr>
    </w:p>
    <w:p w:rsidR="0068741C" w:rsidRDefault="00630EBE" w:rsidP="007203EF">
      <w:pPr>
        <w:ind w:left="-1080"/>
      </w:pPr>
      <w:r>
        <w:rPr>
          <w:noProof/>
        </w:rPr>
        <w:drawing>
          <wp:inline distT="0" distB="0" distL="0" distR="0">
            <wp:extent cx="6786072" cy="4343400"/>
            <wp:effectExtent l="25400" t="0" r="0" b="0"/>
            <wp:docPr id="9" name="Picture 8" descr="mir202_bodymap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202_bodymap.tif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6072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EF" w:rsidRDefault="007203EF"/>
    <w:p w:rsidR="00442573" w:rsidRDefault="00630EBE" w:rsidP="007203EF">
      <w:pPr>
        <w:jc w:val="both"/>
      </w:pPr>
      <w:r>
        <w:t>Figure</w:t>
      </w:r>
      <w:r w:rsidR="009C726A">
        <w:t xml:space="preserve"> </w:t>
      </w:r>
      <w:r w:rsidR="00442573">
        <w:t>S</w:t>
      </w:r>
      <w:r w:rsidR="00FC7A54">
        <w:t>6</w:t>
      </w:r>
      <w:bookmarkStart w:id="0" w:name="_GoBack"/>
      <w:bookmarkEnd w:id="0"/>
      <w:r w:rsidR="001958D6">
        <w:t xml:space="preserve">: </w:t>
      </w:r>
      <w:r w:rsidR="00204B41">
        <w:t xml:space="preserve">Tissue specific </w:t>
      </w:r>
      <w:r w:rsidR="00B04C98">
        <w:t>expression</w:t>
      </w:r>
      <w:r w:rsidR="00442573">
        <w:t xml:space="preserve"> of hsa-mir-</w:t>
      </w:r>
      <w:r w:rsidR="00B04C98">
        <w:t>202</w:t>
      </w:r>
      <w:r w:rsidR="001958D6">
        <w:t xml:space="preserve">. </w:t>
      </w:r>
      <w:r w:rsidR="00204B41">
        <w:t xml:space="preserve">Tissue specific expression was obtained through </w:t>
      </w:r>
      <w:proofErr w:type="spellStart"/>
      <w:r w:rsidR="00204B41">
        <w:t>miRNAbodymap</w:t>
      </w:r>
      <w:proofErr w:type="spellEnd"/>
      <w:r w:rsidR="00204B41">
        <w:t>.</w:t>
      </w:r>
    </w:p>
    <w:p w:rsidR="00442573" w:rsidRDefault="00442573"/>
    <w:p w:rsidR="00442573" w:rsidRDefault="00442573">
      <w:pPr>
        <w:rPr>
          <w:rFonts w:ascii="Times New Roman" w:hAnsi="Times New Roman"/>
        </w:rPr>
      </w:pPr>
    </w:p>
    <w:p w:rsidR="00F0293C" w:rsidRDefault="00F0293C">
      <w:pPr>
        <w:rPr>
          <w:rFonts w:ascii="Times New Roman" w:hAnsi="Times New Roman"/>
        </w:rPr>
      </w:pPr>
    </w:p>
    <w:p w:rsidR="00F0293C" w:rsidRDefault="00F0293C">
      <w:pPr>
        <w:rPr>
          <w:rFonts w:ascii="Times New Roman" w:hAnsi="Times New Roman"/>
        </w:rPr>
      </w:pPr>
    </w:p>
    <w:sectPr w:rsidR="00F0293C" w:rsidSect="00D54861">
      <w:pgSz w:w="12240" w:h="15840"/>
      <w:pgMar w:top="1440" w:right="1800" w:bottom="1440" w:left="180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442573"/>
    <w:rsid w:val="000F529C"/>
    <w:rsid w:val="000F7226"/>
    <w:rsid w:val="00105DDE"/>
    <w:rsid w:val="001958D6"/>
    <w:rsid w:val="001A649F"/>
    <w:rsid w:val="00204B41"/>
    <w:rsid w:val="00220793"/>
    <w:rsid w:val="00240899"/>
    <w:rsid w:val="002B269D"/>
    <w:rsid w:val="002B52F2"/>
    <w:rsid w:val="002E6C0F"/>
    <w:rsid w:val="003F103E"/>
    <w:rsid w:val="00442573"/>
    <w:rsid w:val="0054218D"/>
    <w:rsid w:val="00552CE1"/>
    <w:rsid w:val="005853CC"/>
    <w:rsid w:val="005A4C02"/>
    <w:rsid w:val="005B70B4"/>
    <w:rsid w:val="005E21B3"/>
    <w:rsid w:val="00630EBE"/>
    <w:rsid w:val="00664F1B"/>
    <w:rsid w:val="0068741C"/>
    <w:rsid w:val="006C3AC4"/>
    <w:rsid w:val="006E7A94"/>
    <w:rsid w:val="007203EF"/>
    <w:rsid w:val="00741E49"/>
    <w:rsid w:val="007A09EA"/>
    <w:rsid w:val="007A7524"/>
    <w:rsid w:val="008A7A83"/>
    <w:rsid w:val="008B3119"/>
    <w:rsid w:val="009C726A"/>
    <w:rsid w:val="00A873FB"/>
    <w:rsid w:val="00B04C98"/>
    <w:rsid w:val="00B83D21"/>
    <w:rsid w:val="00D3584A"/>
    <w:rsid w:val="00D54861"/>
    <w:rsid w:val="00D9283C"/>
    <w:rsid w:val="00F0293C"/>
    <w:rsid w:val="00F55164"/>
    <w:rsid w:val="00F73E59"/>
    <w:rsid w:val="00FB37E4"/>
    <w:rsid w:val="00FB674A"/>
    <w:rsid w:val="00FC7A54"/>
  </w:rsids>
  <m:mathPr>
    <m:mathFont m:val="Helvetica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E5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4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1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05DD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4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1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05DD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4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934</Words>
  <Characters>5324</Characters>
  <Application>Microsoft Macintosh Word</Application>
  <DocSecurity>0</DocSecurity>
  <Lines>44</Lines>
  <Paragraphs>10</Paragraphs>
  <ScaleCrop>false</ScaleCrop>
  <Company/>
  <LinksUpToDate>false</LinksUpToDate>
  <CharactersWithSpaces>6538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Afi Rawlings</dc:creator>
  <cp:keywords/>
  <dc:description/>
  <cp:lastModifiedBy>Afi Rawlings</cp:lastModifiedBy>
  <cp:revision>2</cp:revision>
  <cp:lastPrinted>2013-02-28T00:15:00Z</cp:lastPrinted>
  <dcterms:created xsi:type="dcterms:W3CDTF">2014-04-03T20:00:00Z</dcterms:created>
  <dcterms:modified xsi:type="dcterms:W3CDTF">2014-04-03T20:00:00Z</dcterms:modified>
</cp:coreProperties>
</file>