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A" w:rsidRDefault="00867B2A" w:rsidP="008413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645ED">
        <w:rPr>
          <w:rFonts w:ascii="Times New Roman" w:hAnsi="Times New Roman" w:cs="Times New Roman"/>
          <w:b/>
          <w:color w:val="000000"/>
          <w:sz w:val="28"/>
          <w:szCs w:val="28"/>
        </w:rPr>
        <w:t>Supplementary Online Material</w:t>
      </w:r>
    </w:p>
    <w:p w:rsidR="00FF0C31" w:rsidRPr="001645ED" w:rsidRDefault="00FF0C31" w:rsidP="008413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Data Tables</w:t>
      </w:r>
    </w:p>
    <w:p w:rsidR="00005DCF" w:rsidRDefault="00005DCF" w:rsidP="00005DC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37D5" w:rsidRPr="007370F4" w:rsidRDefault="00883179" w:rsidP="00200ED2">
      <w:pPr>
        <w:rPr>
          <w:rFonts w:ascii="Times New Roman" w:hAnsi="Times New Roman" w:cs="Times New Roman"/>
          <w:b/>
          <w:sz w:val="20"/>
          <w:szCs w:val="20"/>
        </w:rPr>
      </w:pPr>
      <w:r w:rsidRPr="007370F4">
        <w:rPr>
          <w:rFonts w:ascii="Times New Roman" w:hAnsi="Times New Roman" w:cs="Times New Roman"/>
          <w:b/>
          <w:sz w:val="20"/>
          <w:szCs w:val="20"/>
        </w:rPr>
        <w:t>Table SI</w:t>
      </w:r>
      <w:r w:rsidR="00F937D5" w:rsidRPr="007370F4">
        <w:rPr>
          <w:rFonts w:ascii="Times New Roman" w:hAnsi="Times New Roman" w:cs="Times New Roman"/>
          <w:b/>
          <w:sz w:val="20"/>
          <w:szCs w:val="20"/>
        </w:rPr>
        <w:t xml:space="preserve">: Regression results to </w:t>
      </w:r>
      <w:r w:rsidR="00527486">
        <w:rPr>
          <w:rFonts w:ascii="Times New Roman" w:hAnsi="Times New Roman" w:cs="Times New Roman"/>
          <w:b/>
          <w:sz w:val="20"/>
          <w:szCs w:val="20"/>
        </w:rPr>
        <w:t>estimate</w:t>
      </w:r>
      <w:r w:rsidR="00F937D5" w:rsidRPr="007370F4">
        <w:rPr>
          <w:rFonts w:ascii="Times New Roman" w:hAnsi="Times New Roman" w:cs="Times New Roman"/>
          <w:b/>
          <w:sz w:val="20"/>
          <w:szCs w:val="20"/>
        </w:rPr>
        <w:t xml:space="preserve"> difference</w:t>
      </w:r>
      <w:r w:rsidR="00527486">
        <w:rPr>
          <w:rFonts w:ascii="Times New Roman" w:hAnsi="Times New Roman" w:cs="Times New Roman"/>
          <w:b/>
          <w:sz w:val="20"/>
          <w:szCs w:val="20"/>
        </w:rPr>
        <w:t>s</w:t>
      </w:r>
      <w:r w:rsidR="00F937D5" w:rsidRPr="007370F4">
        <w:rPr>
          <w:rFonts w:ascii="Times New Roman" w:hAnsi="Times New Roman" w:cs="Times New Roman"/>
          <w:b/>
          <w:sz w:val="20"/>
          <w:szCs w:val="20"/>
        </w:rPr>
        <w:t xml:space="preserve"> between the </w:t>
      </w:r>
      <w:r w:rsidR="00005DCF" w:rsidRPr="007370F4">
        <w:rPr>
          <w:rFonts w:ascii="Times New Roman" w:hAnsi="Times New Roman" w:cs="Times New Roman"/>
          <w:b/>
          <w:sz w:val="20"/>
          <w:szCs w:val="20"/>
        </w:rPr>
        <w:t xml:space="preserve">workers’ compensation </w:t>
      </w:r>
      <w:r w:rsidR="00F937D5" w:rsidRPr="007370F4">
        <w:rPr>
          <w:rFonts w:ascii="Times New Roman" w:hAnsi="Times New Roman" w:cs="Times New Roman"/>
          <w:b/>
          <w:sz w:val="20"/>
          <w:szCs w:val="20"/>
        </w:rPr>
        <w:t xml:space="preserve">outcomes pre- and post-intervention by different industries </w:t>
      </w:r>
      <w:r w:rsidR="00E525AD" w:rsidRPr="004F6D17">
        <w:rPr>
          <w:rFonts w:ascii="Times New Roman" w:hAnsi="Times New Roman" w:cs="Times New Roman"/>
          <w:b/>
          <w:sz w:val="20"/>
          <w:szCs w:val="20"/>
        </w:rPr>
        <w:t>(</w:t>
      </w:r>
      <w:r w:rsidR="00E525AD">
        <w:rPr>
          <w:rFonts w:ascii="Times New Roman" w:hAnsi="Times New Roman" w:cs="Times New Roman"/>
          <w:b/>
          <w:sz w:val="20"/>
          <w:szCs w:val="20"/>
        </w:rPr>
        <w:t>2</w:t>
      </w:r>
      <w:r w:rsidR="00E525AD" w:rsidRPr="004F6D17">
        <w:rPr>
          <w:rFonts w:ascii="Times New Roman" w:hAnsi="Times New Roman" w:cs="Times New Roman"/>
          <w:b/>
          <w:sz w:val="20"/>
          <w:szCs w:val="20"/>
        </w:rPr>
        <w:t>-digit NAICS</w:t>
      </w:r>
      <w:r w:rsidR="00E525AD" w:rsidRPr="004F6D1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a</w:t>
      </w:r>
      <w:r w:rsidR="00E525AD" w:rsidRPr="004F6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25AD">
        <w:rPr>
          <w:rFonts w:ascii="Times New Roman" w:hAnsi="Times New Roman" w:cs="Times New Roman"/>
          <w:b/>
          <w:sz w:val="20"/>
          <w:szCs w:val="20"/>
        </w:rPr>
        <w:t>c</w:t>
      </w:r>
      <w:r w:rsidR="00E525AD" w:rsidRPr="004F6D17">
        <w:rPr>
          <w:rFonts w:ascii="Times New Roman" w:hAnsi="Times New Roman" w:cs="Times New Roman"/>
          <w:b/>
          <w:sz w:val="20"/>
          <w:szCs w:val="20"/>
        </w:rPr>
        <w:t>odes)</w:t>
      </w:r>
      <w:r w:rsidR="00E525AD" w:rsidRPr="007370F4" w:rsidDel="00005D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182" w:type="dxa"/>
        <w:jc w:val="center"/>
        <w:tblLook w:val="04A0" w:firstRow="1" w:lastRow="0" w:firstColumn="1" w:lastColumn="0" w:noHBand="0" w:noVBand="1"/>
      </w:tblPr>
      <w:tblGrid>
        <w:gridCol w:w="839"/>
        <w:gridCol w:w="4243"/>
        <w:gridCol w:w="1239"/>
        <w:gridCol w:w="2079"/>
        <w:gridCol w:w="270"/>
        <w:gridCol w:w="2121"/>
        <w:gridCol w:w="270"/>
        <w:gridCol w:w="2121"/>
      </w:tblGrid>
      <w:tr w:rsidR="00F937D5" w:rsidRPr="007370F4" w:rsidTr="00136667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="008A6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per 100 FTE </w:t>
            </w:r>
            <w:r w:rsidR="0098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 per FTE</w:t>
            </w:r>
            <w:r w:rsidR="0065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8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Geometric </w:t>
            </w:r>
            <w:r w:rsidR="00005DCF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ean </w:t>
            </w:r>
            <w:r w:rsidR="00005DCF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</w:t>
            </w:r>
            <w:r w:rsidR="00EE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Claim</w:t>
            </w:r>
            <w:r w:rsidR="0065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8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F937D5" w:rsidRPr="007370F4" w:rsidTr="005F18B4">
        <w:trPr>
          <w:trHeight w:val="300"/>
          <w:jc w:val="center"/>
        </w:trPr>
        <w:tc>
          <w:tcPr>
            <w:tcW w:w="8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37D5" w:rsidRPr="007370F4" w:rsidRDefault="00F937D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NAICS Code</w:t>
            </w:r>
            <w:r w:rsidR="00005DCF" w:rsidRPr="00737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7D5" w:rsidRPr="007370F4" w:rsidRDefault="006579E7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7486" w:rsidRDefault="00527486" w:rsidP="005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umber</w:t>
            </w:r>
          </w:p>
          <w:p w:rsidR="005F18B4" w:rsidRDefault="005F18B4" w:rsidP="0052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</w:p>
          <w:p w:rsidR="00527486" w:rsidRDefault="00527486" w:rsidP="005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F937D5" w:rsidRPr="007370F4" w:rsidRDefault="00F937D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Effect</w:t>
            </w:r>
            <w:r w:rsidR="00657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r w:rsidR="0065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7E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Effect</w:t>
            </w:r>
            <w:r w:rsidR="00657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  <w:r w:rsidR="0065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7E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Effect</w:t>
            </w:r>
            <w:r w:rsidR="00657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  <w:r w:rsidR="0065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7E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</w:tr>
      <w:tr w:rsidR="00F937D5" w:rsidRPr="007370F4" w:rsidTr="005F18B4">
        <w:trPr>
          <w:trHeight w:val="300"/>
          <w:jc w:val="center"/>
        </w:trPr>
        <w:tc>
          <w:tcPr>
            <w:tcW w:w="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D5" w:rsidRPr="007370F4" w:rsidRDefault="00F937D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Agriculture, Forestry, Fishing and Hunting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(0.05, 0.11)*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0.15 </w:t>
            </w:r>
            <w:r w:rsidR="0084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(NC)</w:t>
            </w:r>
            <w:r w:rsidR="008424F0" w:rsidRPr="006B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(0.36, 2.4)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(0.4, 0.51)*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0.27 </w:t>
            </w:r>
            <w:r w:rsidR="009E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(NC)</w:t>
            </w:r>
            <w:r w:rsidR="009E6450" w:rsidRPr="006B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r w:rsidR="009E6450" w:rsidRPr="004037A7" w:rsidDel="009E6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 (0, 1300.75)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(0.08, 0.13)*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02D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(0.02, 4.86)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(0.3, 1.13)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 (0.04, 1.85)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(0.43, 1.37)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(0.35, 3.81)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0.39 (0.26, 3.41)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(0.48, 2.45)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(0.14, 0.7)*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0.09 (0.02, 0.22)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(0.4, 1.46)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(0.16, 0.57)*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0.08 (0.02, 0.15)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(0.46, 0.97)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(0.09, 0.82)*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3A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0.26 (0.05, 0.85)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57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(0.48, 2.03)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 Division 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(0.18, 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 (0.04, 10.3)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(0.34, 2.08)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 Division 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Warehousing and Utilities (TWU) Division 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(0.02, 0.11)*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33.86 (3.02, 379</w:t>
            </w: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Warehousing and Utilities (TWU) Division 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(0.04, 0.25)*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 and Insurance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Estate and Rental and Leasing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(0.19, 1.6)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26.33 </w:t>
            </w:r>
            <w:r w:rsidR="009E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(NC)</w:t>
            </w:r>
            <w:r w:rsidR="009E6450" w:rsidRPr="006B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r w:rsidR="009E6450" w:rsidRPr="004037A7" w:rsidDel="009E6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(0.25, 4.28)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Professional, Scientific, and Technical Services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(0.34, 2.54)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9.71 (0.01, 14047.5)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 of Companies and Enterprises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and Support and Waste Management and Remediation Services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0.15 (0.01, 0.21)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(0.15, 2.25)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Services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(0.19, 1.25)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0.16 (0.04, 0.89)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(0.14, 1.51)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and Social Assistance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(0.11, 0.87)*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0.32 (0.11, 0.59)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(0.66, 1.2)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Arts, Entertainment, and Recreation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(0.29, 4.63)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0.15 (0.06, 0.89)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(0.18, 0.86)*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Accommodation and Food Services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(0.01, 0.51)*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0.001 </w:t>
            </w:r>
            <w:r w:rsidR="009E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(NC)</w:t>
            </w:r>
            <w:r w:rsidR="009E6450" w:rsidRPr="006B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r w:rsidR="009E6450" w:rsidRPr="004037A7" w:rsidDel="009E6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(0, 0.26)*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457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B5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C3CB3" w:rsidRPr="007370F4" w:rsidTr="005F18B4">
        <w:trPr>
          <w:trHeight w:val="300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(0.07, 0.36)*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7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0.19 (0.03, 0.36)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B3" w:rsidRPr="007370F4" w:rsidRDefault="004C3CB3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CB3" w:rsidRPr="007370F4" w:rsidRDefault="004C3CB3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(0.36, 1.18)</w:t>
            </w:r>
          </w:p>
        </w:tc>
      </w:tr>
    </w:tbl>
    <w:p w:rsidR="00C05158" w:rsidRDefault="00C05158" w:rsidP="00005DC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5DCF" w:rsidRDefault="00005DCF" w:rsidP="00005DCF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70F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370F4">
        <w:rPr>
          <w:rFonts w:ascii="Times New Roman" w:hAnsi="Times New Roman" w:cs="Times New Roman"/>
          <w:sz w:val="20"/>
          <w:szCs w:val="20"/>
        </w:rPr>
        <w:t xml:space="preserve"> – North American Industry Classification System (NAICS) industry codes </w:t>
      </w:r>
      <w:r w:rsidR="00F734AE">
        <w:rPr>
          <w:rFonts w:ascii="Times New Roman" w:hAnsi="Times New Roman" w:cs="Times New Roman"/>
          <w:sz w:val="20"/>
          <w:szCs w:val="20"/>
        </w:rPr>
        <w:t>of</w:t>
      </w:r>
      <w:r w:rsidR="00AC757A">
        <w:rPr>
          <w:rFonts w:ascii="Times New Roman" w:hAnsi="Times New Roman" w:cs="Times New Roman"/>
          <w:sz w:val="20"/>
          <w:szCs w:val="20"/>
        </w:rPr>
        <w:t xml:space="preserve"> </w:t>
      </w:r>
      <w:r w:rsidR="00F734AE">
        <w:rPr>
          <w:rFonts w:ascii="Times New Roman" w:hAnsi="Times New Roman" w:cs="Times New Roman"/>
          <w:sz w:val="20"/>
          <w:szCs w:val="20"/>
        </w:rPr>
        <w:t xml:space="preserve"> the employers as reported by</w:t>
      </w:r>
      <w:r w:rsidRPr="007370F4">
        <w:rPr>
          <w:rFonts w:ascii="Times New Roman" w:hAnsi="Times New Roman" w:cs="Times New Roman"/>
          <w:sz w:val="20"/>
          <w:szCs w:val="20"/>
        </w:rPr>
        <w:t xml:space="preserve"> the Ohio Department of Job and Family Services for the Quarterly Census of Employment and Wages (QCEW). 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Note that NAICS 48, 49 are not typically reported separately.</w:t>
      </w:r>
    </w:p>
    <w:p w:rsidR="00527486" w:rsidRPr="007370F4" w:rsidRDefault="00527486" w:rsidP="00527486">
      <w:pPr>
        <w:tabs>
          <w:tab w:val="left" w:pos="270"/>
        </w:tabs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employers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claim rates analysis. T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here were fewer employers in the cost analys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s since employers who participated in programs that reduce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apparent cost of the claims by allowing employers to pay portions of the claims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excluded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5DCF" w:rsidRDefault="00527486" w:rsidP="0000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005DCF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9A7BA1">
        <w:rPr>
          <w:rFonts w:ascii="Times New Roman" w:hAnsi="Times New Roman" w:cs="Times New Roman"/>
          <w:sz w:val="20"/>
          <w:szCs w:val="20"/>
        </w:rPr>
        <w:t>Total n</w:t>
      </w:r>
      <w:r w:rsidR="00554A3A" w:rsidRPr="004F6D17">
        <w:rPr>
          <w:rFonts w:ascii="Times New Roman" w:hAnsi="Times New Roman" w:cs="Times New Roman"/>
          <w:sz w:val="20"/>
          <w:szCs w:val="20"/>
        </w:rPr>
        <w:t xml:space="preserve">umber of claims </w:t>
      </w:r>
      <w:r w:rsidR="00554A3A">
        <w:rPr>
          <w:rFonts w:ascii="Times New Roman" w:hAnsi="Times New Roman" w:cs="Times New Roman"/>
          <w:sz w:val="20"/>
          <w:szCs w:val="20"/>
        </w:rPr>
        <w:t>(medical</w:t>
      </w:r>
      <w:r w:rsidR="003E71C1">
        <w:rPr>
          <w:rFonts w:ascii="Times New Roman" w:hAnsi="Times New Roman" w:cs="Times New Roman"/>
          <w:sz w:val="20"/>
          <w:szCs w:val="20"/>
        </w:rPr>
        <w:t>-</w:t>
      </w:r>
      <w:r w:rsidR="00554A3A">
        <w:rPr>
          <w:rFonts w:ascii="Times New Roman" w:hAnsi="Times New Roman" w:cs="Times New Roman"/>
          <w:sz w:val="20"/>
          <w:szCs w:val="20"/>
        </w:rPr>
        <w:t xml:space="preserve">only and lost-time) </w:t>
      </w:r>
      <w:r w:rsidR="00554A3A" w:rsidRPr="004F6D17">
        <w:rPr>
          <w:rFonts w:ascii="Times New Roman" w:hAnsi="Times New Roman" w:cs="Times New Roman"/>
          <w:sz w:val="20"/>
          <w:szCs w:val="20"/>
        </w:rPr>
        <w:t>per 100 full-time equivalents (FTEs)</w:t>
      </w:r>
    </w:p>
    <w:p w:rsidR="006579E7" w:rsidRPr="004F6D17" w:rsidRDefault="00527486" w:rsidP="00657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4F6D17">
        <w:rPr>
          <w:rFonts w:ascii="Times New Roman" w:hAnsi="Times New Roman" w:cs="Times New Roman"/>
          <w:sz w:val="20"/>
          <w:szCs w:val="20"/>
        </w:rPr>
        <w:t xml:space="preserve"> </w:t>
      </w:r>
      <w:r w:rsidR="006579E7" w:rsidRPr="004F6D17">
        <w:rPr>
          <w:rFonts w:ascii="Times New Roman" w:hAnsi="Times New Roman" w:cs="Times New Roman"/>
          <w:sz w:val="20"/>
          <w:szCs w:val="20"/>
        </w:rPr>
        <w:t xml:space="preserve">– </w:t>
      </w:r>
      <w:r w:rsidR="006579E7">
        <w:rPr>
          <w:rFonts w:ascii="Times New Roman" w:hAnsi="Times New Roman" w:cs="Times New Roman"/>
          <w:sz w:val="20"/>
          <w:szCs w:val="20"/>
        </w:rPr>
        <w:t>Paid 30-month nominal cost</w:t>
      </w:r>
    </w:p>
    <w:p w:rsidR="00005DCF" w:rsidRPr="000A06DB" w:rsidRDefault="00527486" w:rsidP="0000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7370F4">
        <w:rPr>
          <w:rFonts w:ascii="Times New Roman" w:hAnsi="Times New Roman" w:cs="Times New Roman"/>
          <w:sz w:val="20"/>
          <w:szCs w:val="20"/>
        </w:rPr>
        <w:t xml:space="preserve"> </w:t>
      </w:r>
      <w:r w:rsidR="00005DCF" w:rsidRPr="007370F4">
        <w:rPr>
          <w:rFonts w:ascii="Times New Roman" w:hAnsi="Times New Roman" w:cs="Times New Roman"/>
          <w:sz w:val="20"/>
          <w:szCs w:val="20"/>
        </w:rPr>
        <w:t xml:space="preserve">– Poisson </w:t>
      </w:r>
      <w:r w:rsidR="00005DCF" w:rsidRPr="000A06DB">
        <w:rPr>
          <w:rFonts w:ascii="Times New Roman" w:hAnsi="Times New Roman" w:cs="Times New Roman"/>
          <w:sz w:val="20"/>
          <w:szCs w:val="20"/>
        </w:rPr>
        <w:t>regression</w:t>
      </w:r>
    </w:p>
    <w:p w:rsidR="007E2FAC" w:rsidRPr="000A06DB" w:rsidRDefault="007E2FAC" w:rsidP="00EB44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0A06DB">
        <w:rPr>
          <w:rFonts w:ascii="Times New Roman" w:hAnsi="Times New Roman" w:cs="Times New Roman"/>
          <w:sz w:val="20"/>
          <w:szCs w:val="20"/>
        </w:rPr>
        <w:t xml:space="preserve"> – Two-part regression model- </w:t>
      </w:r>
      <w:r w:rsidR="00263F07" w:rsidRPr="000A06DB">
        <w:rPr>
          <w:rFonts w:ascii="Times New Roman" w:hAnsi="Times New Roman" w:cs="Times New Roman"/>
          <w:sz w:val="20"/>
          <w:szCs w:val="20"/>
        </w:rPr>
        <w:t>refer to Methods and Online Appendix</w:t>
      </w:r>
    </w:p>
    <w:p w:rsidR="00005DCF" w:rsidRPr="007370F4" w:rsidRDefault="007E2FAC" w:rsidP="00005DC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527486" w:rsidRPr="000A06DB">
        <w:rPr>
          <w:rFonts w:ascii="Times New Roman" w:hAnsi="Times New Roman" w:cs="Times New Roman"/>
          <w:sz w:val="20"/>
          <w:szCs w:val="20"/>
        </w:rPr>
        <w:t xml:space="preserve"> </w:t>
      </w:r>
      <w:r w:rsidR="00005DCF" w:rsidRPr="000A06DB">
        <w:rPr>
          <w:rFonts w:ascii="Times New Roman" w:hAnsi="Times New Roman" w:cs="Times New Roman"/>
          <w:sz w:val="20"/>
          <w:szCs w:val="20"/>
        </w:rPr>
        <w:t>– Linear regression</w:t>
      </w:r>
    </w:p>
    <w:p w:rsidR="00005DCF" w:rsidRPr="007370F4" w:rsidRDefault="007E2FAC" w:rsidP="00005DC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527486" w:rsidRPr="007370F4">
        <w:rPr>
          <w:rFonts w:ascii="Times New Roman" w:hAnsi="Times New Roman" w:cs="Times New Roman"/>
          <w:sz w:val="20"/>
          <w:szCs w:val="20"/>
        </w:rPr>
        <w:t xml:space="preserve"> </w:t>
      </w:r>
      <w:r w:rsidR="00005DCF" w:rsidRPr="007370F4">
        <w:rPr>
          <w:rFonts w:ascii="Times New Roman" w:hAnsi="Times New Roman" w:cs="Times New Roman"/>
          <w:sz w:val="20"/>
          <w:szCs w:val="20"/>
        </w:rPr>
        <w:t>– Model does not control for time trend independent of intervention</w:t>
      </w:r>
    </w:p>
    <w:p w:rsidR="00337528" w:rsidRDefault="007E2FAC" w:rsidP="007370F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527486" w:rsidRPr="007370F4">
        <w:rPr>
          <w:rFonts w:ascii="Times New Roman" w:hAnsi="Times New Roman" w:cs="Times New Roman"/>
          <w:sz w:val="20"/>
          <w:szCs w:val="20"/>
        </w:rPr>
        <w:t xml:space="preserve"> </w:t>
      </w:r>
      <w:r w:rsidR="00005DCF" w:rsidRPr="007370F4">
        <w:rPr>
          <w:rFonts w:ascii="Times New Roman" w:hAnsi="Times New Roman" w:cs="Times New Roman"/>
          <w:sz w:val="20"/>
          <w:szCs w:val="20"/>
        </w:rPr>
        <w:t>–</w:t>
      </w:r>
      <w:r w:rsidR="003F1054" w:rsidRPr="007370F4">
        <w:rPr>
          <w:rFonts w:ascii="Times New Roman" w:hAnsi="Times New Roman" w:cs="Times New Roman"/>
          <w:sz w:val="20"/>
          <w:szCs w:val="20"/>
        </w:rPr>
        <w:t xml:space="preserve"> </w:t>
      </w:r>
      <w:r w:rsidR="00005DCF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="00337528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model did not converge 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>because the</w:t>
      </w:r>
      <w:r w:rsidR="00337528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effect size 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>was</w:t>
      </w:r>
      <w:r w:rsidR="00337528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too large to estimate.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most cases,</w:t>
      </w:r>
      <w:r w:rsidR="00005DCF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were 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005DCF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</w:t>
      </w:r>
      <w:r w:rsidR="003F105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workers’ compensation</w:t>
      </w:r>
      <w:r w:rsidR="00005DCF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claims</w:t>
      </w:r>
      <w:r w:rsidR="00337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no costs</w:t>
      </w:r>
      <w:r w:rsidR="00005DCF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post-intervention. These are still considered reductions. </w:t>
      </w:r>
    </w:p>
    <w:p w:rsidR="009E6450" w:rsidRDefault="009E6450" w:rsidP="009E645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Confidence intervals for the two part model were calculated using a Bootstrap procedure. This procedure is highly unreliable with few observations in a strata, and therefore, strata with fewer than 5 companies will not have their confidence intervals reported.</w:t>
      </w:r>
    </w:p>
    <w:p w:rsidR="008B0408" w:rsidRPr="004F6D17" w:rsidRDefault="008B0408" w:rsidP="008B0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Significant difference, P &lt;.05</w:t>
      </w:r>
    </w:p>
    <w:p w:rsidR="008B0408" w:rsidRPr="007370F4" w:rsidRDefault="008B0408" w:rsidP="007370F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5DCF" w:rsidRPr="007370F4" w:rsidRDefault="00005DCF" w:rsidP="00F937D5">
      <w:pPr>
        <w:rPr>
          <w:rFonts w:ascii="Times New Roman" w:hAnsi="Times New Roman" w:cs="Times New Roman"/>
          <w:sz w:val="20"/>
          <w:szCs w:val="20"/>
        </w:rPr>
      </w:pPr>
    </w:p>
    <w:p w:rsidR="00AA2790" w:rsidRPr="007370F4" w:rsidRDefault="00AA2790">
      <w:pPr>
        <w:rPr>
          <w:rFonts w:ascii="Times New Roman" w:hAnsi="Times New Roman" w:cs="Times New Roman"/>
          <w:sz w:val="20"/>
          <w:szCs w:val="20"/>
        </w:rPr>
      </w:pPr>
      <w:r w:rsidRPr="007370F4">
        <w:rPr>
          <w:rFonts w:ascii="Times New Roman" w:hAnsi="Times New Roman" w:cs="Times New Roman"/>
          <w:sz w:val="20"/>
          <w:szCs w:val="20"/>
        </w:rPr>
        <w:br w:type="page"/>
      </w:r>
    </w:p>
    <w:p w:rsidR="00200ED2" w:rsidRPr="007370F4" w:rsidRDefault="0057676A">
      <w:pPr>
        <w:rPr>
          <w:rFonts w:ascii="Times New Roman" w:hAnsi="Times New Roman" w:cs="Times New Roman"/>
          <w:sz w:val="20"/>
          <w:szCs w:val="20"/>
        </w:rPr>
      </w:pPr>
      <w:r w:rsidRPr="007370F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883179" w:rsidRPr="007370F4">
        <w:rPr>
          <w:rFonts w:ascii="Times New Roman" w:hAnsi="Times New Roman" w:cs="Times New Roman"/>
          <w:b/>
          <w:sz w:val="20"/>
          <w:szCs w:val="20"/>
        </w:rPr>
        <w:t>SII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 xml:space="preserve">: Regression results to </w:t>
      </w:r>
      <w:r w:rsidR="00DF19FE">
        <w:rPr>
          <w:rFonts w:ascii="Times New Roman" w:hAnsi="Times New Roman" w:cs="Times New Roman"/>
          <w:b/>
          <w:sz w:val="20"/>
          <w:szCs w:val="20"/>
        </w:rPr>
        <w:t>estimate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 xml:space="preserve"> difference</w:t>
      </w:r>
      <w:r w:rsidR="00DF19FE">
        <w:rPr>
          <w:rFonts w:ascii="Times New Roman" w:hAnsi="Times New Roman" w:cs="Times New Roman"/>
          <w:b/>
          <w:sz w:val="20"/>
          <w:szCs w:val="20"/>
        </w:rPr>
        <w:t>s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 xml:space="preserve"> between the </w:t>
      </w:r>
      <w:r w:rsidR="00E525AD">
        <w:rPr>
          <w:rFonts w:ascii="Times New Roman" w:hAnsi="Times New Roman" w:cs="Times New Roman"/>
          <w:b/>
          <w:sz w:val="20"/>
          <w:szCs w:val="20"/>
        </w:rPr>
        <w:t xml:space="preserve">workers’ compensation 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>outcomes pre- and post-intervention by different industries (3-digit NAICS</w:t>
      </w:r>
      <w:r w:rsidR="00E525AD" w:rsidRPr="004F6D1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a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25AD">
        <w:rPr>
          <w:rFonts w:ascii="Times New Roman" w:hAnsi="Times New Roman" w:cs="Times New Roman"/>
          <w:b/>
          <w:sz w:val="20"/>
          <w:szCs w:val="20"/>
        </w:rPr>
        <w:t>c</w:t>
      </w:r>
      <w:r w:rsidR="0077766A" w:rsidRPr="007370F4">
        <w:rPr>
          <w:rFonts w:ascii="Times New Roman" w:hAnsi="Times New Roman" w:cs="Times New Roman"/>
          <w:b/>
          <w:sz w:val="20"/>
          <w:szCs w:val="20"/>
        </w:rPr>
        <w:t>odes)</w:t>
      </w:r>
    </w:p>
    <w:tbl>
      <w:tblPr>
        <w:tblW w:w="13367" w:type="dxa"/>
        <w:jc w:val="center"/>
        <w:tblLook w:val="04A0" w:firstRow="1" w:lastRow="0" w:firstColumn="1" w:lastColumn="0" w:noHBand="0" w:noVBand="1"/>
      </w:tblPr>
      <w:tblGrid>
        <w:gridCol w:w="896"/>
        <w:gridCol w:w="4536"/>
        <w:gridCol w:w="1139"/>
        <w:gridCol w:w="2194"/>
        <w:gridCol w:w="270"/>
        <w:gridCol w:w="2202"/>
        <w:gridCol w:w="270"/>
        <w:gridCol w:w="1860"/>
      </w:tblGrid>
      <w:tr w:rsidR="00F937D5" w:rsidRPr="007370F4" w:rsidTr="00136667">
        <w:trPr>
          <w:trHeight w:val="701"/>
          <w:jc w:val="center"/>
        </w:trPr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D5" w:rsidRPr="007370F4" w:rsidRDefault="00F937D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FE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="0087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F937D5" w:rsidRPr="007370F4" w:rsidRDefault="008764FE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100 FTE</w:t>
            </w:r>
            <w:r w:rsidR="00F937D5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 per FTE</w:t>
            </w:r>
            <w:r w:rsidR="00A56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7D5" w:rsidRPr="007370F4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625" w:rsidRDefault="00F937D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Geometric</w:t>
            </w:r>
          </w:p>
          <w:p w:rsidR="00EE7591" w:rsidRDefault="00A56625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F937D5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F937D5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</w:t>
            </w:r>
          </w:p>
          <w:p w:rsidR="003E3CBC" w:rsidRDefault="00EE7591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Claim</w:t>
            </w:r>
            <w:r w:rsidR="00A56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  <w:p w:rsidR="00FB0BB6" w:rsidRPr="003115E4" w:rsidRDefault="00FB0BB6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56625" w:rsidRPr="007370F4" w:rsidTr="00E0752A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25" w:rsidRPr="007370F4" w:rsidRDefault="00A5662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NAICS Code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625" w:rsidRPr="007370F4" w:rsidRDefault="00A5662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1F48" w:rsidRDefault="00801F48" w:rsidP="0080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umber of</w:t>
            </w:r>
          </w:p>
          <w:p w:rsidR="00801F48" w:rsidRDefault="00801F48" w:rsidP="0080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01F48" w:rsidRDefault="00801F48" w:rsidP="0080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A56625" w:rsidRPr="007370F4" w:rsidRDefault="00A56625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25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A56625" w:rsidRPr="007370F4" w:rsidRDefault="00A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93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25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A56625" w:rsidRPr="007370F4" w:rsidRDefault="00A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25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A56625" w:rsidRPr="007370F4" w:rsidRDefault="00A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</w:tr>
      <w:tr w:rsidR="00A56625" w:rsidRPr="007370F4" w:rsidTr="00E0752A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25" w:rsidRPr="007370F4" w:rsidRDefault="00A5662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25" w:rsidRPr="007370F4" w:rsidRDefault="00A5662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25" w:rsidRPr="007370F4" w:rsidRDefault="00A56625" w:rsidP="00F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of Buildings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(0.02, 26.74)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 (6.98, 29.77)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(0.21, 3.5)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Specialty Trade Contractors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(0.23, 1.28)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(0.02, 1.31)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(0.42, 1.93)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(0.34, 3.96)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(0.2, 4.64)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(0.45, 2.54)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Product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(0.11, 0.65)*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(0.01, 0.4)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(0.14, 3.6)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Printing and Related Support Activities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(0.04, 0.7)*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(0.06, 1.59)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(0.02, 13.88)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(0.23, 1.69)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 (0.01, 0.96)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(0.31, 1.48)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Plastics and Rubber Products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(0.02, 0.65)*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(0, 0.38)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(0.37, 4.6)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Metal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 (0.06, 0.38)*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(0.02, 0.46)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 (0.7, 6.16)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Fabricated Metal Product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(0.57, 1.54)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(0.04, 0.9)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(0.56, 1.34)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Machinery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 (0.01, 0.23)*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(0.00, 16.28)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Equipment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(0.04, 0.18)*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 (0, 0.05)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(0.11, 0.64)*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Furniture and Related Product Manufacturing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(0.04, 1.56)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(0, 0.55)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(0.17, 4.53)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Merchant Wholesalers, Durable Goods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(0.13, 1.69)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(0.34, 2.73)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(0.31, 2.62)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Merchant Wholesalers, Nondurable Goods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(0.05, 1.28)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(0.02, 0.57)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(0.33, 2.58)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Truck Transportation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(0.02, 0.1)*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121.79 (17.25, 8x10</w:t>
            </w: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  <w:r w:rsidRPr="000A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B772E" w:rsidRPr="000A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 (2.77, 449.35)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 and Ground Passenger Transportation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Couriers and Messengers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 (0.09, 0.21)*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Warehousing and Storage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and Support Services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4158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(0.01, 0.26)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(0.13, 2.29)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Services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(0.19, 1.25)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 w:rsidP="000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(0.04, 0.91)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 (0.14, 1.51)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Ambulatory Health Care Services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(0.52, 2.9)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(0.13, 1.93)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 (0.79, 1.96)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 and Residential Care Facilities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(0.05, 0.76)*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(0.16, 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(0.45, 1.09)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Assistance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(0.06, 0.61)*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B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 (0.00, 0.82)*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Executive, Legislative, and Other General Government Support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(0.02, 0.46)*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(0.1, 1.05)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(0.08, 5.03)</w:t>
            </w:r>
          </w:p>
        </w:tc>
      </w:tr>
      <w:tr w:rsidR="00477097" w:rsidRPr="007370F4" w:rsidTr="00EB4437">
        <w:trPr>
          <w:trHeight w:val="300"/>
          <w:jc w:val="center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Justice, Public Order, and Safety Activities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(0.07, 0.43)*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(0.03, 0.37)</w:t>
            </w:r>
            <w:r w:rsidR="003B772E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7097" w:rsidRPr="007370F4" w:rsidRDefault="00477097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7097" w:rsidRPr="007370F4" w:rsidRDefault="0047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(0.4, 1.32)</w:t>
            </w:r>
          </w:p>
        </w:tc>
      </w:tr>
    </w:tbl>
    <w:p w:rsidR="00E0752A" w:rsidRDefault="00E0752A" w:rsidP="00A5662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56625" w:rsidRDefault="00A56625" w:rsidP="00A56625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F6D17">
        <w:rPr>
          <w:rFonts w:ascii="Times New Roman" w:hAnsi="Times New Roman" w:cs="Times New Roman"/>
          <w:sz w:val="20"/>
          <w:szCs w:val="20"/>
        </w:rPr>
        <w:t xml:space="preserve"> – North American Industry Classification System (NAICS) industry codes </w:t>
      </w:r>
      <w:r w:rsidR="00595843">
        <w:rPr>
          <w:rFonts w:ascii="Times New Roman" w:hAnsi="Times New Roman" w:cs="Times New Roman"/>
          <w:sz w:val="20"/>
          <w:szCs w:val="20"/>
        </w:rPr>
        <w:t xml:space="preserve">of </w:t>
      </w:r>
      <w:r w:rsidR="00AC757A">
        <w:rPr>
          <w:rFonts w:ascii="Times New Roman" w:hAnsi="Times New Roman" w:cs="Times New Roman"/>
          <w:sz w:val="20"/>
          <w:szCs w:val="20"/>
        </w:rPr>
        <w:t xml:space="preserve"> </w:t>
      </w:r>
      <w:r w:rsidR="00595843">
        <w:rPr>
          <w:rFonts w:ascii="Times New Roman" w:hAnsi="Times New Roman" w:cs="Times New Roman"/>
          <w:sz w:val="20"/>
          <w:szCs w:val="20"/>
        </w:rPr>
        <w:t>the employers as reported by</w:t>
      </w:r>
      <w:r w:rsidR="00595843" w:rsidRPr="007370F4">
        <w:rPr>
          <w:rFonts w:ascii="Times New Roman" w:hAnsi="Times New Roman" w:cs="Times New Roman"/>
          <w:sz w:val="20"/>
          <w:szCs w:val="20"/>
        </w:rPr>
        <w:t xml:space="preserve"> the</w:t>
      </w:r>
      <w:r w:rsidR="00595843" w:rsidRPr="004F6D17" w:rsidDel="00F734AE">
        <w:rPr>
          <w:rFonts w:ascii="Times New Roman" w:hAnsi="Times New Roman" w:cs="Times New Roman"/>
          <w:sz w:val="20"/>
          <w:szCs w:val="20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 xml:space="preserve">Ohio Department of Job and Family Services for the Quarterly Census of Employment and Wages (QCEW). 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Any 3-digit NAICS with &gt;5 employers is reported.</w:t>
      </w:r>
    </w:p>
    <w:p w:rsidR="002362EE" w:rsidRPr="007370F4" w:rsidRDefault="002362EE" w:rsidP="002362EE">
      <w:pPr>
        <w:tabs>
          <w:tab w:val="left" w:pos="270"/>
        </w:tabs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employers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claim rates analysis. T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here were fewer employers in the cost analys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s since employers who participated in programs that reduce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apparent cost of the claims by allowing employers to pay portions of the claims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excluded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56625" w:rsidRDefault="00801F48" w:rsidP="00A56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9A7BA1">
        <w:rPr>
          <w:rFonts w:ascii="Times New Roman" w:hAnsi="Times New Roman" w:cs="Times New Roman"/>
          <w:sz w:val="20"/>
          <w:szCs w:val="20"/>
        </w:rPr>
        <w:t>Total n</w:t>
      </w:r>
      <w:r w:rsidR="00A56625" w:rsidRPr="004F6D17">
        <w:rPr>
          <w:rFonts w:ascii="Times New Roman" w:hAnsi="Times New Roman" w:cs="Times New Roman"/>
          <w:sz w:val="20"/>
          <w:szCs w:val="20"/>
        </w:rPr>
        <w:t>umber of</w:t>
      </w:r>
      <w:r w:rsidR="00A56625">
        <w:rPr>
          <w:rFonts w:ascii="Times New Roman" w:hAnsi="Times New Roman" w:cs="Times New Roman"/>
          <w:sz w:val="20"/>
          <w:szCs w:val="20"/>
        </w:rPr>
        <w:t xml:space="preserve"> 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claims </w:t>
      </w:r>
      <w:r w:rsidR="00A56625">
        <w:rPr>
          <w:rFonts w:ascii="Times New Roman" w:hAnsi="Times New Roman" w:cs="Times New Roman"/>
          <w:sz w:val="20"/>
          <w:szCs w:val="20"/>
        </w:rPr>
        <w:t>(medical</w:t>
      </w:r>
      <w:r w:rsidR="003E71C1">
        <w:rPr>
          <w:rFonts w:ascii="Times New Roman" w:hAnsi="Times New Roman" w:cs="Times New Roman"/>
          <w:sz w:val="20"/>
          <w:szCs w:val="20"/>
        </w:rPr>
        <w:t>-</w:t>
      </w:r>
      <w:r w:rsidR="00A56625">
        <w:rPr>
          <w:rFonts w:ascii="Times New Roman" w:hAnsi="Times New Roman" w:cs="Times New Roman"/>
          <w:sz w:val="20"/>
          <w:szCs w:val="20"/>
        </w:rPr>
        <w:t xml:space="preserve">only and lost-time) </w:t>
      </w:r>
      <w:r w:rsidR="00A56625" w:rsidRPr="004F6D17">
        <w:rPr>
          <w:rFonts w:ascii="Times New Roman" w:hAnsi="Times New Roman" w:cs="Times New Roman"/>
          <w:sz w:val="20"/>
          <w:szCs w:val="20"/>
        </w:rPr>
        <w:t>per 100 full-time equivalents (FTEs)</w:t>
      </w:r>
    </w:p>
    <w:p w:rsidR="00A56625" w:rsidRPr="004F6D17" w:rsidRDefault="00801F48" w:rsidP="00A56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A56625">
        <w:rPr>
          <w:rFonts w:ascii="Times New Roman" w:hAnsi="Times New Roman" w:cs="Times New Roman"/>
          <w:sz w:val="20"/>
          <w:szCs w:val="20"/>
        </w:rPr>
        <w:t>Paid 30-month nominal cost</w:t>
      </w:r>
    </w:p>
    <w:p w:rsidR="00A56625" w:rsidRDefault="00801F48" w:rsidP="00A56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 – Poisson regression</w:t>
      </w:r>
    </w:p>
    <w:p w:rsidR="00FB4F8B" w:rsidRPr="007370F4" w:rsidRDefault="00FB4F8B" w:rsidP="00FB4F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0A06DB">
        <w:rPr>
          <w:rFonts w:ascii="Times New Roman" w:hAnsi="Times New Roman" w:cs="Times New Roman"/>
          <w:sz w:val="20"/>
          <w:szCs w:val="20"/>
        </w:rPr>
        <w:t xml:space="preserve"> – Two-part regression model- </w:t>
      </w:r>
      <w:r w:rsidR="00196134" w:rsidRPr="000A06DB">
        <w:rPr>
          <w:rFonts w:ascii="Times New Roman" w:hAnsi="Times New Roman" w:cs="Times New Roman"/>
          <w:sz w:val="20"/>
          <w:szCs w:val="20"/>
        </w:rPr>
        <w:t>refer</w:t>
      </w:r>
      <w:r w:rsidR="00196134" w:rsidRPr="004E342E">
        <w:rPr>
          <w:rFonts w:ascii="Times New Roman" w:hAnsi="Times New Roman" w:cs="Times New Roman"/>
          <w:sz w:val="20"/>
          <w:szCs w:val="20"/>
        </w:rPr>
        <w:t xml:space="preserve"> to Methods and Online Appendix</w:t>
      </w:r>
    </w:p>
    <w:p w:rsidR="00A56625" w:rsidRPr="004F6D17" w:rsidRDefault="00FB4F8B" w:rsidP="00A5662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 – Linear regression</w:t>
      </w:r>
    </w:p>
    <w:p w:rsidR="00A56625" w:rsidRPr="004F6D17" w:rsidRDefault="00FB4F8B" w:rsidP="00A5662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A56625" w:rsidRPr="004F6D17">
        <w:rPr>
          <w:rFonts w:ascii="Times New Roman" w:hAnsi="Times New Roman" w:cs="Times New Roman"/>
          <w:sz w:val="20"/>
          <w:szCs w:val="20"/>
        </w:rPr>
        <w:t xml:space="preserve"> – Model does not control for time trend independent of intervention</w:t>
      </w:r>
    </w:p>
    <w:p w:rsidR="00FB0BB6" w:rsidRDefault="00FB4F8B" w:rsidP="00FB0BB6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FB0BB6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model did not converge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>because the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effect size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>was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too large to estimate.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most cases,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were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no workers’ compensation claims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no costs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post-intervention. These are still considered reductions. </w:t>
      </w:r>
    </w:p>
    <w:p w:rsidR="00FB0BB6" w:rsidRDefault="00FB0BB6" w:rsidP="003115E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25" w:rsidRPr="004F6D17" w:rsidRDefault="00A56625" w:rsidP="003115E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Significant difference, P &lt;.05</w:t>
      </w:r>
    </w:p>
    <w:p w:rsidR="00AA2790" w:rsidRPr="007370F4" w:rsidRDefault="00AA279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F937D5" w:rsidRPr="007370F4" w:rsidRDefault="00F937D5" w:rsidP="0077766A">
      <w:pPr>
        <w:rPr>
          <w:rFonts w:ascii="Times New Roman" w:hAnsi="Times New Roman" w:cs="Times New Roman"/>
          <w:b/>
          <w:sz w:val="20"/>
          <w:szCs w:val="20"/>
        </w:rPr>
      </w:pPr>
      <w:r w:rsidRPr="007370F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1645ED" w:rsidRPr="007370F4">
        <w:rPr>
          <w:rFonts w:ascii="Times New Roman" w:hAnsi="Times New Roman" w:cs="Times New Roman"/>
          <w:b/>
          <w:sz w:val="20"/>
          <w:szCs w:val="20"/>
        </w:rPr>
        <w:t>SIII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: Regression results to </w:t>
      </w:r>
      <w:r w:rsidR="00D17F57">
        <w:rPr>
          <w:rFonts w:ascii="Times New Roman" w:hAnsi="Times New Roman" w:cs="Times New Roman"/>
          <w:b/>
          <w:sz w:val="20"/>
          <w:szCs w:val="20"/>
        </w:rPr>
        <w:t>estimate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 difference</w:t>
      </w:r>
      <w:r w:rsidR="00D17F57">
        <w:rPr>
          <w:rFonts w:ascii="Times New Roman" w:hAnsi="Times New Roman" w:cs="Times New Roman"/>
          <w:b/>
          <w:sz w:val="20"/>
          <w:szCs w:val="20"/>
        </w:rPr>
        <w:t>s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 between the </w:t>
      </w:r>
      <w:r w:rsidR="008265C0">
        <w:rPr>
          <w:rFonts w:ascii="Times New Roman" w:hAnsi="Times New Roman" w:cs="Times New Roman"/>
          <w:b/>
          <w:sz w:val="20"/>
          <w:szCs w:val="20"/>
        </w:rPr>
        <w:t xml:space="preserve">workers’ compensation 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outcomes pre- and post-intervention by </w:t>
      </w:r>
      <w:r w:rsidR="00EB1575">
        <w:rPr>
          <w:rFonts w:ascii="Times New Roman" w:hAnsi="Times New Roman" w:cs="Times New Roman"/>
          <w:b/>
          <w:sz w:val="20"/>
          <w:szCs w:val="20"/>
        </w:rPr>
        <w:t xml:space="preserve">different </w:t>
      </w:r>
      <w:r w:rsidRPr="007370F4">
        <w:rPr>
          <w:rFonts w:ascii="Times New Roman" w:hAnsi="Times New Roman" w:cs="Times New Roman"/>
          <w:b/>
          <w:sz w:val="20"/>
          <w:szCs w:val="20"/>
        </w:rPr>
        <w:t>ergonomic</w:t>
      </w:r>
      <w:r w:rsidR="008265C0" w:rsidRPr="004F6D1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 intervention types</w:t>
      </w:r>
    </w:p>
    <w:tbl>
      <w:tblPr>
        <w:tblW w:w="13933" w:type="dxa"/>
        <w:jc w:val="center"/>
        <w:tblLook w:val="04A0" w:firstRow="1" w:lastRow="0" w:firstColumn="1" w:lastColumn="0" w:noHBand="0" w:noVBand="1"/>
      </w:tblPr>
      <w:tblGrid>
        <w:gridCol w:w="1283"/>
        <w:gridCol w:w="2226"/>
        <w:gridCol w:w="2288"/>
        <w:gridCol w:w="1080"/>
        <w:gridCol w:w="1139"/>
        <w:gridCol w:w="1909"/>
        <w:gridCol w:w="270"/>
        <w:gridCol w:w="1759"/>
        <w:gridCol w:w="270"/>
        <w:gridCol w:w="1709"/>
      </w:tblGrid>
      <w:tr w:rsidR="00E0752A" w:rsidRPr="007370F4" w:rsidTr="00136667">
        <w:trPr>
          <w:trHeight w:val="300"/>
          <w:jc w:val="center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2" w:rsidRPr="007370F4" w:rsidRDefault="00390F02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2" w:rsidRPr="007370F4" w:rsidRDefault="00390F02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2" w:rsidRPr="007370F4" w:rsidRDefault="00390F02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2" w:rsidRPr="00C178D2" w:rsidRDefault="00390F02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FE" w:rsidRDefault="00390F02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="0087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390F02" w:rsidRPr="007370F4" w:rsidRDefault="008764FE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 100 FTE </w:t>
            </w:r>
            <w:r w:rsidR="00A23F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02" w:rsidRPr="007370F4" w:rsidRDefault="00390F02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02" w:rsidRPr="007370F4" w:rsidRDefault="00390F02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 per FTE</w:t>
            </w:r>
            <w:r w:rsidR="008E4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3F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02" w:rsidRPr="007370F4" w:rsidRDefault="00390F02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879" w:rsidRDefault="00390F02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Geometric</w:t>
            </w:r>
          </w:p>
          <w:p w:rsidR="00EE7591" w:rsidRDefault="008E4879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390F02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390F02"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</w:t>
            </w:r>
          </w:p>
          <w:p w:rsidR="00390F02" w:rsidRDefault="00EE7591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 Claim </w:t>
            </w:r>
            <w:r w:rsidR="00A23F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  <w:p w:rsidR="003E3CBC" w:rsidRPr="007370F4" w:rsidRDefault="003E3CBC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52A" w:rsidRPr="007370F4" w:rsidTr="00E0752A">
        <w:trPr>
          <w:trHeight w:val="345"/>
          <w:jc w:val="center"/>
        </w:trPr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Group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046B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046B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Pr="00C178D2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OICCs</w:t>
            </w:r>
            <w:r w:rsidR="00FC50BD"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23F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F5046B" w:rsidRPr="00C178D2" w:rsidRDefault="00F5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Source Reference 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57" w:rsidRDefault="00D17F57" w:rsidP="00D1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umber of</w:t>
            </w:r>
          </w:p>
          <w:p w:rsidR="00D17F57" w:rsidRDefault="00D17F57" w:rsidP="00D1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7F57" w:rsidRDefault="00A23FCE" w:rsidP="00D1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F5046B" w:rsidRPr="007370F4" w:rsidRDefault="00F5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950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Pr="007370F4" w:rsidRDefault="00F5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Effect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Pr="007370F4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B" w:rsidRDefault="00F5046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F5046B" w:rsidRPr="007370F4" w:rsidRDefault="00F5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E0752A" w:rsidRPr="007370F4" w:rsidTr="00E0752A">
        <w:trPr>
          <w:trHeight w:val="300"/>
          <w:jc w:val="center"/>
        </w:trPr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</w:tr>
      <w:tr w:rsidR="00E0752A" w:rsidRPr="007370F4" w:rsidTr="00E0752A">
        <w:trPr>
          <w:trHeight w:val="300"/>
          <w:jc w:val="center"/>
        </w:trPr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F5046B" w:rsidP="002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aterial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(0.2, 0.47)*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3E6E48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(0.11, 120</w:t>
            </w: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(0.3, 0.67)*</w:t>
            </w:r>
          </w:p>
        </w:tc>
      </w:tr>
      <w:tr w:rsidR="00E0752A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Conveyors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46B" w:rsidRPr="007370F4" w:rsidRDefault="00F5046B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(0.06, 1.34)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3E6E48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(0, 2.54)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B" w:rsidRPr="007370F4" w:rsidRDefault="00F5046B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46B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(0.4, 5.11)</w:t>
            </w:r>
          </w:p>
        </w:tc>
      </w:tr>
      <w:tr w:rsidR="00E73AD0" w:rsidRPr="007370F4" w:rsidTr="00E0752A">
        <w:trPr>
          <w:trHeight w:val="765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73AD0" w:rsidRPr="007370F4" w:rsidRDefault="00E73AD0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AD0" w:rsidRPr="007370F4" w:rsidRDefault="00E73AD0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Hoists, cranes, manipulators, and vacuum lifts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73AD0" w:rsidRPr="007370F4" w:rsidRDefault="00E73AD0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3AD0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343, 344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3AD0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AD0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(0.22, 0.71)*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D0" w:rsidRPr="007370F4" w:rsidRDefault="00E73AD0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AD0" w:rsidRPr="007370F4" w:rsidRDefault="003E6E48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(0.17, 0.33)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D0" w:rsidRPr="007370F4" w:rsidRDefault="00E73AD0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AD0" w:rsidRPr="007370F4" w:rsidRDefault="00E73AD0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(0.25, 0.81)*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Manipulators, intelligent lift assists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(0.01, 0.53)*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2.34)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(0.02, 4.53)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 lifts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(0.13, 1.4)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 (0.12, 2.35)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(0.26, 2)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Hoists and cranes (overhead, gantry, bridge, jib, etc.)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(0.22, 0.87)*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0.78)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(0.19, 0.72)*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Lift gates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 (0.03, 0.7)*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(0, 0.7)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(0.19, 2.42)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Lift-tilt tables and positioners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3467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0.95)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Machinery- other material handling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(0.03, 0.2)*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(0, 0.05)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(0.12, 1.94)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(0.04, 0.25)*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 (0, 0.09)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(0.12, 2.61)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Robotic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(0.01, 0.62)*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(0, 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Vehicle lifts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material handling equipment- non-riding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(0.21, 0.83)*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(0.06, 0.26)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(0.18, 0.86)*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Non-powered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(0.26, 1.04)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 (0, 0.16)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(0.05, 0.63)*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8623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(0.11, 0.99)*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(0.05, 0.39)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(0.23, 1.18)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material handling equipment- riding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(0.13,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(0.08, 0.58)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(0.04, 1.11)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Forklifts, other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(0.09, 1.14)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(0, 0.75)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(0, 139.9)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Manlifts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(0.1, 1.77)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(0, 1.15)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(0.02, 1.34)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2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atient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(0.15, 0.7)*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(0.09, 0.71)*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(0.2, 0.37)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Ambulation lift, walkers, hygiene chairs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(0.08, 1.09)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(0.41, 1.06)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(0.48, 1.24)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 transfer, handling equipment, other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(0.31, 2.16)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(0.36, 1.04)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(0.7, 1.69)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Powered cots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(0.06, 0.42)*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(0.07, 0.29)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(0.31, 3.2)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Stair chairs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(0.02, 0.44)*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 (0.01, 0.1)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(0.33, 5.58)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2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ther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(0.14, 0.55)*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10A56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(0.02, 0.39)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10A56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(0.54, 1.42)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Machinery- non material handling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3115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0.05)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(0, 2.32)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powered equipment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(0.25, 0.99)*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 (0.17, 0.97)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(0.4, 2.14)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Pallet wrappers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(0.09, 4.62)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(0, 1.02)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Sweepers, scrubbers, floor cleaners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(0.02, 0.27)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(0.03, 1.22)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Dock levelers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(0, 6.05)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(0.25, 1.22)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1.95)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(0.53, 3.69)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equipment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(0.14, 1.36)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(0.07, 0.36)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(0.46, 2.66)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workstation equipment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(1.39, 1.9)*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3.54)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(0.32, 1.21)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Ratchets, binders, tie-downs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(0.08, 0.59)*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1.24)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 (0.75, 61.66)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 (0.01, 0.43)*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(0, 0.55)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E4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4BCD" w:rsidRPr="007370F4" w:rsidTr="00E0752A">
        <w:trPr>
          <w:trHeight w:val="300"/>
          <w:jc w:val="center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Powered hand tools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(0.03, 0.17)*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(0, 0.6)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(0.18, 4.47)</w:t>
            </w:r>
          </w:p>
        </w:tc>
      </w:tr>
      <w:tr w:rsidR="00BD4BCD" w:rsidRPr="007370F4" w:rsidTr="00E0752A">
        <w:trPr>
          <w:trHeight w:val="510"/>
          <w:jc w:val="center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Racks, Shelves, Ramps, Platforms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 (0.01, 0.49)*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(0.02, 0.67)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BCD" w:rsidRPr="007370F4" w:rsidRDefault="00BD4BCD" w:rsidP="0039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4BCD" w:rsidRPr="007370F4" w:rsidRDefault="00BD4BCD" w:rsidP="0039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(0.22, 1.62)</w:t>
            </w:r>
          </w:p>
        </w:tc>
      </w:tr>
    </w:tbl>
    <w:p w:rsidR="00E0752A" w:rsidRDefault="00E0752A" w:rsidP="008265C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265C0" w:rsidRDefault="008265C0" w:rsidP="008265C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4F6D1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EB1575">
        <w:rPr>
          <w:rFonts w:ascii="Times New Roman" w:hAnsi="Times New Roman" w:cs="Times New Roman"/>
          <w:sz w:val="20"/>
          <w:szCs w:val="20"/>
        </w:rPr>
        <w:t xml:space="preserve">Intervention type 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determined by consensus rating of two certified professional ergonomists based on case study reviews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4F6D17">
        <w:rPr>
          <w:rFonts w:ascii="Times New Roman" w:eastAsia="Times New Roman" w:hAnsi="Times New Roman" w:cs="Times New Roman"/>
          <w:color w:val="000000" w:themeColor="dark1"/>
          <w:kern w:val="24"/>
          <w:sz w:val="20"/>
          <w:szCs w:val="20"/>
        </w:rPr>
        <w:t xml:space="preserve">The </w:t>
      </w:r>
      <w:r w:rsidRPr="004F6D17">
        <w:rPr>
          <w:rFonts w:ascii="Times New Roman" w:hAnsi="Times New Roman" w:cs="Times New Roman"/>
          <w:sz w:val="20"/>
          <w:szCs w:val="20"/>
        </w:rPr>
        <w:t>Ergonomics</w:t>
      </w:r>
      <w:r w:rsidRPr="004F6D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Intervention Major Group</w:t>
      </w:r>
      <w:r w:rsidRPr="004F6D17">
        <w:rPr>
          <w:rFonts w:ascii="Times New Roman" w:hAnsi="Times New Roman" w:cs="Times New Roman"/>
          <w:sz w:val="20"/>
          <w:szCs w:val="20"/>
        </w:rPr>
        <w:t xml:space="preserve"> includes </w:t>
      </w:r>
      <w:r w:rsidR="00EB157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265C0">
        <w:rPr>
          <w:rFonts w:ascii="Times New Roman" w:hAnsi="Times New Roman" w:cs="Times New Roman"/>
          <w:sz w:val="20"/>
          <w:szCs w:val="20"/>
        </w:rPr>
        <w:t xml:space="preserve">gonomic </w:t>
      </w:r>
      <w:r w:rsidR="00EB1575">
        <w:rPr>
          <w:rFonts w:ascii="Times New Roman" w:hAnsi="Times New Roman" w:cs="Times New Roman"/>
          <w:sz w:val="20"/>
          <w:szCs w:val="20"/>
        </w:rPr>
        <w:t>M</w:t>
      </w:r>
      <w:r w:rsidRPr="008265C0">
        <w:rPr>
          <w:rFonts w:ascii="Times New Roman" w:hAnsi="Times New Roman" w:cs="Times New Roman"/>
          <w:sz w:val="20"/>
          <w:szCs w:val="20"/>
        </w:rPr>
        <w:t xml:space="preserve">aterial </w:t>
      </w:r>
      <w:r w:rsidR="00EB1575">
        <w:rPr>
          <w:rFonts w:ascii="Times New Roman" w:hAnsi="Times New Roman" w:cs="Times New Roman"/>
          <w:sz w:val="20"/>
          <w:szCs w:val="20"/>
        </w:rPr>
        <w:t>H</w:t>
      </w:r>
      <w:r w:rsidRPr="008265C0">
        <w:rPr>
          <w:rFonts w:ascii="Times New Roman" w:hAnsi="Times New Roman" w:cs="Times New Roman"/>
          <w:sz w:val="20"/>
          <w:szCs w:val="20"/>
        </w:rPr>
        <w:t xml:space="preserve">andling, </w:t>
      </w:r>
      <w:r w:rsidR="00EB1575">
        <w:rPr>
          <w:rFonts w:ascii="Times New Roman" w:hAnsi="Times New Roman" w:cs="Times New Roman"/>
          <w:sz w:val="20"/>
          <w:szCs w:val="20"/>
        </w:rPr>
        <w:t>E</w:t>
      </w:r>
      <w:r w:rsidRPr="008265C0">
        <w:rPr>
          <w:rFonts w:ascii="Times New Roman" w:hAnsi="Times New Roman" w:cs="Times New Roman"/>
          <w:sz w:val="20"/>
          <w:szCs w:val="20"/>
        </w:rPr>
        <w:t xml:space="preserve">rgonomic </w:t>
      </w:r>
      <w:r w:rsidR="00EB1575">
        <w:rPr>
          <w:rFonts w:ascii="Times New Roman" w:hAnsi="Times New Roman" w:cs="Times New Roman"/>
          <w:sz w:val="20"/>
          <w:szCs w:val="20"/>
        </w:rPr>
        <w:t>P</w:t>
      </w:r>
      <w:r w:rsidRPr="008265C0">
        <w:rPr>
          <w:rFonts w:ascii="Times New Roman" w:hAnsi="Times New Roman" w:cs="Times New Roman"/>
          <w:sz w:val="20"/>
          <w:szCs w:val="20"/>
        </w:rPr>
        <w:t xml:space="preserve">atient </w:t>
      </w:r>
      <w:r w:rsidR="00976CA1">
        <w:rPr>
          <w:rFonts w:ascii="Times New Roman" w:hAnsi="Times New Roman" w:cs="Times New Roman"/>
          <w:sz w:val="20"/>
          <w:szCs w:val="20"/>
        </w:rPr>
        <w:t>H</w:t>
      </w:r>
      <w:r w:rsidRPr="008265C0">
        <w:rPr>
          <w:rFonts w:ascii="Times New Roman" w:hAnsi="Times New Roman" w:cs="Times New Roman"/>
          <w:sz w:val="20"/>
          <w:szCs w:val="20"/>
        </w:rPr>
        <w:t xml:space="preserve">andling, and </w:t>
      </w:r>
      <w:r w:rsidR="00EB1575">
        <w:rPr>
          <w:rFonts w:ascii="Times New Roman" w:hAnsi="Times New Roman" w:cs="Times New Roman"/>
          <w:sz w:val="20"/>
          <w:szCs w:val="20"/>
        </w:rPr>
        <w:t>E</w:t>
      </w:r>
      <w:r w:rsidRPr="008265C0">
        <w:rPr>
          <w:rFonts w:ascii="Times New Roman" w:hAnsi="Times New Roman" w:cs="Times New Roman"/>
          <w:sz w:val="20"/>
          <w:szCs w:val="20"/>
        </w:rPr>
        <w:t xml:space="preserve">rgonomic </w:t>
      </w:r>
      <w:r w:rsidR="00EB1575">
        <w:rPr>
          <w:rFonts w:ascii="Times New Roman" w:hAnsi="Times New Roman" w:cs="Times New Roman"/>
          <w:sz w:val="20"/>
          <w:szCs w:val="20"/>
        </w:rPr>
        <w:t>O</w:t>
      </w:r>
      <w:r w:rsidRPr="008265C0">
        <w:rPr>
          <w:rFonts w:ascii="Times New Roman" w:hAnsi="Times New Roman" w:cs="Times New Roman"/>
          <w:sz w:val="20"/>
          <w:szCs w:val="20"/>
        </w:rPr>
        <w:t>ther (Total number of employers  = 348).</w:t>
      </w:r>
    </w:p>
    <w:p w:rsidR="00976CA1" w:rsidRDefault="00976CA1" w:rsidP="00976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Pr="00FC50BD">
        <w:rPr>
          <w:rFonts w:ascii="Times New Roman" w:eastAsia="Times New Roman" w:hAnsi="Times New Roman" w:cs="Times New Roman"/>
          <w:color w:val="000000"/>
          <w:sz w:val="20"/>
          <w:szCs w:val="20"/>
        </w:rPr>
        <w:t>Occupational Injury and Illness Classification Manual Version 2.01 (Bureau of Labor Statistics, 2012a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C5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76CA1" w:rsidRDefault="00976CA1" w:rsidP="008265C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</w:p>
    <w:p w:rsidR="00976CA1" w:rsidRPr="007370F4" w:rsidRDefault="00976CA1" w:rsidP="00976CA1">
      <w:pPr>
        <w:tabs>
          <w:tab w:val="left" w:pos="270"/>
        </w:tabs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employers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claim rates analysis. T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here were fewer employers in the cost analys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s since employers who participated in programs that reduce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apparent cost of the claims by allowing employers to pay portions of the claims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excluded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65C0" w:rsidRDefault="00976CA1" w:rsidP="0082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8265C0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9A7BA1">
        <w:rPr>
          <w:rFonts w:ascii="Times New Roman" w:hAnsi="Times New Roman" w:cs="Times New Roman"/>
          <w:sz w:val="20"/>
          <w:szCs w:val="20"/>
        </w:rPr>
        <w:t>Total n</w:t>
      </w:r>
      <w:r w:rsidR="008265C0" w:rsidRPr="004F6D17">
        <w:rPr>
          <w:rFonts w:ascii="Times New Roman" w:hAnsi="Times New Roman" w:cs="Times New Roman"/>
          <w:sz w:val="20"/>
          <w:szCs w:val="20"/>
        </w:rPr>
        <w:t xml:space="preserve">umber of claims </w:t>
      </w:r>
      <w:r w:rsidR="008265C0">
        <w:rPr>
          <w:rFonts w:ascii="Times New Roman" w:hAnsi="Times New Roman" w:cs="Times New Roman"/>
          <w:sz w:val="20"/>
          <w:szCs w:val="20"/>
        </w:rPr>
        <w:t>(medical</w:t>
      </w:r>
      <w:r w:rsidR="003E71C1">
        <w:rPr>
          <w:rFonts w:ascii="Times New Roman" w:hAnsi="Times New Roman" w:cs="Times New Roman"/>
          <w:sz w:val="20"/>
          <w:szCs w:val="20"/>
        </w:rPr>
        <w:t>-</w:t>
      </w:r>
      <w:r w:rsidR="008265C0">
        <w:rPr>
          <w:rFonts w:ascii="Times New Roman" w:hAnsi="Times New Roman" w:cs="Times New Roman"/>
          <w:sz w:val="20"/>
          <w:szCs w:val="20"/>
        </w:rPr>
        <w:t xml:space="preserve">only and lost-time) </w:t>
      </w:r>
      <w:r w:rsidR="008265C0" w:rsidRPr="004F6D17">
        <w:rPr>
          <w:rFonts w:ascii="Times New Roman" w:hAnsi="Times New Roman" w:cs="Times New Roman"/>
          <w:sz w:val="20"/>
          <w:szCs w:val="20"/>
        </w:rPr>
        <w:t>per 100 full-time equivalents (FTEs)</w:t>
      </w:r>
    </w:p>
    <w:p w:rsidR="008265C0" w:rsidRPr="004F6D17" w:rsidRDefault="00976CA1" w:rsidP="0082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8265C0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8265C0">
        <w:rPr>
          <w:rFonts w:ascii="Times New Roman" w:hAnsi="Times New Roman" w:cs="Times New Roman"/>
          <w:sz w:val="20"/>
          <w:szCs w:val="20"/>
        </w:rPr>
        <w:t>Paid 30-month nominal cost</w:t>
      </w:r>
    </w:p>
    <w:p w:rsidR="008265C0" w:rsidRPr="000A06DB" w:rsidRDefault="00976CA1" w:rsidP="0082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8265C0" w:rsidRPr="000A06DB">
        <w:rPr>
          <w:rFonts w:ascii="Times New Roman" w:hAnsi="Times New Roman" w:cs="Times New Roman"/>
          <w:sz w:val="20"/>
          <w:szCs w:val="20"/>
        </w:rPr>
        <w:t xml:space="preserve"> – Poisson regression</w:t>
      </w:r>
    </w:p>
    <w:p w:rsidR="00CE4206" w:rsidRPr="007370F4" w:rsidRDefault="00CE4206" w:rsidP="00CE42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FD1CFC" w:rsidRPr="000A06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A06DB">
        <w:rPr>
          <w:rFonts w:ascii="Times New Roman" w:hAnsi="Times New Roman" w:cs="Times New Roman"/>
          <w:sz w:val="20"/>
          <w:szCs w:val="20"/>
        </w:rPr>
        <w:t xml:space="preserve">– Two-part regression model- </w:t>
      </w:r>
      <w:r w:rsidR="00196134" w:rsidRPr="000A06DB">
        <w:rPr>
          <w:rFonts w:ascii="Times New Roman" w:hAnsi="Times New Roman" w:cs="Times New Roman"/>
          <w:sz w:val="20"/>
          <w:szCs w:val="20"/>
        </w:rPr>
        <w:t>refer to Methods</w:t>
      </w:r>
      <w:r w:rsidR="00196134" w:rsidRPr="004E342E">
        <w:rPr>
          <w:rFonts w:ascii="Times New Roman" w:hAnsi="Times New Roman" w:cs="Times New Roman"/>
          <w:sz w:val="20"/>
          <w:szCs w:val="20"/>
        </w:rPr>
        <w:t xml:space="preserve"> and Online Appendix</w:t>
      </w:r>
      <w:r w:rsidR="00196134">
        <w:rPr>
          <w:rFonts w:ascii="Times New Roman" w:hAnsi="Times New Roman" w:cs="Times New Roman"/>
          <w:sz w:val="20"/>
          <w:szCs w:val="20"/>
        </w:rPr>
        <w:t>;</w:t>
      </w:r>
    </w:p>
    <w:p w:rsidR="008265C0" w:rsidRPr="004F6D17" w:rsidRDefault="00CE4206" w:rsidP="008265C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FD1CF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265C0" w:rsidRPr="004F6D17">
        <w:rPr>
          <w:rFonts w:ascii="Times New Roman" w:hAnsi="Times New Roman" w:cs="Times New Roman"/>
          <w:sz w:val="20"/>
          <w:szCs w:val="20"/>
        </w:rPr>
        <w:t>– Linear regression</w:t>
      </w:r>
    </w:p>
    <w:p w:rsidR="008265C0" w:rsidRPr="004F6D17" w:rsidRDefault="00CE4206" w:rsidP="008265C0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8265C0" w:rsidRPr="004F6D17">
        <w:rPr>
          <w:rFonts w:ascii="Times New Roman" w:hAnsi="Times New Roman" w:cs="Times New Roman"/>
          <w:sz w:val="20"/>
          <w:szCs w:val="20"/>
        </w:rPr>
        <w:t xml:space="preserve"> – Model does not control for time trend independent of intervention</w:t>
      </w:r>
    </w:p>
    <w:p w:rsidR="00FB0BB6" w:rsidRDefault="00CE4206" w:rsidP="00FB0BB6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FB0BB6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model did not converge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>because the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effect size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>was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too large to estimate.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most cases,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were 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no workers’ compensation claims</w:t>
      </w:r>
      <w:r w:rsidR="00FB0B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no costs</w:t>
      </w:r>
      <w:r w:rsidR="00FB0BB6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post-intervention. These are still considered reductions. </w:t>
      </w:r>
    </w:p>
    <w:p w:rsidR="00595525" w:rsidRDefault="00CE4206" w:rsidP="00595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k</w:t>
      </w:r>
      <w:r w:rsidR="00595525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595525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 model did not converge</w:t>
      </w:r>
      <w:r w:rsidR="005955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because there were too few employers.</w:t>
      </w:r>
    </w:p>
    <w:p w:rsidR="008265C0" w:rsidRPr="004F6D17" w:rsidRDefault="008265C0" w:rsidP="008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Significant difference, P &lt;.05</w:t>
      </w:r>
    </w:p>
    <w:p w:rsidR="008265C0" w:rsidRPr="004F6D17" w:rsidRDefault="008265C0" w:rsidP="008265C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BA5D9D" w:rsidRPr="007370F4" w:rsidRDefault="0015716F" w:rsidP="00BA5D9D">
      <w:pPr>
        <w:rPr>
          <w:rFonts w:ascii="Times New Roman" w:hAnsi="Times New Roman" w:cs="Times New Roman"/>
          <w:sz w:val="20"/>
          <w:szCs w:val="20"/>
        </w:rPr>
      </w:pPr>
      <w:r w:rsidRPr="00C178D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645ED" w:rsidRPr="00C178D2">
        <w:rPr>
          <w:rFonts w:ascii="Times New Roman" w:hAnsi="Times New Roman" w:cs="Times New Roman"/>
          <w:b/>
          <w:sz w:val="20"/>
          <w:szCs w:val="20"/>
        </w:rPr>
        <w:t>SIV</w:t>
      </w:r>
      <w:r w:rsidRPr="00C178D2">
        <w:rPr>
          <w:rFonts w:ascii="Times New Roman" w:hAnsi="Times New Roman" w:cs="Times New Roman"/>
          <w:b/>
          <w:sz w:val="20"/>
          <w:szCs w:val="20"/>
        </w:rPr>
        <w:t xml:space="preserve">: Regression results to </w:t>
      </w:r>
      <w:r w:rsidR="00D3148B">
        <w:rPr>
          <w:rFonts w:ascii="Times New Roman" w:hAnsi="Times New Roman" w:cs="Times New Roman"/>
          <w:b/>
          <w:sz w:val="20"/>
          <w:szCs w:val="20"/>
        </w:rPr>
        <w:t>estimate</w:t>
      </w:r>
      <w:r w:rsidRPr="00C178D2">
        <w:rPr>
          <w:rFonts w:ascii="Times New Roman" w:hAnsi="Times New Roman" w:cs="Times New Roman"/>
          <w:b/>
          <w:sz w:val="20"/>
          <w:szCs w:val="20"/>
        </w:rPr>
        <w:t xml:space="preserve"> difference</w:t>
      </w:r>
      <w:r w:rsidR="00D3148B">
        <w:rPr>
          <w:rFonts w:ascii="Times New Roman" w:hAnsi="Times New Roman" w:cs="Times New Roman"/>
          <w:b/>
          <w:sz w:val="20"/>
          <w:szCs w:val="20"/>
        </w:rPr>
        <w:t>s</w:t>
      </w:r>
      <w:r w:rsidRPr="00C178D2">
        <w:rPr>
          <w:rFonts w:ascii="Times New Roman" w:hAnsi="Times New Roman" w:cs="Times New Roman"/>
          <w:b/>
          <w:sz w:val="20"/>
          <w:szCs w:val="20"/>
        </w:rPr>
        <w:t xml:space="preserve"> between the </w:t>
      </w:r>
      <w:r w:rsidR="00EB1575" w:rsidRPr="00C178D2">
        <w:rPr>
          <w:rFonts w:ascii="Times New Roman" w:hAnsi="Times New Roman" w:cs="Times New Roman"/>
          <w:b/>
          <w:sz w:val="20"/>
          <w:szCs w:val="20"/>
        </w:rPr>
        <w:t xml:space="preserve">workers’ compensation </w:t>
      </w:r>
      <w:r w:rsidRPr="00C178D2">
        <w:rPr>
          <w:rFonts w:ascii="Times New Roman" w:hAnsi="Times New Roman" w:cs="Times New Roman"/>
          <w:b/>
          <w:sz w:val="20"/>
          <w:szCs w:val="20"/>
        </w:rPr>
        <w:t>outcomes pre- and post-intervention by different safety</w:t>
      </w:r>
      <w:r w:rsidR="00EB1575" w:rsidRPr="00C178D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178D2">
        <w:rPr>
          <w:rFonts w:ascii="Times New Roman" w:hAnsi="Times New Roman" w:cs="Times New Roman"/>
          <w:b/>
          <w:sz w:val="20"/>
          <w:szCs w:val="20"/>
        </w:rPr>
        <w:t xml:space="preserve"> and ventilation</w:t>
      </w:r>
      <w:r w:rsidR="00EB1575" w:rsidRPr="00C178D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178D2">
        <w:rPr>
          <w:rFonts w:ascii="Times New Roman" w:hAnsi="Times New Roman" w:cs="Times New Roman"/>
          <w:b/>
          <w:sz w:val="20"/>
          <w:szCs w:val="20"/>
        </w:rPr>
        <w:t xml:space="preserve"> intervention types</w:t>
      </w:r>
    </w:p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1365"/>
        <w:gridCol w:w="1890"/>
        <w:gridCol w:w="1800"/>
        <w:gridCol w:w="1080"/>
        <w:gridCol w:w="1139"/>
        <w:gridCol w:w="2070"/>
        <w:gridCol w:w="270"/>
        <w:gridCol w:w="1943"/>
        <w:gridCol w:w="270"/>
        <w:gridCol w:w="1688"/>
      </w:tblGrid>
      <w:tr w:rsidR="0015716F" w:rsidRPr="007370F4" w:rsidTr="0013666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6F" w:rsidRPr="007370F4" w:rsidRDefault="0015716F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6F" w:rsidRPr="007370F4" w:rsidRDefault="0015716F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6F" w:rsidRPr="007370F4" w:rsidRDefault="0015716F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6F" w:rsidRPr="007370F4" w:rsidRDefault="0015716F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FE" w:rsidRDefault="0015716F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="0087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15716F" w:rsidRPr="007370F4" w:rsidRDefault="008764FE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100 FTE</w:t>
            </w:r>
            <w:r w:rsidR="00EB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16F" w:rsidRPr="007370F4" w:rsidRDefault="0015716F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16F" w:rsidRPr="007370F4" w:rsidRDefault="0015716F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 per FTE</w:t>
            </w:r>
            <w:r w:rsidR="00EB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16F" w:rsidRPr="007370F4" w:rsidRDefault="0015716F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91" w:rsidRDefault="0015716F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Geometric </w:t>
            </w:r>
            <w:r w:rsidR="00EE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ean </w:t>
            </w:r>
            <w:r w:rsidR="00EE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</w:t>
            </w:r>
          </w:p>
          <w:p w:rsidR="0015716F" w:rsidRDefault="00EE7591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 Claim</w:t>
            </w:r>
            <w:r w:rsidR="00EB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  <w:p w:rsidR="003E3CBC" w:rsidRPr="007370F4" w:rsidRDefault="003E3CBC" w:rsidP="0013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693B" w:rsidRPr="007370F4" w:rsidTr="00734158">
        <w:trPr>
          <w:trHeight w:val="345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693B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B6693B" w:rsidRPr="007370F4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693B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B6693B" w:rsidRPr="007370F4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693B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B6693B" w:rsidRPr="007370F4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0BD" w:rsidRPr="00C178D2" w:rsidRDefault="00FC50BD" w:rsidP="00FC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OICCs</w:t>
            </w:r>
            <w:r w:rsidRPr="004F6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F4D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B6693B" w:rsidRPr="007370F4" w:rsidRDefault="00FC50BD" w:rsidP="00FC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Reference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D27" w:rsidRDefault="005F4D27" w:rsidP="005F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umber of</w:t>
            </w:r>
          </w:p>
          <w:p w:rsidR="005F4D27" w:rsidRDefault="005F4D27" w:rsidP="005F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</w:t>
            </w:r>
            <w:r w:rsidR="005F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F4D27" w:rsidRDefault="005F4D27" w:rsidP="005F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:rsidR="00B6693B" w:rsidRPr="007370F4" w:rsidRDefault="00B6693B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B6693B" w:rsidRPr="007370F4" w:rsidRDefault="00B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EF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Intervention </w:t>
            </w:r>
          </w:p>
          <w:p w:rsidR="00B6693B" w:rsidRPr="007370F4" w:rsidRDefault="00B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g,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Effect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i</w:t>
            </w:r>
          </w:p>
        </w:tc>
      </w:tr>
      <w:tr w:rsidR="00B6693B" w:rsidRPr="007370F4" w:rsidTr="00734158">
        <w:trPr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3B" w:rsidRPr="007370F4" w:rsidRDefault="00B6693B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93B" w:rsidRPr="007370F4" w:rsidRDefault="00B6693B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(0.02, 0.5)*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(0.09, 0.11)</w:t>
            </w:r>
            <w:r w:rsidR="00BF2AA5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(0.44, 1.37)</w:t>
            </w:r>
          </w:p>
        </w:tc>
      </w:tr>
      <w:tr w:rsidR="00AF26C2" w:rsidRPr="007370F4" w:rsidTr="00734158">
        <w:trPr>
          <w:trHeight w:val="51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equipment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(0.21, 0.83)*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(0, 0.32)</w:t>
            </w:r>
            <w:r w:rsidR="00BF2AA5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(0.58, 2.37)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 Protection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 guarding/ safe guarding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(0.2, 2.4)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(0.14, 0.71)</w:t>
            </w:r>
            <w:r w:rsidR="00BF2AA5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(0.39, 2.26)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equipment-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(0.2, 0.46)*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(0.03, 0.51)</w:t>
            </w:r>
            <w:r w:rsidR="00BF2AA5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 (0.89, 7.99)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Specialty Saws, Cutters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 (0.03, 0.47)*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(0, 9.3)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(0.12, 3.1)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(0.19, 2)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Slip resistant flooring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F26C2" w:rsidRPr="007370F4" w:rsidRDefault="00AF26C2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0.05)*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(0.01, 14.44)</w:t>
            </w: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 (0.86, 5.6)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 (1.83, 2.75)</w:t>
            </w:r>
            <w:r w:rsidR="00D5772B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 (1.15, 6.08)*</w:t>
            </w: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Machinery- non material handling</w:t>
            </w:r>
          </w:p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(with built-in ventilation)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 (0.37, 28.13)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A0BFD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(0, 339.1)</w:t>
            </w:r>
          </w:p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powered equipment</w:t>
            </w:r>
          </w:p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(with built-in ventilation)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A0BFD" w:rsidRDefault="002A0BFD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0BFD" w:rsidRPr="007370F4" w:rsidRDefault="002A0BFD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  <w:p w:rsidR="002A0BFD" w:rsidRPr="007370F4" w:rsidRDefault="002A0BFD" w:rsidP="0073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FD" w:rsidRPr="007370F4" w:rsidTr="00734158">
        <w:trPr>
          <w:trHeight w:val="30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Ventilation equipment</w:t>
            </w:r>
          </w:p>
          <w:p w:rsidR="002A0BFD" w:rsidRPr="007370F4" w:rsidRDefault="002A0BFD" w:rsidP="003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(stand-alone systems)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(0.78, 6.27)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 (0.01, 6.23)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 (1.2, 5.17)*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26C2" w:rsidRPr="007370F4" w:rsidTr="00734158">
        <w:trPr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C2" w:rsidRPr="007370F4" w:rsidRDefault="00AF26C2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6C2" w:rsidRPr="007370F4" w:rsidRDefault="00AF26C2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(multiple purpose)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(0.12, 0.49)*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 (0.11, 0.11)</w:t>
            </w:r>
            <w:r w:rsidR="00D5772B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(0.3, 0.88)*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equipment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powered equipment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k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4F6D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834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j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Machinery- non material handling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(0.12, 0.5)*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(0, 0.37)</w:t>
            </w:r>
            <w:r w:rsidR="00D5772B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(0.33, 0.95)*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Molding machines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(0.01, 1.21)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(0, 0.62)*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(0.1, 0.64)*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(0.09, 0.53)</w:t>
            </w:r>
            <w:r w:rsidR="00D5772B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(0.35, 1.17)</w:t>
            </w:r>
          </w:p>
        </w:tc>
      </w:tr>
      <w:tr w:rsidR="002A0BFD" w:rsidRPr="007370F4" w:rsidTr="00EB4437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Cutting and machining equipment (including lathes)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71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(0.09, 0.78)*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(0.06, 0.46)</w:t>
            </w:r>
            <w:r w:rsidR="00D5772B"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BFD" w:rsidRPr="007370F4" w:rsidRDefault="002A0BFD" w:rsidP="0015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0BFD" w:rsidRPr="007370F4" w:rsidRDefault="002A0BFD" w:rsidP="0015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(0.07, 0.89)*</w:t>
            </w:r>
          </w:p>
        </w:tc>
      </w:tr>
    </w:tbl>
    <w:p w:rsidR="00E0752A" w:rsidRDefault="00E0752A" w:rsidP="00EB157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1575" w:rsidRDefault="00EB1575" w:rsidP="00734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Intervention type 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determined by consensus rating of two certified professional ergonomists based on case study reviews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5F4D27" w:rsidRDefault="005F4D27" w:rsidP="005F4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Pr="00FC50BD">
        <w:rPr>
          <w:rFonts w:ascii="Times New Roman" w:eastAsia="Times New Roman" w:hAnsi="Times New Roman" w:cs="Times New Roman"/>
          <w:color w:val="000000"/>
          <w:sz w:val="20"/>
          <w:szCs w:val="20"/>
        </w:rPr>
        <w:t>Occupational Injury and Illness Classification Manual Version 2.01 (Bureau of Labor Statistics, 2012a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C5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F4D27" w:rsidRPr="007370F4" w:rsidRDefault="005F4D27" w:rsidP="005F4D27">
      <w:pPr>
        <w:tabs>
          <w:tab w:val="left" w:pos="270"/>
        </w:tabs>
        <w:spacing w:after="0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employers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claim rates analysis. T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here were fewer employers in the cost analys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s since employers who participated in programs that reduce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apparent cost of the claims by allowing employers to pay portions of the claims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excluded</w:t>
      </w:r>
      <w:r w:rsidRPr="00242F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1575" w:rsidRDefault="005F4D27" w:rsidP="00EB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EB1575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9A7BA1">
        <w:rPr>
          <w:rFonts w:ascii="Times New Roman" w:hAnsi="Times New Roman" w:cs="Times New Roman"/>
          <w:sz w:val="20"/>
          <w:szCs w:val="20"/>
        </w:rPr>
        <w:t>Total n</w:t>
      </w:r>
      <w:r w:rsidR="00EB1575" w:rsidRPr="004F6D17">
        <w:rPr>
          <w:rFonts w:ascii="Times New Roman" w:hAnsi="Times New Roman" w:cs="Times New Roman"/>
          <w:sz w:val="20"/>
          <w:szCs w:val="20"/>
        </w:rPr>
        <w:t xml:space="preserve">umber of claims </w:t>
      </w:r>
      <w:r w:rsidR="00EB1575">
        <w:rPr>
          <w:rFonts w:ascii="Times New Roman" w:hAnsi="Times New Roman" w:cs="Times New Roman"/>
          <w:sz w:val="20"/>
          <w:szCs w:val="20"/>
        </w:rPr>
        <w:t>(medical</w:t>
      </w:r>
      <w:r w:rsidR="003E71C1">
        <w:rPr>
          <w:rFonts w:ascii="Times New Roman" w:hAnsi="Times New Roman" w:cs="Times New Roman"/>
          <w:sz w:val="20"/>
          <w:szCs w:val="20"/>
        </w:rPr>
        <w:t>-</w:t>
      </w:r>
      <w:r w:rsidR="00EB1575">
        <w:rPr>
          <w:rFonts w:ascii="Times New Roman" w:hAnsi="Times New Roman" w:cs="Times New Roman"/>
          <w:sz w:val="20"/>
          <w:szCs w:val="20"/>
        </w:rPr>
        <w:t xml:space="preserve">only and lost-time) </w:t>
      </w:r>
      <w:r w:rsidR="00EB1575" w:rsidRPr="004F6D17">
        <w:rPr>
          <w:rFonts w:ascii="Times New Roman" w:hAnsi="Times New Roman" w:cs="Times New Roman"/>
          <w:sz w:val="20"/>
          <w:szCs w:val="20"/>
        </w:rPr>
        <w:t>per 100 full-time equivalents (FTEs)</w:t>
      </w:r>
    </w:p>
    <w:p w:rsidR="00EB1575" w:rsidRPr="004F6D17" w:rsidRDefault="005F4D27" w:rsidP="00EB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EB1575"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 w:rsidR="00EB1575">
        <w:rPr>
          <w:rFonts w:ascii="Times New Roman" w:hAnsi="Times New Roman" w:cs="Times New Roman"/>
          <w:sz w:val="20"/>
          <w:szCs w:val="20"/>
        </w:rPr>
        <w:t>Paid 30-month nominal cost</w:t>
      </w:r>
    </w:p>
    <w:p w:rsidR="00EB1575" w:rsidRPr="000A06DB" w:rsidRDefault="005F4D27" w:rsidP="00EB1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EB1575" w:rsidRPr="000A06DB">
        <w:rPr>
          <w:rFonts w:ascii="Times New Roman" w:hAnsi="Times New Roman" w:cs="Times New Roman"/>
          <w:sz w:val="20"/>
          <w:szCs w:val="20"/>
        </w:rPr>
        <w:t xml:space="preserve"> – Poisson regression</w:t>
      </w:r>
    </w:p>
    <w:p w:rsidR="0068340E" w:rsidRPr="007370F4" w:rsidRDefault="0068340E" w:rsidP="006834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06DB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FD1CFC" w:rsidRPr="000A06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A06DB">
        <w:rPr>
          <w:rFonts w:ascii="Times New Roman" w:hAnsi="Times New Roman" w:cs="Times New Roman"/>
          <w:sz w:val="20"/>
          <w:szCs w:val="20"/>
        </w:rPr>
        <w:t xml:space="preserve">– Two-part regression model- </w:t>
      </w:r>
      <w:r w:rsidR="00196134" w:rsidRPr="000A06DB">
        <w:rPr>
          <w:rFonts w:ascii="Times New Roman" w:hAnsi="Times New Roman" w:cs="Times New Roman"/>
          <w:sz w:val="20"/>
          <w:szCs w:val="20"/>
        </w:rPr>
        <w:t>refer</w:t>
      </w:r>
      <w:r w:rsidR="00196134" w:rsidRPr="004E342E">
        <w:rPr>
          <w:rFonts w:ascii="Times New Roman" w:hAnsi="Times New Roman" w:cs="Times New Roman"/>
          <w:sz w:val="20"/>
          <w:szCs w:val="20"/>
        </w:rPr>
        <w:t xml:space="preserve"> to Methods and Online Appendix</w:t>
      </w:r>
      <w:r w:rsidR="00196134">
        <w:rPr>
          <w:rFonts w:ascii="Times New Roman" w:hAnsi="Times New Roman" w:cs="Times New Roman"/>
          <w:sz w:val="20"/>
          <w:szCs w:val="20"/>
        </w:rPr>
        <w:t>;</w:t>
      </w:r>
    </w:p>
    <w:p w:rsidR="00EB1575" w:rsidRPr="004F6D17" w:rsidRDefault="0068340E" w:rsidP="00EB157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EB1575" w:rsidRPr="004F6D17">
        <w:rPr>
          <w:rFonts w:ascii="Times New Roman" w:hAnsi="Times New Roman" w:cs="Times New Roman"/>
          <w:sz w:val="20"/>
          <w:szCs w:val="20"/>
        </w:rPr>
        <w:t xml:space="preserve"> – Linear regression</w:t>
      </w:r>
    </w:p>
    <w:p w:rsidR="00EB1575" w:rsidRPr="004F6D17" w:rsidRDefault="0068340E" w:rsidP="00EB1575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EB1575" w:rsidRPr="004F6D17">
        <w:rPr>
          <w:rFonts w:ascii="Times New Roman" w:hAnsi="Times New Roman" w:cs="Times New Roman"/>
          <w:sz w:val="20"/>
          <w:szCs w:val="20"/>
        </w:rPr>
        <w:t xml:space="preserve"> – Model does not control for time trend independent of intervention</w:t>
      </w:r>
    </w:p>
    <w:p w:rsidR="00073D94" w:rsidRDefault="0068340E" w:rsidP="00073D9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073D94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model did not converge 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>because the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effect size 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>was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too large to estimate.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most cases,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were 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either 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no workers’ compensation claims</w:t>
      </w:r>
      <w:r w:rsidR="0007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no costs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post-intervention. These are still considered reductions. </w:t>
      </w:r>
    </w:p>
    <w:p w:rsidR="00073D94" w:rsidRDefault="0068340E" w:rsidP="0007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k</w:t>
      </w:r>
      <w:r w:rsidR="00073D94" w:rsidRPr="007370F4">
        <w:rPr>
          <w:rFonts w:ascii="Times New Roman" w:hAnsi="Times New Roman" w:cs="Times New Roman"/>
          <w:sz w:val="20"/>
          <w:szCs w:val="20"/>
        </w:rPr>
        <w:t xml:space="preserve"> – </w:t>
      </w:r>
      <w:r w:rsidR="00073D94"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these interventions, model did not converge</w:t>
      </w:r>
      <w:r w:rsidR="005955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because there were too few employers.</w:t>
      </w:r>
    </w:p>
    <w:p w:rsidR="00EB1575" w:rsidRPr="004F6D17" w:rsidRDefault="00EB1575" w:rsidP="00EB1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Significant difference, P &lt;.05</w:t>
      </w:r>
    </w:p>
    <w:p w:rsidR="0015716F" w:rsidRDefault="0015716F" w:rsidP="007370F4">
      <w:pPr>
        <w:spacing w:after="0" w:line="240" w:lineRule="auto"/>
        <w:textAlignment w:val="center"/>
        <w:rPr>
          <w:rFonts w:ascii="Times New Roman" w:hAnsi="Times New Roman" w:cs="Times New Roman"/>
          <w:vertAlign w:val="superscript"/>
        </w:rPr>
      </w:pPr>
    </w:p>
    <w:p w:rsidR="00E565F3" w:rsidRDefault="00E565F3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p w:rsidR="00E565F3" w:rsidRPr="007370F4" w:rsidRDefault="00E565F3" w:rsidP="00E565F3">
      <w:pPr>
        <w:rPr>
          <w:rFonts w:ascii="Times New Roman" w:hAnsi="Times New Roman" w:cs="Times New Roman"/>
          <w:b/>
          <w:sz w:val="20"/>
          <w:szCs w:val="20"/>
        </w:rPr>
      </w:pPr>
      <w:r w:rsidRPr="007370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Pr="007370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V: </w:t>
      </w:r>
      <w:r w:rsidRPr="007370F4">
        <w:rPr>
          <w:rFonts w:ascii="Times New Roman" w:hAnsi="Times New Roman" w:cs="Times New Roman"/>
          <w:b/>
          <w:sz w:val="20"/>
          <w:szCs w:val="20"/>
        </w:rPr>
        <w:t xml:space="preserve">Post-hoc analysis results stratifying affected employee </w:t>
      </w:r>
      <w:r>
        <w:rPr>
          <w:rFonts w:ascii="Times New Roman" w:hAnsi="Times New Roman" w:cs="Times New Roman"/>
          <w:b/>
          <w:sz w:val="20"/>
          <w:szCs w:val="20"/>
        </w:rPr>
        <w:t xml:space="preserve">workers’ compensation </w:t>
      </w:r>
      <w:r w:rsidRPr="007370F4">
        <w:rPr>
          <w:rFonts w:ascii="Times New Roman" w:hAnsi="Times New Roman" w:cs="Times New Roman"/>
          <w:b/>
          <w:sz w:val="20"/>
          <w:szCs w:val="20"/>
        </w:rPr>
        <w:t>claim frequency rate data into high-low rate groups</w:t>
      </w:r>
    </w:p>
    <w:tbl>
      <w:tblPr>
        <w:tblW w:w="11746" w:type="dxa"/>
        <w:jc w:val="center"/>
        <w:tblLook w:val="04A0" w:firstRow="1" w:lastRow="0" w:firstColumn="1" w:lastColumn="0" w:noHBand="0" w:noVBand="1"/>
      </w:tblPr>
      <w:tblGrid>
        <w:gridCol w:w="2746"/>
        <w:gridCol w:w="3780"/>
        <w:gridCol w:w="900"/>
        <w:gridCol w:w="4320"/>
      </w:tblGrid>
      <w:tr w:rsidR="00E565F3" w:rsidRPr="007370F4" w:rsidTr="00EF1672">
        <w:trPr>
          <w:trHeight w:val="345"/>
          <w:jc w:val="center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Low </w:t>
            </w:r>
            <w:r w:rsidRPr="004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Claim 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High </w:t>
            </w:r>
            <w:r w:rsidRPr="004F6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Claim </w:t>
            </w:r>
            <w:r w:rsidRPr="00737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565F3" w:rsidRPr="007370F4" w:rsidTr="00EF1672">
        <w:trPr>
          <w:trHeight w:val="300"/>
          <w:jc w:val="center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5F3" w:rsidRPr="007370F4" w:rsidRDefault="00E565F3" w:rsidP="00EF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 (95% CI)</w:t>
            </w:r>
          </w:p>
        </w:tc>
      </w:tr>
      <w:tr w:rsidR="00E565F3" w:rsidRPr="007370F4" w:rsidTr="00EF1672">
        <w:trPr>
          <w:trHeight w:val="300"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Year</w:t>
            </w:r>
            <w:r w:rsidRPr="004F6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(0.85, 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(0.80, 0.92)*</w:t>
            </w:r>
          </w:p>
        </w:tc>
      </w:tr>
      <w:tr w:rsidR="00E565F3" w:rsidRPr="007370F4" w:rsidTr="00EF1672">
        <w:trPr>
          <w:trHeight w:val="300"/>
          <w:jc w:val="center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Intervention Effect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 (0.20, 0.81)*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5F3" w:rsidRPr="007370F4" w:rsidRDefault="00E565F3" w:rsidP="00EF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(0.17, 0.51)*</w:t>
            </w:r>
          </w:p>
        </w:tc>
      </w:tr>
    </w:tbl>
    <w:p w:rsidR="00E565F3" w:rsidRDefault="00E565F3" w:rsidP="00E5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E565F3" w:rsidRDefault="00E565F3" w:rsidP="00E56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a 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A7BA1">
        <w:rPr>
          <w:rFonts w:ascii="Times New Roman" w:eastAsia="Times New Roman" w:hAnsi="Times New Roman" w:cs="Times New Roman"/>
          <w:color w:val="000000"/>
          <w:sz w:val="20"/>
          <w:szCs w:val="20"/>
        </w:rPr>
        <w:t>Total n</w:t>
      </w:r>
      <w:r w:rsidRPr="004F6D17">
        <w:rPr>
          <w:rFonts w:ascii="Times New Roman" w:hAnsi="Times New Roman" w:cs="Times New Roman"/>
          <w:sz w:val="20"/>
          <w:szCs w:val="20"/>
        </w:rPr>
        <w:t xml:space="preserve">umber of claims </w:t>
      </w:r>
      <w:r>
        <w:rPr>
          <w:rFonts w:ascii="Times New Roman" w:hAnsi="Times New Roman" w:cs="Times New Roman"/>
          <w:sz w:val="20"/>
          <w:szCs w:val="20"/>
        </w:rPr>
        <w:t xml:space="preserve">(medical-only and lost-time) </w:t>
      </w:r>
      <w:r w:rsidRPr="004F6D17">
        <w:rPr>
          <w:rFonts w:ascii="Times New Roman" w:hAnsi="Times New Roman" w:cs="Times New Roman"/>
          <w:sz w:val="20"/>
          <w:szCs w:val="20"/>
        </w:rPr>
        <w:t>per 100 full-time equivalents (FTEs)</w:t>
      </w:r>
      <w:r>
        <w:rPr>
          <w:rFonts w:ascii="Times New Roman" w:hAnsi="Times New Roman" w:cs="Times New Roman"/>
          <w:sz w:val="20"/>
          <w:szCs w:val="20"/>
        </w:rPr>
        <w:t>; l</w:t>
      </w:r>
      <w:r w:rsidRPr="007370F4">
        <w:rPr>
          <w:rFonts w:ascii="Times New Roman" w:hAnsi="Times New Roman" w:cs="Times New Roman"/>
          <w:sz w:val="20"/>
          <w:szCs w:val="20"/>
        </w:rPr>
        <w:t>ow defined as &lt; median rate; high defined as &gt; or = median rate</w:t>
      </w:r>
    </w:p>
    <w:p w:rsidR="00E565F3" w:rsidRPr="004F6D17" w:rsidRDefault="00E565F3" w:rsidP="00E56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F6D17">
        <w:rPr>
          <w:rFonts w:ascii="Times New Roman" w:hAnsi="Times New Roman" w:cs="Times New Roman"/>
          <w:sz w:val="20"/>
          <w:szCs w:val="20"/>
        </w:rPr>
        <w:t xml:space="preserve"> – Poisson regression</w:t>
      </w:r>
    </w:p>
    <w:p w:rsidR="00E565F3" w:rsidRPr="004F6D17" w:rsidRDefault="00E565F3" w:rsidP="00E56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D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–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6D17">
        <w:rPr>
          <w:rFonts w:ascii="Times New Roman" w:hAnsi="Times New Roman" w:cs="Times New Roman"/>
          <w:sz w:val="20"/>
          <w:szCs w:val="20"/>
        </w:rPr>
        <w:t>Significant difference, P &lt;.05</w:t>
      </w:r>
    </w:p>
    <w:p w:rsidR="00EF1672" w:rsidRDefault="00EF1672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p w:rsidR="00182FEA" w:rsidRPr="007370F4" w:rsidRDefault="00182FEA" w:rsidP="00182FEA">
      <w:pPr>
        <w:rPr>
          <w:rFonts w:ascii="Times New Roman" w:hAnsi="Times New Roman" w:cs="Times New Roman"/>
          <w:b/>
          <w:sz w:val="20"/>
          <w:szCs w:val="20"/>
        </w:rPr>
      </w:pPr>
      <w:r w:rsidRPr="00476F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Table SVI: </w:t>
      </w:r>
      <w:r w:rsidR="00FA4601" w:rsidRPr="00476F89">
        <w:rPr>
          <w:rFonts w:ascii="Times New Roman" w:hAnsi="Times New Roman" w:cs="Times New Roman"/>
          <w:b/>
          <w:sz w:val="20"/>
          <w:szCs w:val="20"/>
        </w:rPr>
        <w:t>Summary of intervention</w:t>
      </w:r>
      <w:r w:rsidR="00B46E4A" w:rsidRPr="00734158">
        <w:rPr>
          <w:rFonts w:ascii="Times New Roman" w:hAnsi="Times New Roman" w:cs="Times New Roman"/>
          <w:b/>
          <w:sz w:val="20"/>
          <w:szCs w:val="20"/>
        </w:rPr>
        <w:t xml:space="preserve"> type</w:t>
      </w:r>
      <w:r w:rsidR="00FA4601" w:rsidRPr="00476F89">
        <w:rPr>
          <w:rFonts w:ascii="Times New Roman" w:hAnsi="Times New Roman" w:cs="Times New Roman"/>
          <w:b/>
          <w:sz w:val="20"/>
          <w:szCs w:val="20"/>
        </w:rPr>
        <w:t xml:space="preserve"> by industry</w:t>
      </w:r>
    </w:p>
    <w:tbl>
      <w:tblPr>
        <w:tblW w:w="13803" w:type="dxa"/>
        <w:tblInd w:w="93" w:type="dxa"/>
        <w:tblLook w:val="04A0" w:firstRow="1" w:lastRow="0" w:firstColumn="1" w:lastColumn="0" w:noHBand="0" w:noVBand="1"/>
      </w:tblPr>
      <w:tblGrid>
        <w:gridCol w:w="1095"/>
        <w:gridCol w:w="4655"/>
        <w:gridCol w:w="1186"/>
        <w:gridCol w:w="1240"/>
        <w:gridCol w:w="1186"/>
        <w:gridCol w:w="1172"/>
        <w:gridCol w:w="1049"/>
        <w:gridCol w:w="1120"/>
        <w:gridCol w:w="1100"/>
      </w:tblGrid>
      <w:tr w:rsidR="00182FEA" w:rsidRPr="00EF1672" w:rsidTr="00734158">
        <w:trPr>
          <w:trHeight w:val="290"/>
        </w:trPr>
        <w:tc>
          <w:tcPr>
            <w:tcW w:w="10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82FEA" w:rsidRPr="00734158" w:rsidRDefault="00182FEA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NAICS Code</w:t>
            </w:r>
            <w:r w:rsidRPr="00FA46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2FEA" w:rsidRPr="00734158" w:rsidRDefault="00182FEA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EA" w:rsidRPr="00FA4601" w:rsidRDefault="00182FEA" w:rsidP="00F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</w:t>
            </w:r>
          </w:p>
          <w:p w:rsidR="00182FEA" w:rsidRPr="00734158" w:rsidRDefault="00381C5A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</w:t>
            </w:r>
            <w:r w:rsidR="00182FEA" w:rsidRPr="00182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2FEA" w:rsidRPr="00182F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82FEA" w:rsidRPr="00EF1672" w:rsidTr="00734158">
        <w:trPr>
          <w:trHeight w:val="290"/>
        </w:trPr>
        <w:tc>
          <w:tcPr>
            <w:tcW w:w="10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EA" w:rsidRPr="00EB4437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vMerge/>
            <w:tcBorders>
              <w:left w:val="nil"/>
              <w:bottom w:val="nil"/>
              <w:right w:val="nil"/>
            </w:tcBorders>
          </w:tcPr>
          <w:p w:rsidR="00182FEA" w:rsidRPr="00EB4437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aterial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Ergonomic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atient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FA4601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(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ultiple </w:t>
            </w:r>
            <w:r w:rsid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urpose)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FEA" w:rsidRPr="00734158" w:rsidRDefault="00182FEA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Agriculture, Forestry, Fishing and Hunting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34158" w:rsidRDefault="00EF1672" w:rsidP="0073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8E14D5" w:rsidRDefault="00EF1672" w:rsidP="008E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Division 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Wholesale Trade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 Division 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Retail Trade Division 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Warehousing and Utilities (TWU) Division 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Transportation, Warehousing and Utilities (TWU) Division 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 and Insurance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Estate and Rental and Leasing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Professional, Scientific, and Technical Services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7F34D5" w:rsidRDefault="00EF1672" w:rsidP="007F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F26AE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A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 of Companies and Enterprises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F2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and Support and Waste Management and Remed</w:t>
            </w:r>
            <w:r w:rsidRPr="0018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iation Services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Services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and Social Assistance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Arts, Entertainment, and Recreation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Accommodation and Food Services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F1672" w:rsidRPr="00EF1672" w:rsidTr="00734158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672" w:rsidRPr="00EB4437" w:rsidRDefault="00EF1672" w:rsidP="00E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</w:tr>
    </w:tbl>
    <w:p w:rsidR="00E565F3" w:rsidRDefault="00E565F3" w:rsidP="007370F4">
      <w:pPr>
        <w:spacing w:after="0" w:line="240" w:lineRule="auto"/>
        <w:textAlignment w:val="center"/>
        <w:rPr>
          <w:rFonts w:ascii="Times New Roman" w:hAnsi="Times New Roman" w:cs="Times New Roman"/>
          <w:vertAlign w:val="superscript"/>
        </w:rPr>
      </w:pPr>
    </w:p>
    <w:p w:rsidR="00182FEA" w:rsidRPr="007370F4" w:rsidRDefault="00182FEA" w:rsidP="00182FEA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7370F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370F4">
        <w:rPr>
          <w:rFonts w:ascii="Times New Roman" w:hAnsi="Times New Roman" w:cs="Times New Roman"/>
          <w:sz w:val="20"/>
          <w:szCs w:val="20"/>
        </w:rPr>
        <w:t xml:space="preserve"> – North American Industry Classification System (NAICS) industry codes </w:t>
      </w:r>
      <w:r w:rsidR="00595843">
        <w:rPr>
          <w:rFonts w:ascii="Times New Roman" w:hAnsi="Times New Roman" w:cs="Times New Roman"/>
          <w:sz w:val="20"/>
          <w:szCs w:val="20"/>
        </w:rPr>
        <w:t xml:space="preserve">of </w:t>
      </w:r>
      <w:r w:rsidR="00AC757A">
        <w:rPr>
          <w:rFonts w:ascii="Times New Roman" w:hAnsi="Times New Roman" w:cs="Times New Roman"/>
          <w:sz w:val="20"/>
          <w:szCs w:val="20"/>
        </w:rPr>
        <w:t xml:space="preserve"> </w:t>
      </w:r>
      <w:r w:rsidR="00595843">
        <w:rPr>
          <w:rFonts w:ascii="Times New Roman" w:hAnsi="Times New Roman" w:cs="Times New Roman"/>
          <w:sz w:val="20"/>
          <w:szCs w:val="20"/>
        </w:rPr>
        <w:t>the employers as reported by</w:t>
      </w:r>
      <w:r w:rsidR="00595843" w:rsidRPr="007370F4">
        <w:rPr>
          <w:rFonts w:ascii="Times New Roman" w:hAnsi="Times New Roman" w:cs="Times New Roman"/>
          <w:sz w:val="20"/>
          <w:szCs w:val="20"/>
        </w:rPr>
        <w:t xml:space="preserve"> the</w:t>
      </w:r>
      <w:r w:rsidRPr="007370F4">
        <w:rPr>
          <w:rFonts w:ascii="Times New Roman" w:hAnsi="Times New Roman" w:cs="Times New Roman"/>
          <w:sz w:val="20"/>
          <w:szCs w:val="20"/>
        </w:rPr>
        <w:t xml:space="preserve"> Ohio Department of Job and Family Services for the Quarterly Census of Employment and Wages (QCEW). </w:t>
      </w:r>
      <w:r w:rsidRPr="007370F4">
        <w:rPr>
          <w:rFonts w:ascii="Times New Roman" w:eastAsia="Times New Roman" w:hAnsi="Times New Roman" w:cs="Times New Roman"/>
          <w:color w:val="000000"/>
          <w:sz w:val="20"/>
          <w:szCs w:val="20"/>
        </w:rPr>
        <w:t>Note that NAICS 48, 49 are not typically reported separately.</w:t>
      </w:r>
    </w:p>
    <w:p w:rsidR="00182FEA" w:rsidRPr="004F6D17" w:rsidRDefault="00182FEA" w:rsidP="00182FEA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F6D17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Intervention type </w:t>
      </w:r>
      <w:r w:rsidRPr="004F6D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determined by consensus rating of two certified professional ergonomists based on case </w:t>
      </w:r>
      <w:r w:rsidRPr="00476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study reviews. </w:t>
      </w:r>
      <w:r w:rsidR="00FA4601" w:rsidRPr="00476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 all employers or had 2 digit NAICS codes or intervention types assigned, </w:t>
      </w:r>
      <w:r w:rsidR="00381C5A">
        <w:rPr>
          <w:rFonts w:ascii="Times New Roman" w:eastAsia="Times New Roman" w:hAnsi="Times New Roman" w:cs="Times New Roman"/>
          <w:color w:val="000000"/>
          <w:sz w:val="20"/>
          <w:szCs w:val="20"/>
        </w:rPr>
        <w:t>such that</w:t>
      </w:r>
      <w:r w:rsidR="00FA4601" w:rsidRPr="00476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totals do not match total number of participant employers.</w:t>
      </w:r>
      <w:r w:rsidR="00FA46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82FEA" w:rsidRPr="007370F4" w:rsidRDefault="00182FEA" w:rsidP="007370F4">
      <w:pPr>
        <w:spacing w:after="0" w:line="240" w:lineRule="auto"/>
        <w:textAlignment w:val="center"/>
        <w:rPr>
          <w:rFonts w:ascii="Times New Roman" w:hAnsi="Times New Roman" w:cs="Times New Roman"/>
          <w:vertAlign w:val="superscript"/>
        </w:rPr>
      </w:pPr>
    </w:p>
    <w:sectPr w:rsidR="00182FEA" w:rsidRPr="007370F4" w:rsidSect="00E52202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90" w:rsidRDefault="00610690" w:rsidP="001F2E96">
      <w:pPr>
        <w:spacing w:after="0" w:line="240" w:lineRule="auto"/>
      </w:pPr>
      <w:r>
        <w:separator/>
      </w:r>
    </w:p>
  </w:endnote>
  <w:endnote w:type="continuationSeparator" w:id="0">
    <w:p w:rsidR="00610690" w:rsidRDefault="00610690" w:rsidP="001F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85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CFC" w:rsidRDefault="00FD1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CFC" w:rsidRDefault="00FD1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90" w:rsidRDefault="00610690" w:rsidP="001F2E96">
      <w:pPr>
        <w:spacing w:after="0" w:line="240" w:lineRule="auto"/>
      </w:pPr>
      <w:r>
        <w:separator/>
      </w:r>
    </w:p>
  </w:footnote>
  <w:footnote w:type="continuationSeparator" w:id="0">
    <w:p w:rsidR="00610690" w:rsidRDefault="00610690" w:rsidP="001F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3A68"/>
    <w:multiLevelType w:val="hybridMultilevel"/>
    <w:tmpl w:val="64A4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2"/>
    <w:rsid w:val="00002D6D"/>
    <w:rsid w:val="00005DCF"/>
    <w:rsid w:val="0001639F"/>
    <w:rsid w:val="00031191"/>
    <w:rsid w:val="00070073"/>
    <w:rsid w:val="00073D94"/>
    <w:rsid w:val="00076B1B"/>
    <w:rsid w:val="00087BDE"/>
    <w:rsid w:val="000935D8"/>
    <w:rsid w:val="000A06DB"/>
    <w:rsid w:val="000C05AE"/>
    <w:rsid w:val="000C2C22"/>
    <w:rsid w:val="000D1D8A"/>
    <w:rsid w:val="000D56D6"/>
    <w:rsid w:val="000E07EF"/>
    <w:rsid w:val="001354DF"/>
    <w:rsid w:val="00136667"/>
    <w:rsid w:val="00150398"/>
    <w:rsid w:val="0015716F"/>
    <w:rsid w:val="001645ED"/>
    <w:rsid w:val="00172AEB"/>
    <w:rsid w:val="00182FEA"/>
    <w:rsid w:val="00196134"/>
    <w:rsid w:val="001D6CB7"/>
    <w:rsid w:val="001E181C"/>
    <w:rsid w:val="001F2E96"/>
    <w:rsid w:val="001F2ECC"/>
    <w:rsid w:val="00200ED2"/>
    <w:rsid w:val="00202AA4"/>
    <w:rsid w:val="002274D2"/>
    <w:rsid w:val="002362EE"/>
    <w:rsid w:val="00254586"/>
    <w:rsid w:val="00254EDF"/>
    <w:rsid w:val="00257392"/>
    <w:rsid w:val="00263F07"/>
    <w:rsid w:val="00271B91"/>
    <w:rsid w:val="00276F37"/>
    <w:rsid w:val="002777A7"/>
    <w:rsid w:val="002858C6"/>
    <w:rsid w:val="002A0BFD"/>
    <w:rsid w:val="002A19DD"/>
    <w:rsid w:val="002B0525"/>
    <w:rsid w:val="002B3B87"/>
    <w:rsid w:val="002D31DC"/>
    <w:rsid w:val="002E17C2"/>
    <w:rsid w:val="002E4E70"/>
    <w:rsid w:val="002E6D78"/>
    <w:rsid w:val="002F2CDB"/>
    <w:rsid w:val="002F7DC9"/>
    <w:rsid w:val="003115E4"/>
    <w:rsid w:val="00331D64"/>
    <w:rsid w:val="00337528"/>
    <w:rsid w:val="00381AE2"/>
    <w:rsid w:val="00381C5A"/>
    <w:rsid w:val="00390F02"/>
    <w:rsid w:val="00391528"/>
    <w:rsid w:val="00394CB7"/>
    <w:rsid w:val="003A4871"/>
    <w:rsid w:val="003B772E"/>
    <w:rsid w:val="003C18D6"/>
    <w:rsid w:val="003C6009"/>
    <w:rsid w:val="003E3CBC"/>
    <w:rsid w:val="003E6E48"/>
    <w:rsid w:val="003E71C1"/>
    <w:rsid w:val="003F09FE"/>
    <w:rsid w:val="003F1054"/>
    <w:rsid w:val="00476F89"/>
    <w:rsid w:val="00477097"/>
    <w:rsid w:val="00484FE8"/>
    <w:rsid w:val="004B17B5"/>
    <w:rsid w:val="004C3CB3"/>
    <w:rsid w:val="004C5AA8"/>
    <w:rsid w:val="004D3D60"/>
    <w:rsid w:val="004D7954"/>
    <w:rsid w:val="004E79B9"/>
    <w:rsid w:val="00513076"/>
    <w:rsid w:val="00527486"/>
    <w:rsid w:val="00530041"/>
    <w:rsid w:val="005525F8"/>
    <w:rsid w:val="00554A3A"/>
    <w:rsid w:val="005764B9"/>
    <w:rsid w:val="0057676A"/>
    <w:rsid w:val="0058209B"/>
    <w:rsid w:val="0058231C"/>
    <w:rsid w:val="00595525"/>
    <w:rsid w:val="00595843"/>
    <w:rsid w:val="0059667F"/>
    <w:rsid w:val="00597B9D"/>
    <w:rsid w:val="005B56B5"/>
    <w:rsid w:val="005F18B4"/>
    <w:rsid w:val="005F4D27"/>
    <w:rsid w:val="00610690"/>
    <w:rsid w:val="006113D3"/>
    <w:rsid w:val="006404CE"/>
    <w:rsid w:val="00642A85"/>
    <w:rsid w:val="00646C25"/>
    <w:rsid w:val="00655671"/>
    <w:rsid w:val="006579E7"/>
    <w:rsid w:val="006675AE"/>
    <w:rsid w:val="0068340E"/>
    <w:rsid w:val="006D0059"/>
    <w:rsid w:val="006D44E0"/>
    <w:rsid w:val="006F5BF4"/>
    <w:rsid w:val="00705D4E"/>
    <w:rsid w:val="0071469B"/>
    <w:rsid w:val="007170E0"/>
    <w:rsid w:val="00734158"/>
    <w:rsid w:val="00736ED7"/>
    <w:rsid w:val="007370F4"/>
    <w:rsid w:val="007456D2"/>
    <w:rsid w:val="00762379"/>
    <w:rsid w:val="00767273"/>
    <w:rsid w:val="00772009"/>
    <w:rsid w:val="0077766A"/>
    <w:rsid w:val="00785819"/>
    <w:rsid w:val="00794FFD"/>
    <w:rsid w:val="00797E5B"/>
    <w:rsid w:val="007B0C7F"/>
    <w:rsid w:val="007B252A"/>
    <w:rsid w:val="007E2E95"/>
    <w:rsid w:val="007E2FAC"/>
    <w:rsid w:val="007F34D5"/>
    <w:rsid w:val="007F7DD8"/>
    <w:rsid w:val="00801F48"/>
    <w:rsid w:val="00811197"/>
    <w:rsid w:val="00812112"/>
    <w:rsid w:val="0081398B"/>
    <w:rsid w:val="00815C9D"/>
    <w:rsid w:val="008265C0"/>
    <w:rsid w:val="008329D3"/>
    <w:rsid w:val="00835834"/>
    <w:rsid w:val="00841357"/>
    <w:rsid w:val="008424F0"/>
    <w:rsid w:val="00845A48"/>
    <w:rsid w:val="00852E2F"/>
    <w:rsid w:val="00863FAB"/>
    <w:rsid w:val="00867B2A"/>
    <w:rsid w:val="008764FE"/>
    <w:rsid w:val="00883179"/>
    <w:rsid w:val="00897C76"/>
    <w:rsid w:val="008A65DC"/>
    <w:rsid w:val="008B0408"/>
    <w:rsid w:val="008E14D5"/>
    <w:rsid w:val="008E4879"/>
    <w:rsid w:val="008E597F"/>
    <w:rsid w:val="0091512E"/>
    <w:rsid w:val="009219B5"/>
    <w:rsid w:val="00947C9E"/>
    <w:rsid w:val="00976CA1"/>
    <w:rsid w:val="00986AA0"/>
    <w:rsid w:val="009932DE"/>
    <w:rsid w:val="009A7BA1"/>
    <w:rsid w:val="009B5C76"/>
    <w:rsid w:val="009B68B7"/>
    <w:rsid w:val="009B6E0D"/>
    <w:rsid w:val="009B7B5C"/>
    <w:rsid w:val="009D58E2"/>
    <w:rsid w:val="009E4A5F"/>
    <w:rsid w:val="009E6450"/>
    <w:rsid w:val="00A16D26"/>
    <w:rsid w:val="00A23FCE"/>
    <w:rsid w:val="00A441F9"/>
    <w:rsid w:val="00A53BFB"/>
    <w:rsid w:val="00A56625"/>
    <w:rsid w:val="00A711C2"/>
    <w:rsid w:val="00A74D9C"/>
    <w:rsid w:val="00A77F7F"/>
    <w:rsid w:val="00A82D22"/>
    <w:rsid w:val="00A9074D"/>
    <w:rsid w:val="00A9388A"/>
    <w:rsid w:val="00A94C8C"/>
    <w:rsid w:val="00AA2790"/>
    <w:rsid w:val="00AC4475"/>
    <w:rsid w:val="00AC757A"/>
    <w:rsid w:val="00AE51CD"/>
    <w:rsid w:val="00AF26C2"/>
    <w:rsid w:val="00B10A56"/>
    <w:rsid w:val="00B14102"/>
    <w:rsid w:val="00B31882"/>
    <w:rsid w:val="00B32483"/>
    <w:rsid w:val="00B35E00"/>
    <w:rsid w:val="00B3705C"/>
    <w:rsid w:val="00B46E4A"/>
    <w:rsid w:val="00B6693B"/>
    <w:rsid w:val="00B80382"/>
    <w:rsid w:val="00BA5D9D"/>
    <w:rsid w:val="00BB1B7E"/>
    <w:rsid w:val="00BC0633"/>
    <w:rsid w:val="00BD4BCD"/>
    <w:rsid w:val="00BF2AA5"/>
    <w:rsid w:val="00C05158"/>
    <w:rsid w:val="00C062B3"/>
    <w:rsid w:val="00C10552"/>
    <w:rsid w:val="00C13A68"/>
    <w:rsid w:val="00C178D2"/>
    <w:rsid w:val="00C238D8"/>
    <w:rsid w:val="00C31906"/>
    <w:rsid w:val="00C3271B"/>
    <w:rsid w:val="00C811FB"/>
    <w:rsid w:val="00C8668D"/>
    <w:rsid w:val="00C9500F"/>
    <w:rsid w:val="00CA0820"/>
    <w:rsid w:val="00CC40C8"/>
    <w:rsid w:val="00CE4206"/>
    <w:rsid w:val="00CF66AE"/>
    <w:rsid w:val="00CF7640"/>
    <w:rsid w:val="00D05596"/>
    <w:rsid w:val="00D12E89"/>
    <w:rsid w:val="00D13CC2"/>
    <w:rsid w:val="00D17F57"/>
    <w:rsid w:val="00D3148B"/>
    <w:rsid w:val="00D5772B"/>
    <w:rsid w:val="00D710FA"/>
    <w:rsid w:val="00D72911"/>
    <w:rsid w:val="00D8605D"/>
    <w:rsid w:val="00DA7ABE"/>
    <w:rsid w:val="00DC36B1"/>
    <w:rsid w:val="00DC5EFC"/>
    <w:rsid w:val="00DF19FE"/>
    <w:rsid w:val="00E00CC3"/>
    <w:rsid w:val="00E0752A"/>
    <w:rsid w:val="00E13E42"/>
    <w:rsid w:val="00E30EA1"/>
    <w:rsid w:val="00E3668B"/>
    <w:rsid w:val="00E457B0"/>
    <w:rsid w:val="00E52202"/>
    <w:rsid w:val="00E525AD"/>
    <w:rsid w:val="00E565F3"/>
    <w:rsid w:val="00E6654C"/>
    <w:rsid w:val="00E66815"/>
    <w:rsid w:val="00E7005E"/>
    <w:rsid w:val="00E7064E"/>
    <w:rsid w:val="00E71F38"/>
    <w:rsid w:val="00E73AD0"/>
    <w:rsid w:val="00E84F62"/>
    <w:rsid w:val="00E976B5"/>
    <w:rsid w:val="00EA07AE"/>
    <w:rsid w:val="00EA3007"/>
    <w:rsid w:val="00EB12B3"/>
    <w:rsid w:val="00EB1575"/>
    <w:rsid w:val="00EB4437"/>
    <w:rsid w:val="00EB506F"/>
    <w:rsid w:val="00ED0322"/>
    <w:rsid w:val="00ED6849"/>
    <w:rsid w:val="00EE7591"/>
    <w:rsid w:val="00EE7892"/>
    <w:rsid w:val="00EF0EF7"/>
    <w:rsid w:val="00EF1672"/>
    <w:rsid w:val="00EF2EA3"/>
    <w:rsid w:val="00F05EAF"/>
    <w:rsid w:val="00F13C38"/>
    <w:rsid w:val="00F140FA"/>
    <w:rsid w:val="00F26AE7"/>
    <w:rsid w:val="00F27D19"/>
    <w:rsid w:val="00F44185"/>
    <w:rsid w:val="00F5046B"/>
    <w:rsid w:val="00F734AE"/>
    <w:rsid w:val="00F937D5"/>
    <w:rsid w:val="00F9697D"/>
    <w:rsid w:val="00FA4601"/>
    <w:rsid w:val="00FB0BB6"/>
    <w:rsid w:val="00FB4F8B"/>
    <w:rsid w:val="00FC3AF1"/>
    <w:rsid w:val="00FC50BD"/>
    <w:rsid w:val="00FD1CFC"/>
    <w:rsid w:val="00FE6864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E5BBA-BB55-42C3-A7C8-C4D6ABA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96"/>
  </w:style>
  <w:style w:type="paragraph" w:styleId="Footer">
    <w:name w:val="footer"/>
    <w:basedOn w:val="Normal"/>
    <w:link w:val="FooterChar"/>
    <w:uiPriority w:val="99"/>
    <w:unhideWhenUsed/>
    <w:rsid w:val="001F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96"/>
  </w:style>
  <w:style w:type="character" w:styleId="CommentReference">
    <w:name w:val="annotation reference"/>
    <w:basedOn w:val="DefaultParagraphFont"/>
    <w:uiPriority w:val="99"/>
    <w:semiHidden/>
    <w:unhideWhenUsed/>
    <w:rsid w:val="00576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7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2752</Words>
  <Characters>15687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Trout, Douglas (CDC/NIOSH/DSHEFS)</cp:lastModifiedBy>
  <cp:revision>2</cp:revision>
  <cp:lastPrinted>2013-04-02T13:05:00Z</cp:lastPrinted>
  <dcterms:created xsi:type="dcterms:W3CDTF">2015-07-01T19:56:00Z</dcterms:created>
  <dcterms:modified xsi:type="dcterms:W3CDTF">2015-07-01T19:56:00Z</dcterms:modified>
</cp:coreProperties>
</file>