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EB" w:rsidRDefault="00E425EB" w:rsidP="00E425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Supplemental Table S II </w:t>
      </w:r>
      <w:bookmarkStart w:id="0" w:name="_GoBack"/>
      <w:bookmarkEnd w:id="0"/>
    </w:p>
    <w:p w:rsidR="00E425EB" w:rsidRDefault="00E425EB" w:rsidP="00E425EB">
      <w:pPr>
        <w:rPr>
          <w:rFonts w:ascii="Arial" w:hAnsi="Arial" w:cs="Arial"/>
          <w:sz w:val="24"/>
          <w:szCs w:val="24"/>
        </w:rPr>
      </w:pPr>
    </w:p>
    <w:tbl>
      <w:tblPr>
        <w:tblW w:w="856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5"/>
        <w:gridCol w:w="1247"/>
        <w:gridCol w:w="1080"/>
        <w:gridCol w:w="1080"/>
        <w:gridCol w:w="1170"/>
        <w:gridCol w:w="1170"/>
        <w:gridCol w:w="1710"/>
      </w:tblGrid>
      <w:tr w:rsidR="00E425EB" w:rsidRPr="00C963D3" w:rsidTr="00922C02">
        <w:trPr>
          <w:trHeight w:val="800"/>
        </w:trPr>
        <w:tc>
          <w:tcPr>
            <w:tcW w:w="110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Haplotype</w:t>
            </w:r>
          </w:p>
        </w:tc>
        <w:tc>
          <w:tcPr>
            <w:tcW w:w="124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c.-1145A/G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c.-822A/G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c.580A/G</w:t>
            </w: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c.687A/G</w:t>
            </w: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c. *836_*837GT/GTGT</w:t>
            </w:r>
          </w:p>
        </w:tc>
        <w:tc>
          <w:tcPr>
            <w:tcW w:w="171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Prevalence in HB patients with recurrent mutations</w:t>
            </w:r>
          </w:p>
        </w:tc>
      </w:tr>
      <w:tr w:rsidR="00E425EB" w:rsidRPr="00C963D3" w:rsidTr="00922C02">
        <w:trPr>
          <w:trHeight w:val="274"/>
        </w:trPr>
        <w:tc>
          <w:tcPr>
            <w:tcW w:w="11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7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H1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7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7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7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74" w:lineRule="atLeast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74" w:lineRule="atLeast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GT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74" w:lineRule="atLeast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65.6%</w:t>
            </w:r>
          </w:p>
        </w:tc>
      </w:tr>
      <w:tr w:rsidR="00E425EB" w:rsidRPr="00C963D3" w:rsidTr="00922C02">
        <w:trPr>
          <w:trHeight w:val="34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340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H2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340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340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340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340" w:lineRule="atLeast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340" w:lineRule="atLeast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340" w:lineRule="atLeast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1.9%</w:t>
            </w:r>
          </w:p>
        </w:tc>
      </w:tr>
      <w:tr w:rsidR="00E425EB" w:rsidRPr="00C963D3" w:rsidTr="00922C02">
        <w:trPr>
          <w:trHeight w:val="274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7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H3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7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7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7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74" w:lineRule="atLeast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74" w:lineRule="atLeast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GTGT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74" w:lineRule="atLeast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7.8%</w:t>
            </w:r>
          </w:p>
        </w:tc>
      </w:tr>
      <w:tr w:rsidR="00E425EB" w:rsidRPr="00C963D3" w:rsidTr="00922C02">
        <w:trPr>
          <w:trHeight w:val="369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H4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16.2%</w:t>
            </w:r>
          </w:p>
        </w:tc>
      </w:tr>
      <w:tr w:rsidR="00E425EB" w:rsidRPr="00C963D3" w:rsidTr="00922C02">
        <w:trPr>
          <w:trHeight w:val="298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98" w:lineRule="atLeast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H5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9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9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98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98" w:lineRule="atLeast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98" w:lineRule="atLeast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98" w:lineRule="atLeast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0.6%</w:t>
            </w:r>
          </w:p>
        </w:tc>
      </w:tr>
      <w:tr w:rsidR="00E425EB" w:rsidRPr="00C963D3" w:rsidTr="00922C02">
        <w:trPr>
          <w:trHeight w:val="369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H6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0.6%</w:t>
            </w:r>
          </w:p>
        </w:tc>
      </w:tr>
      <w:tr w:rsidR="00E425EB" w:rsidRPr="00C963D3" w:rsidTr="00922C02">
        <w:trPr>
          <w:trHeight w:val="369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H7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GTGT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1.3%</w:t>
            </w:r>
          </w:p>
        </w:tc>
      </w:tr>
      <w:tr w:rsidR="00E425EB" w:rsidRPr="00C963D3" w:rsidTr="00922C02">
        <w:trPr>
          <w:trHeight w:val="351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H8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1.9%</w:t>
            </w:r>
          </w:p>
        </w:tc>
      </w:tr>
      <w:tr w:rsidR="00E425EB" w:rsidRPr="00C963D3" w:rsidTr="00922C02">
        <w:trPr>
          <w:trHeight w:val="351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H9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GTGT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3.2%</w:t>
            </w:r>
          </w:p>
        </w:tc>
      </w:tr>
      <w:tr w:rsidR="00E425EB" w:rsidRPr="00C963D3" w:rsidTr="00922C02">
        <w:trPr>
          <w:trHeight w:val="284"/>
        </w:trPr>
        <w:tc>
          <w:tcPr>
            <w:tcW w:w="11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8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H10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8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8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84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84" w:lineRule="atLeast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84" w:lineRule="atLeast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GT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425EB" w:rsidRPr="00C963D3" w:rsidRDefault="00E425EB" w:rsidP="00922C02">
            <w:pPr>
              <w:spacing w:after="0" w:line="284" w:lineRule="atLeast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963D3">
              <w:rPr>
                <w:rFonts w:ascii="Arial" w:eastAsia="Times New Roman" w:hAnsi="Arial" w:cs="Arial"/>
                <w:color w:val="000000"/>
                <w:kern w:val="24"/>
              </w:rPr>
              <w:t>0.6%</w:t>
            </w:r>
          </w:p>
        </w:tc>
      </w:tr>
    </w:tbl>
    <w:p w:rsidR="00E425EB" w:rsidRPr="00AF1543" w:rsidRDefault="00E425EB" w:rsidP="00E425EB">
      <w:pPr>
        <w:rPr>
          <w:rFonts w:ascii="Arial" w:hAnsi="Arial" w:cs="Arial"/>
          <w:sz w:val="24"/>
          <w:szCs w:val="24"/>
        </w:rPr>
      </w:pPr>
    </w:p>
    <w:p w:rsidR="00E8204D" w:rsidRDefault="00E8204D"/>
    <w:sectPr w:rsidR="00E8204D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3782801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3C08" w:rsidRPr="00CE13D3" w:rsidRDefault="00E425EB">
        <w:pPr>
          <w:pStyle w:val="Footer"/>
          <w:jc w:val="center"/>
          <w:rPr>
            <w:rFonts w:ascii="Times New Roman" w:hAnsi="Times New Roman" w:cs="Times New Roman"/>
          </w:rPr>
        </w:pPr>
        <w:r w:rsidRPr="00CE13D3">
          <w:rPr>
            <w:rFonts w:ascii="Times New Roman" w:hAnsi="Times New Roman" w:cs="Times New Roman"/>
          </w:rPr>
          <w:fldChar w:fldCharType="begin"/>
        </w:r>
        <w:r w:rsidRPr="00CE13D3">
          <w:rPr>
            <w:rFonts w:ascii="Times New Roman" w:hAnsi="Times New Roman" w:cs="Times New Roman"/>
          </w:rPr>
          <w:instrText xml:space="preserve"> PAGE   \* MERGEFORMAT </w:instrText>
        </w:r>
        <w:r w:rsidRPr="00CE13D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CE13D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83C08" w:rsidRPr="00CE13D3" w:rsidRDefault="00E425EB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EB"/>
    <w:rsid w:val="00E425EB"/>
    <w:rsid w:val="00E8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EB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4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5EB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EB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4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5EB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Tengguo Li</dc:creator>
  <cp:lastModifiedBy>Tengguo Li</cp:lastModifiedBy>
  <cp:revision>1</cp:revision>
  <dcterms:created xsi:type="dcterms:W3CDTF">2013-09-24T14:45:00Z</dcterms:created>
  <dcterms:modified xsi:type="dcterms:W3CDTF">2013-09-24T14:45:00Z</dcterms:modified>
</cp:coreProperties>
</file>