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78A1" w:rsidRDefault="00AE5F9F">
      <w:pPr>
        <w:rPr>
          <w:rFonts w:ascii="Arial" w:hAnsi="Arial" w:cs="Arial"/>
          <w:sz w:val="24"/>
          <w:szCs w:val="24"/>
        </w:rPr>
      </w:pPr>
      <w:bookmarkStart w:id="0" w:name="_GoBack"/>
      <w:bookmarkEnd w:id="0"/>
      <w:r>
        <w:rPr>
          <w:rFonts w:ascii="Arial" w:hAnsi="Arial" w:cs="Arial"/>
          <w:sz w:val="24"/>
          <w:szCs w:val="24"/>
        </w:rPr>
        <w:t>Supplementary Material</w:t>
      </w:r>
    </w:p>
    <w:p w:rsidR="004C3DE4" w:rsidRDefault="004C3DE4">
      <w:pPr>
        <w:rPr>
          <w:rFonts w:ascii="Arial" w:hAnsi="Arial" w:cs="Arial"/>
          <w:sz w:val="24"/>
          <w:szCs w:val="24"/>
        </w:rPr>
      </w:pPr>
    </w:p>
    <w:p w:rsidR="004C3DE4" w:rsidRDefault="004C3DE4">
      <w:pPr>
        <w:rPr>
          <w:rFonts w:ascii="Arial" w:hAnsi="Arial" w:cs="Arial"/>
          <w:sz w:val="24"/>
          <w:szCs w:val="24"/>
        </w:rPr>
      </w:pPr>
      <w:r>
        <w:rPr>
          <w:rFonts w:ascii="Arial" w:hAnsi="Arial" w:cs="Arial"/>
          <w:b/>
          <w:sz w:val="24"/>
          <w:szCs w:val="24"/>
        </w:rPr>
        <w:t xml:space="preserve">High Flow Multi-Stage </w:t>
      </w:r>
      <w:proofErr w:type="spellStart"/>
      <w:r>
        <w:rPr>
          <w:rFonts w:ascii="Arial" w:hAnsi="Arial" w:cs="Arial"/>
          <w:b/>
          <w:sz w:val="24"/>
          <w:szCs w:val="24"/>
        </w:rPr>
        <w:t>Impactor</w:t>
      </w:r>
      <w:proofErr w:type="spellEnd"/>
    </w:p>
    <w:p w:rsidR="004C3DE4" w:rsidRDefault="004C3DE4">
      <w:pPr>
        <w:rPr>
          <w:rFonts w:ascii="Arial" w:hAnsi="Arial" w:cs="Arial"/>
          <w:sz w:val="24"/>
          <w:szCs w:val="24"/>
        </w:rPr>
      </w:pPr>
    </w:p>
    <w:p w:rsidR="004C3DE4" w:rsidRDefault="004C3DE4">
      <w:pPr>
        <w:rPr>
          <w:rFonts w:ascii="Arial" w:hAnsi="Arial" w:cs="Arial"/>
          <w:sz w:val="24"/>
          <w:szCs w:val="24"/>
        </w:rPr>
      </w:pPr>
      <w:r>
        <w:rPr>
          <w:rFonts w:ascii="Arial" w:hAnsi="Arial" w:cs="Arial"/>
          <w:sz w:val="24"/>
          <w:szCs w:val="24"/>
        </w:rPr>
        <w:t xml:space="preserve">A high flow multi-stage </w:t>
      </w:r>
      <w:proofErr w:type="spellStart"/>
      <w:r>
        <w:rPr>
          <w:rFonts w:ascii="Arial" w:hAnsi="Arial" w:cs="Arial"/>
          <w:sz w:val="24"/>
          <w:szCs w:val="24"/>
        </w:rPr>
        <w:t>impactor</w:t>
      </w:r>
      <w:proofErr w:type="spellEnd"/>
      <w:r>
        <w:rPr>
          <w:rFonts w:ascii="Arial" w:hAnsi="Arial" w:cs="Arial"/>
          <w:sz w:val="24"/>
          <w:szCs w:val="24"/>
        </w:rPr>
        <w:t xml:space="preserve"> was used to collect particle size fractions from PM &gt; 30 μm, PM 10-30 μm, PM 3</w:t>
      </w:r>
      <w:r w:rsidR="00804AC1">
        <w:rPr>
          <w:rFonts w:ascii="Arial" w:hAnsi="Arial" w:cs="Arial"/>
          <w:sz w:val="24"/>
          <w:szCs w:val="24"/>
        </w:rPr>
        <w:t>-10 μm, and PM &lt; 3 μm. PM</w:t>
      </w:r>
      <w:r w:rsidR="00804AC1">
        <w:rPr>
          <w:rFonts w:ascii="Arial" w:hAnsi="Arial" w:cs="Arial"/>
          <w:sz w:val="24"/>
          <w:szCs w:val="24"/>
          <w:vertAlign w:val="subscript"/>
        </w:rPr>
        <w:t>3</w:t>
      </w:r>
      <w:r>
        <w:rPr>
          <w:rFonts w:ascii="Arial" w:hAnsi="Arial" w:cs="Arial"/>
          <w:sz w:val="24"/>
          <w:szCs w:val="24"/>
        </w:rPr>
        <w:t xml:space="preserve"> was collected onto a filter immediately following the stage </w:t>
      </w:r>
      <w:proofErr w:type="spellStart"/>
      <w:r>
        <w:rPr>
          <w:rFonts w:ascii="Arial" w:hAnsi="Arial" w:cs="Arial"/>
          <w:sz w:val="24"/>
          <w:szCs w:val="24"/>
        </w:rPr>
        <w:t>impactor</w:t>
      </w:r>
      <w:proofErr w:type="spellEnd"/>
      <w:r>
        <w:rPr>
          <w:rFonts w:ascii="Arial" w:hAnsi="Arial" w:cs="Arial"/>
          <w:sz w:val="24"/>
          <w:szCs w:val="24"/>
        </w:rPr>
        <w:t xml:space="preserve">. Total flow rate through the </w:t>
      </w:r>
      <w:proofErr w:type="spellStart"/>
      <w:r>
        <w:rPr>
          <w:rFonts w:ascii="Arial" w:hAnsi="Arial" w:cs="Arial"/>
          <w:sz w:val="24"/>
          <w:szCs w:val="24"/>
        </w:rPr>
        <w:t>impactor</w:t>
      </w:r>
      <w:proofErr w:type="spellEnd"/>
      <w:r>
        <w:rPr>
          <w:rFonts w:ascii="Arial" w:hAnsi="Arial" w:cs="Arial"/>
          <w:sz w:val="24"/>
          <w:szCs w:val="24"/>
        </w:rPr>
        <w:t xml:space="preserve"> was approximately 1500 L min</w:t>
      </w:r>
      <w:r>
        <w:rPr>
          <w:rFonts w:ascii="Arial" w:hAnsi="Arial" w:cs="Arial"/>
          <w:sz w:val="24"/>
          <w:szCs w:val="24"/>
          <w:vertAlign w:val="superscript"/>
        </w:rPr>
        <w:t>-1</w:t>
      </w:r>
      <w:r>
        <w:rPr>
          <w:rFonts w:ascii="Arial" w:hAnsi="Arial" w:cs="Arial"/>
          <w:sz w:val="24"/>
          <w:szCs w:val="24"/>
        </w:rPr>
        <w:t xml:space="preserve"> for the duration of particle sampling (72 hours).</w:t>
      </w:r>
      <w:r w:rsidR="00BA3C8B">
        <w:rPr>
          <w:rFonts w:ascii="Arial" w:hAnsi="Arial" w:cs="Arial"/>
          <w:sz w:val="24"/>
          <w:szCs w:val="24"/>
        </w:rPr>
        <w:t xml:space="preserve"> The high flow multi-stage </w:t>
      </w:r>
      <w:proofErr w:type="spellStart"/>
      <w:r w:rsidR="00BA3C8B">
        <w:rPr>
          <w:rFonts w:ascii="Arial" w:hAnsi="Arial" w:cs="Arial"/>
          <w:sz w:val="24"/>
          <w:szCs w:val="24"/>
        </w:rPr>
        <w:t>impactor</w:t>
      </w:r>
      <w:proofErr w:type="spellEnd"/>
      <w:r w:rsidR="00BA3C8B">
        <w:rPr>
          <w:rFonts w:ascii="Arial" w:hAnsi="Arial" w:cs="Arial"/>
          <w:sz w:val="24"/>
          <w:szCs w:val="24"/>
        </w:rPr>
        <w:t xml:space="preserve"> can be seen in Supplementary Figure 1.</w:t>
      </w:r>
    </w:p>
    <w:p w:rsidR="00340CD6" w:rsidRDefault="00340CD6">
      <w:pPr>
        <w:rPr>
          <w:rFonts w:ascii="Arial" w:hAnsi="Arial" w:cs="Arial"/>
          <w:sz w:val="24"/>
          <w:szCs w:val="24"/>
        </w:rPr>
      </w:pPr>
    </w:p>
    <w:p w:rsidR="00340CD6" w:rsidRDefault="00340CD6">
      <w:pPr>
        <w:rPr>
          <w:rFonts w:ascii="Arial" w:hAnsi="Arial" w:cs="Arial"/>
          <w:b/>
          <w:sz w:val="24"/>
          <w:szCs w:val="24"/>
        </w:rPr>
      </w:pPr>
      <w:r>
        <w:rPr>
          <w:rFonts w:ascii="Arial" w:hAnsi="Arial" w:cs="Arial"/>
          <w:b/>
          <w:sz w:val="24"/>
          <w:szCs w:val="24"/>
        </w:rPr>
        <w:t>Gas Chromatography-Mass Spectrometry Analysis of Filter Extractions</w:t>
      </w:r>
    </w:p>
    <w:p w:rsidR="00340CD6" w:rsidRDefault="00340CD6">
      <w:pPr>
        <w:rPr>
          <w:rFonts w:ascii="Arial" w:hAnsi="Arial" w:cs="Arial"/>
          <w:b/>
          <w:sz w:val="24"/>
          <w:szCs w:val="24"/>
        </w:rPr>
      </w:pPr>
    </w:p>
    <w:p w:rsidR="00340CD6" w:rsidRPr="00340CD6" w:rsidRDefault="00340CD6">
      <w:pPr>
        <w:rPr>
          <w:rFonts w:ascii="Arial" w:hAnsi="Arial" w:cs="Arial"/>
          <w:sz w:val="24"/>
          <w:szCs w:val="24"/>
        </w:rPr>
      </w:pPr>
      <w:r>
        <w:rPr>
          <w:rFonts w:ascii="Arial" w:hAnsi="Arial" w:cs="Arial"/>
          <w:sz w:val="24"/>
          <w:szCs w:val="24"/>
        </w:rPr>
        <w:t>Because we desired to extract both the polar and nonpolar constituents from the PTF</w:t>
      </w:r>
      <w:r w:rsidR="003B1185">
        <w:rPr>
          <w:rFonts w:ascii="Arial" w:hAnsi="Arial" w:cs="Arial"/>
          <w:sz w:val="24"/>
          <w:szCs w:val="24"/>
        </w:rPr>
        <w:t>E filter, we performed PM</w:t>
      </w:r>
      <w:r w:rsidR="003B1185">
        <w:rPr>
          <w:rFonts w:ascii="Arial" w:hAnsi="Arial" w:cs="Arial"/>
          <w:sz w:val="24"/>
          <w:szCs w:val="24"/>
          <w:vertAlign w:val="subscript"/>
        </w:rPr>
        <w:t>3</w:t>
      </w:r>
      <w:r>
        <w:rPr>
          <w:rFonts w:ascii="Arial" w:hAnsi="Arial" w:cs="Arial"/>
          <w:sz w:val="24"/>
          <w:szCs w:val="24"/>
        </w:rPr>
        <w:t xml:space="preserve"> filter extractions in acetone. To ensure that our extraction process did not alter the chemistry of the PM constituents, we compared PM extracts from acetone dissolved filters, and extracts from filters that were dissolved in a 0.05% tween extraction. GC-MS analysis was performed by Greg Dooley at Colorado State University’s Center for Environmental Medicine. </w:t>
      </w:r>
    </w:p>
    <w:p w:rsidR="00AE5F9F" w:rsidRDefault="00AE5F9F">
      <w:pPr>
        <w:rPr>
          <w:rFonts w:ascii="Arial" w:hAnsi="Arial" w:cs="Arial"/>
          <w:sz w:val="24"/>
          <w:szCs w:val="24"/>
        </w:rPr>
      </w:pPr>
    </w:p>
    <w:p w:rsidR="00AE5F9F" w:rsidRDefault="00AE5F9F">
      <w:pPr>
        <w:rPr>
          <w:rFonts w:ascii="Arial" w:hAnsi="Arial" w:cs="Arial"/>
          <w:b/>
          <w:sz w:val="24"/>
          <w:szCs w:val="24"/>
        </w:rPr>
      </w:pPr>
      <w:r w:rsidRPr="00624501">
        <w:rPr>
          <w:rFonts w:ascii="Arial" w:hAnsi="Arial" w:cs="Arial"/>
          <w:b/>
          <w:sz w:val="24"/>
          <w:szCs w:val="24"/>
        </w:rPr>
        <w:t xml:space="preserve">Endotoxin Standard Curves for PM &lt; </w:t>
      </w:r>
      <w:r w:rsidR="003373D4" w:rsidRPr="00624501">
        <w:rPr>
          <w:rFonts w:ascii="Arial" w:hAnsi="Arial" w:cs="Arial"/>
          <w:b/>
          <w:sz w:val="24"/>
          <w:szCs w:val="24"/>
        </w:rPr>
        <w:t xml:space="preserve">10 μm </w:t>
      </w:r>
      <w:r w:rsidRPr="00624501">
        <w:rPr>
          <w:rFonts w:ascii="Arial" w:hAnsi="Arial" w:cs="Arial"/>
          <w:b/>
          <w:sz w:val="24"/>
          <w:szCs w:val="24"/>
        </w:rPr>
        <w:t>and</w:t>
      </w:r>
      <w:r w:rsidR="003373D4" w:rsidRPr="00624501">
        <w:rPr>
          <w:rFonts w:ascii="Arial" w:hAnsi="Arial" w:cs="Arial"/>
          <w:b/>
          <w:sz w:val="24"/>
          <w:szCs w:val="24"/>
        </w:rPr>
        <w:t xml:space="preserve"> PM</w:t>
      </w:r>
      <w:r w:rsidRPr="00624501">
        <w:rPr>
          <w:rFonts w:ascii="Arial" w:hAnsi="Arial" w:cs="Arial"/>
          <w:b/>
          <w:sz w:val="24"/>
          <w:szCs w:val="24"/>
        </w:rPr>
        <w:t xml:space="preserve"> &gt; 10 μm</w:t>
      </w:r>
    </w:p>
    <w:p w:rsidR="000C508E" w:rsidRDefault="000C508E">
      <w:pPr>
        <w:rPr>
          <w:rFonts w:ascii="Arial" w:hAnsi="Arial" w:cs="Arial"/>
          <w:b/>
          <w:sz w:val="24"/>
          <w:szCs w:val="24"/>
        </w:rPr>
      </w:pPr>
    </w:p>
    <w:p w:rsidR="00624501" w:rsidRDefault="003B1185">
      <w:pPr>
        <w:rPr>
          <w:rFonts w:ascii="Arial" w:hAnsi="Arial" w:cs="Arial"/>
          <w:sz w:val="24"/>
          <w:szCs w:val="24"/>
        </w:rPr>
      </w:pPr>
      <w:r>
        <w:rPr>
          <w:rFonts w:ascii="Arial" w:hAnsi="Arial" w:cs="Arial"/>
          <w:sz w:val="24"/>
          <w:szCs w:val="24"/>
        </w:rPr>
        <w:t>PM</w:t>
      </w:r>
      <w:r>
        <w:rPr>
          <w:rFonts w:ascii="Arial" w:hAnsi="Arial" w:cs="Arial"/>
          <w:sz w:val="24"/>
          <w:szCs w:val="24"/>
          <w:vertAlign w:val="subscript"/>
        </w:rPr>
        <w:t>10</w:t>
      </w:r>
      <w:r>
        <w:rPr>
          <w:rFonts w:ascii="Arial" w:hAnsi="Arial" w:cs="Arial"/>
          <w:sz w:val="24"/>
          <w:szCs w:val="24"/>
        </w:rPr>
        <w:t xml:space="preserve"> and PM</w:t>
      </w:r>
      <w:r>
        <w:rPr>
          <w:rFonts w:ascii="Arial" w:hAnsi="Arial" w:cs="Arial"/>
          <w:sz w:val="24"/>
          <w:szCs w:val="24"/>
          <w:vertAlign w:val="subscript"/>
        </w:rPr>
        <w:t>&gt;10</w:t>
      </w:r>
      <w:r w:rsidR="000C508E">
        <w:rPr>
          <w:rFonts w:ascii="Arial" w:hAnsi="Arial" w:cs="Arial"/>
          <w:sz w:val="24"/>
          <w:szCs w:val="24"/>
        </w:rPr>
        <w:t xml:space="preserve"> particulate matter were serially diluted by mass into </w:t>
      </w:r>
      <w:r w:rsidR="0032575A">
        <w:rPr>
          <w:rFonts w:ascii="Arial" w:hAnsi="Arial" w:cs="Arial"/>
          <w:sz w:val="24"/>
          <w:szCs w:val="24"/>
        </w:rPr>
        <w:t xml:space="preserve">sterile, non-pyrogenic </w:t>
      </w:r>
      <w:r w:rsidR="000C508E">
        <w:rPr>
          <w:rFonts w:ascii="Arial" w:hAnsi="Arial" w:cs="Arial"/>
          <w:sz w:val="24"/>
          <w:szCs w:val="24"/>
        </w:rPr>
        <w:t xml:space="preserve">water and </w:t>
      </w:r>
      <w:proofErr w:type="spellStart"/>
      <w:r w:rsidR="000C508E">
        <w:rPr>
          <w:rFonts w:ascii="Arial" w:hAnsi="Arial" w:cs="Arial"/>
          <w:sz w:val="24"/>
          <w:szCs w:val="24"/>
        </w:rPr>
        <w:t>vortexed</w:t>
      </w:r>
      <w:proofErr w:type="spellEnd"/>
      <w:r w:rsidR="000C508E">
        <w:rPr>
          <w:rFonts w:ascii="Arial" w:hAnsi="Arial" w:cs="Arial"/>
          <w:sz w:val="24"/>
          <w:szCs w:val="24"/>
        </w:rPr>
        <w:t xml:space="preserve"> for fifteen minutes. Endotoxin content (EU per mL) for each serial dilution was then analyzed with a commercial </w:t>
      </w:r>
      <w:proofErr w:type="spellStart"/>
      <w:r w:rsidR="000C508E">
        <w:rPr>
          <w:rFonts w:ascii="Arial" w:hAnsi="Arial" w:cs="Arial"/>
          <w:sz w:val="24"/>
          <w:szCs w:val="24"/>
        </w:rPr>
        <w:t>rFC</w:t>
      </w:r>
      <w:proofErr w:type="spellEnd"/>
      <w:r w:rsidR="000C508E">
        <w:rPr>
          <w:rFonts w:ascii="Arial" w:hAnsi="Arial" w:cs="Arial"/>
          <w:sz w:val="24"/>
          <w:szCs w:val="24"/>
        </w:rPr>
        <w:t xml:space="preserve"> assay and standardized protocol (</w:t>
      </w:r>
      <w:proofErr w:type="spellStart"/>
      <w:r w:rsidR="000C508E">
        <w:rPr>
          <w:rFonts w:ascii="Arial" w:hAnsi="Arial" w:cs="Arial"/>
          <w:sz w:val="24"/>
          <w:szCs w:val="24"/>
        </w:rPr>
        <w:t>Pyrogene</w:t>
      </w:r>
      <w:proofErr w:type="spellEnd"/>
      <w:r w:rsidR="000C508E">
        <w:rPr>
          <w:rFonts w:ascii="Arial" w:hAnsi="Arial" w:cs="Arial"/>
          <w:sz w:val="24"/>
          <w:szCs w:val="24"/>
        </w:rPr>
        <w:t xml:space="preserve"> Recombinant Factor C Assay; Lonza Group Ltd., Walkersville, MD). </w:t>
      </w:r>
      <w:r w:rsidR="0032575A">
        <w:rPr>
          <w:rFonts w:ascii="Arial" w:hAnsi="Arial" w:cs="Arial"/>
          <w:sz w:val="24"/>
          <w:szCs w:val="24"/>
        </w:rPr>
        <w:t>Measured endotoxin levels (EU per mL) versus PM mass (mg per mL) were plotted for each size fraction and used as the standard curves for cell exposures.</w:t>
      </w:r>
    </w:p>
    <w:p w:rsidR="000C508E" w:rsidRDefault="000C508E">
      <w:pPr>
        <w:rPr>
          <w:rFonts w:ascii="Arial" w:hAnsi="Arial" w:cs="Arial"/>
          <w:sz w:val="24"/>
          <w:szCs w:val="24"/>
        </w:rPr>
      </w:pPr>
    </w:p>
    <w:p w:rsidR="000C508E" w:rsidRDefault="000C508E">
      <w:pPr>
        <w:rPr>
          <w:rFonts w:ascii="Arial" w:hAnsi="Arial" w:cs="Arial"/>
          <w:b/>
          <w:sz w:val="24"/>
          <w:szCs w:val="24"/>
        </w:rPr>
      </w:pPr>
      <w:r>
        <w:rPr>
          <w:rFonts w:ascii="Arial" w:hAnsi="Arial" w:cs="Arial"/>
          <w:b/>
          <w:sz w:val="24"/>
          <w:szCs w:val="24"/>
        </w:rPr>
        <w:t>Results</w:t>
      </w:r>
    </w:p>
    <w:p w:rsidR="00340CD6" w:rsidRDefault="00340CD6">
      <w:pPr>
        <w:rPr>
          <w:rFonts w:ascii="Arial" w:hAnsi="Arial" w:cs="Arial"/>
          <w:b/>
          <w:sz w:val="24"/>
          <w:szCs w:val="24"/>
        </w:rPr>
      </w:pPr>
    </w:p>
    <w:p w:rsidR="00340CD6" w:rsidRDefault="00340CD6" w:rsidP="00340CD6">
      <w:pPr>
        <w:rPr>
          <w:rFonts w:ascii="Arial" w:hAnsi="Arial" w:cs="Arial"/>
          <w:b/>
          <w:sz w:val="24"/>
          <w:szCs w:val="24"/>
        </w:rPr>
      </w:pPr>
      <w:r>
        <w:rPr>
          <w:rFonts w:ascii="Arial" w:hAnsi="Arial" w:cs="Arial"/>
          <w:b/>
          <w:sz w:val="24"/>
          <w:szCs w:val="24"/>
        </w:rPr>
        <w:t>Gas Chromatography-Mass Spectrometry Analysis of Filter Extractions</w:t>
      </w:r>
    </w:p>
    <w:p w:rsidR="00340CD6" w:rsidRDefault="00340CD6">
      <w:pPr>
        <w:rPr>
          <w:rFonts w:ascii="Arial" w:hAnsi="Arial" w:cs="Arial"/>
          <w:b/>
          <w:sz w:val="24"/>
          <w:szCs w:val="24"/>
        </w:rPr>
      </w:pPr>
    </w:p>
    <w:p w:rsidR="00340CD6" w:rsidRDefault="001C7EED">
      <w:pPr>
        <w:rPr>
          <w:rFonts w:ascii="Arial" w:hAnsi="Arial" w:cs="Arial"/>
          <w:sz w:val="24"/>
          <w:szCs w:val="24"/>
        </w:rPr>
      </w:pPr>
      <w:r>
        <w:rPr>
          <w:rFonts w:ascii="Arial" w:hAnsi="Arial" w:cs="Arial"/>
          <w:sz w:val="24"/>
          <w:szCs w:val="24"/>
        </w:rPr>
        <w:t xml:space="preserve">The GC-MS analysis results can be seen in Supplementary Figure 2. No obvious differences were observed in the chemical profiles for </w:t>
      </w:r>
      <w:proofErr w:type="gramStart"/>
      <w:r>
        <w:rPr>
          <w:rFonts w:ascii="Arial" w:hAnsi="Arial" w:cs="Arial"/>
          <w:sz w:val="24"/>
          <w:szCs w:val="24"/>
        </w:rPr>
        <w:t>either the acetone and</w:t>
      </w:r>
      <w:proofErr w:type="gramEnd"/>
      <w:r>
        <w:rPr>
          <w:rFonts w:ascii="Arial" w:hAnsi="Arial" w:cs="Arial"/>
          <w:sz w:val="24"/>
          <w:szCs w:val="24"/>
        </w:rPr>
        <w:t xml:space="preserve"> 0.05% Tween PM extracts.</w:t>
      </w:r>
    </w:p>
    <w:p w:rsidR="003B1185" w:rsidRDefault="003B1185">
      <w:pPr>
        <w:rPr>
          <w:rFonts w:ascii="Arial" w:hAnsi="Arial" w:cs="Arial"/>
          <w:sz w:val="24"/>
          <w:szCs w:val="24"/>
        </w:rPr>
      </w:pPr>
    </w:p>
    <w:p w:rsidR="003B1185" w:rsidRPr="003B1185" w:rsidRDefault="003B1185" w:rsidP="003B1185">
      <w:pPr>
        <w:rPr>
          <w:rFonts w:ascii="Arial" w:hAnsi="Arial" w:cs="Arial"/>
          <w:sz w:val="24"/>
          <w:szCs w:val="24"/>
          <w:vertAlign w:val="subscript"/>
        </w:rPr>
      </w:pPr>
      <w:r>
        <w:rPr>
          <w:rFonts w:ascii="Arial" w:hAnsi="Arial" w:cs="Arial"/>
          <w:b/>
          <w:sz w:val="24"/>
          <w:szCs w:val="24"/>
        </w:rPr>
        <w:t>Endotoxin Standard Curves for PM</w:t>
      </w:r>
      <w:r>
        <w:rPr>
          <w:rFonts w:ascii="Arial" w:hAnsi="Arial" w:cs="Arial"/>
          <w:b/>
          <w:sz w:val="24"/>
          <w:szCs w:val="24"/>
          <w:vertAlign w:val="subscript"/>
        </w:rPr>
        <w:t>10</w:t>
      </w:r>
      <w:r>
        <w:rPr>
          <w:rFonts w:ascii="Arial" w:hAnsi="Arial" w:cs="Arial"/>
          <w:b/>
          <w:sz w:val="24"/>
          <w:szCs w:val="24"/>
        </w:rPr>
        <w:t xml:space="preserve"> and PM</w:t>
      </w:r>
      <w:r>
        <w:rPr>
          <w:rFonts w:ascii="Arial" w:hAnsi="Arial" w:cs="Arial"/>
          <w:b/>
          <w:sz w:val="24"/>
          <w:szCs w:val="24"/>
          <w:vertAlign w:val="subscript"/>
        </w:rPr>
        <w:t>&gt;10</w:t>
      </w:r>
    </w:p>
    <w:p w:rsidR="003B1185" w:rsidRDefault="003B1185" w:rsidP="003B1185">
      <w:pPr>
        <w:rPr>
          <w:rFonts w:ascii="Arial" w:hAnsi="Arial" w:cs="Arial"/>
          <w:sz w:val="24"/>
          <w:szCs w:val="24"/>
        </w:rPr>
      </w:pPr>
    </w:p>
    <w:p w:rsidR="003B1185" w:rsidRPr="000C508E" w:rsidRDefault="003B1185" w:rsidP="003B1185">
      <w:pPr>
        <w:rPr>
          <w:rFonts w:ascii="Arial" w:hAnsi="Arial" w:cs="Arial"/>
          <w:sz w:val="24"/>
          <w:szCs w:val="24"/>
        </w:rPr>
      </w:pPr>
      <w:r>
        <w:rPr>
          <w:rFonts w:ascii="Arial" w:hAnsi="Arial" w:cs="Arial"/>
          <w:sz w:val="24"/>
          <w:szCs w:val="24"/>
        </w:rPr>
        <w:t>As can be seen in Supplementary Figure 3, the PM</w:t>
      </w:r>
      <w:r>
        <w:rPr>
          <w:rFonts w:ascii="Arial" w:hAnsi="Arial" w:cs="Arial"/>
          <w:sz w:val="24"/>
          <w:szCs w:val="24"/>
          <w:vertAlign w:val="subscript"/>
        </w:rPr>
        <w:t>10</w:t>
      </w:r>
      <w:r>
        <w:rPr>
          <w:rFonts w:ascii="Arial" w:hAnsi="Arial" w:cs="Arial"/>
          <w:sz w:val="24"/>
          <w:szCs w:val="24"/>
        </w:rPr>
        <w:t xml:space="preserve"> size fraction had approximately 15x greater amounts of endotoxin units per mg of dust than the PM</w:t>
      </w:r>
      <w:r>
        <w:rPr>
          <w:rFonts w:ascii="Arial" w:hAnsi="Arial" w:cs="Arial"/>
          <w:sz w:val="24"/>
          <w:szCs w:val="24"/>
          <w:vertAlign w:val="subscript"/>
        </w:rPr>
        <w:t>&gt;10</w:t>
      </w:r>
      <w:r>
        <w:rPr>
          <w:rFonts w:ascii="Arial" w:hAnsi="Arial" w:cs="Arial"/>
          <w:sz w:val="24"/>
          <w:szCs w:val="24"/>
        </w:rPr>
        <w:t xml:space="preserve"> size fraction. As reported in the methods section of the original article, the standard curves seen in Supplementary Figure 3 were used to estimate the PM mass deposited during cell exposures.</w:t>
      </w:r>
    </w:p>
    <w:p w:rsidR="000C508E" w:rsidRDefault="000C508E">
      <w:pPr>
        <w:rPr>
          <w:rFonts w:ascii="Arial" w:hAnsi="Arial" w:cs="Arial"/>
          <w:sz w:val="24"/>
          <w:szCs w:val="24"/>
        </w:rPr>
      </w:pPr>
    </w:p>
    <w:p w:rsidR="00624501" w:rsidRDefault="00624501">
      <w:pPr>
        <w:rPr>
          <w:rFonts w:ascii="Arial" w:hAnsi="Arial" w:cs="Arial"/>
          <w:b/>
          <w:sz w:val="24"/>
          <w:szCs w:val="24"/>
        </w:rPr>
      </w:pPr>
      <w:r>
        <w:rPr>
          <w:rFonts w:ascii="Arial" w:hAnsi="Arial" w:cs="Arial"/>
          <w:b/>
          <w:sz w:val="24"/>
          <w:szCs w:val="24"/>
        </w:rPr>
        <w:br w:type="page"/>
      </w:r>
    </w:p>
    <w:p w:rsidR="00624501" w:rsidRDefault="00624501">
      <w:pPr>
        <w:rPr>
          <w:rFonts w:ascii="Arial" w:hAnsi="Arial" w:cs="Arial"/>
          <w:sz w:val="24"/>
          <w:szCs w:val="24"/>
        </w:rPr>
      </w:pPr>
      <w:proofErr w:type="gramStart"/>
      <w:r>
        <w:rPr>
          <w:rFonts w:ascii="Arial" w:hAnsi="Arial" w:cs="Arial"/>
          <w:b/>
          <w:sz w:val="24"/>
          <w:szCs w:val="24"/>
        </w:rPr>
        <w:lastRenderedPageBreak/>
        <w:t>Supplementary Figure 1.</w:t>
      </w:r>
      <w:proofErr w:type="gramEnd"/>
      <w:r>
        <w:rPr>
          <w:rFonts w:ascii="Arial" w:hAnsi="Arial" w:cs="Arial"/>
          <w:b/>
          <w:sz w:val="24"/>
          <w:szCs w:val="24"/>
        </w:rPr>
        <w:t xml:space="preserve"> </w:t>
      </w:r>
      <w:r>
        <w:rPr>
          <w:rFonts w:ascii="Arial" w:hAnsi="Arial" w:cs="Arial"/>
          <w:sz w:val="24"/>
          <w:szCs w:val="24"/>
        </w:rPr>
        <w:t xml:space="preserve">High Volume Multi-stage </w:t>
      </w:r>
      <w:proofErr w:type="spellStart"/>
      <w:r>
        <w:rPr>
          <w:rFonts w:ascii="Arial" w:hAnsi="Arial" w:cs="Arial"/>
          <w:sz w:val="24"/>
          <w:szCs w:val="24"/>
        </w:rPr>
        <w:t>Impactor</w:t>
      </w:r>
      <w:proofErr w:type="spellEnd"/>
      <w:r>
        <w:rPr>
          <w:rFonts w:ascii="Arial" w:hAnsi="Arial" w:cs="Arial"/>
          <w:sz w:val="24"/>
          <w:szCs w:val="24"/>
        </w:rPr>
        <w:t xml:space="preserve"> </w:t>
      </w:r>
      <w:r w:rsidR="009E3F48">
        <w:rPr>
          <w:rFonts w:ascii="Arial" w:hAnsi="Arial" w:cs="Arial"/>
          <w:sz w:val="24"/>
          <w:szCs w:val="24"/>
        </w:rPr>
        <w:t xml:space="preserve">(IESL v2) </w:t>
      </w:r>
      <w:r>
        <w:rPr>
          <w:rFonts w:ascii="Arial" w:hAnsi="Arial" w:cs="Arial"/>
          <w:sz w:val="24"/>
          <w:szCs w:val="24"/>
        </w:rPr>
        <w:t xml:space="preserve">used to </w:t>
      </w:r>
      <w:proofErr w:type="gramStart"/>
      <w:r>
        <w:rPr>
          <w:rFonts w:ascii="Arial" w:hAnsi="Arial" w:cs="Arial"/>
          <w:sz w:val="24"/>
          <w:szCs w:val="24"/>
        </w:rPr>
        <w:t>Collect</w:t>
      </w:r>
      <w:proofErr w:type="gramEnd"/>
      <w:r>
        <w:rPr>
          <w:rFonts w:ascii="Arial" w:hAnsi="Arial" w:cs="Arial"/>
          <w:sz w:val="24"/>
          <w:szCs w:val="24"/>
        </w:rPr>
        <w:t xml:space="preserve"> PM &gt; 30 μm, PM 10-30 μm, PM 3-10 μm, and PM &lt; 3 μm.</w:t>
      </w:r>
      <w:r w:rsidR="009E3F48">
        <w:rPr>
          <w:rFonts w:ascii="Arial" w:hAnsi="Arial" w:cs="Arial"/>
          <w:sz w:val="24"/>
          <w:szCs w:val="24"/>
        </w:rPr>
        <w:t xml:space="preserve"> </w:t>
      </w:r>
    </w:p>
    <w:p w:rsidR="00624501" w:rsidRDefault="00624501">
      <w:pPr>
        <w:rPr>
          <w:rFonts w:ascii="Arial" w:hAnsi="Arial" w:cs="Arial"/>
          <w:sz w:val="24"/>
          <w:szCs w:val="24"/>
        </w:rPr>
      </w:pPr>
    </w:p>
    <w:p w:rsidR="00624501" w:rsidRPr="00624501" w:rsidRDefault="00624501" w:rsidP="00624501">
      <w:pPr>
        <w:rPr>
          <w:rFonts w:ascii="Arial" w:hAnsi="Arial" w:cs="Arial"/>
          <w:sz w:val="24"/>
          <w:szCs w:val="24"/>
        </w:rPr>
      </w:pPr>
      <w:proofErr w:type="gramStart"/>
      <w:r>
        <w:rPr>
          <w:rFonts w:ascii="Arial" w:hAnsi="Arial" w:cs="Arial"/>
          <w:b/>
          <w:sz w:val="24"/>
          <w:szCs w:val="24"/>
        </w:rPr>
        <w:t>Supplementary Figure 2.</w:t>
      </w:r>
      <w:proofErr w:type="gramEnd"/>
      <w:r>
        <w:rPr>
          <w:rFonts w:ascii="Arial" w:hAnsi="Arial" w:cs="Arial"/>
          <w:b/>
          <w:sz w:val="24"/>
          <w:szCs w:val="24"/>
        </w:rPr>
        <w:t xml:space="preserve"> </w:t>
      </w:r>
      <w:r w:rsidR="00025C48">
        <w:rPr>
          <w:rFonts w:ascii="Arial" w:hAnsi="Arial" w:cs="Arial"/>
          <w:sz w:val="24"/>
          <w:szCs w:val="24"/>
        </w:rPr>
        <w:t>Gas chromatograph-mass spectrometry results for PM &lt; 3 μm extracted into 0.05% Tween (top panel) or acetone (bottom panel)</w:t>
      </w:r>
    </w:p>
    <w:p w:rsidR="00624501" w:rsidRDefault="00624501">
      <w:pPr>
        <w:rPr>
          <w:rFonts w:ascii="Arial" w:hAnsi="Arial" w:cs="Arial"/>
          <w:sz w:val="24"/>
          <w:szCs w:val="24"/>
        </w:rPr>
      </w:pPr>
    </w:p>
    <w:p w:rsidR="006921FA" w:rsidRDefault="00C14D39" w:rsidP="00624501">
      <w:pPr>
        <w:rPr>
          <w:rFonts w:ascii="Arial" w:hAnsi="Arial" w:cs="Arial"/>
          <w:sz w:val="24"/>
          <w:szCs w:val="24"/>
        </w:rPr>
      </w:pPr>
      <w:proofErr w:type="gramStart"/>
      <w:r>
        <w:rPr>
          <w:rFonts w:ascii="Arial" w:hAnsi="Arial" w:cs="Arial"/>
          <w:b/>
          <w:sz w:val="24"/>
          <w:szCs w:val="24"/>
        </w:rPr>
        <w:t>Supplementary Figure 3</w:t>
      </w:r>
      <w:r w:rsidR="00624501">
        <w:rPr>
          <w:rFonts w:ascii="Arial" w:hAnsi="Arial" w:cs="Arial"/>
          <w:b/>
          <w:sz w:val="24"/>
          <w:szCs w:val="24"/>
        </w:rPr>
        <w:t>.</w:t>
      </w:r>
      <w:proofErr w:type="gramEnd"/>
      <w:r w:rsidR="00624501">
        <w:rPr>
          <w:rFonts w:ascii="Arial" w:hAnsi="Arial" w:cs="Arial"/>
          <w:b/>
          <w:sz w:val="24"/>
          <w:szCs w:val="24"/>
        </w:rPr>
        <w:t xml:space="preserve"> </w:t>
      </w:r>
      <w:r w:rsidR="00624501">
        <w:rPr>
          <w:rFonts w:ascii="Arial" w:hAnsi="Arial" w:cs="Arial"/>
          <w:sz w:val="24"/>
          <w:szCs w:val="24"/>
        </w:rPr>
        <w:t xml:space="preserve"> </w:t>
      </w:r>
      <w:r w:rsidR="003F0F3A">
        <w:rPr>
          <w:rFonts w:ascii="Arial" w:hAnsi="Arial" w:cs="Arial"/>
          <w:sz w:val="24"/>
          <w:szCs w:val="24"/>
        </w:rPr>
        <w:t>Endotoxin Standard Curves for PM</w:t>
      </w:r>
      <w:r w:rsidR="003F0F3A">
        <w:rPr>
          <w:rFonts w:ascii="Arial" w:hAnsi="Arial" w:cs="Arial"/>
          <w:sz w:val="24"/>
          <w:szCs w:val="24"/>
          <w:vertAlign w:val="subscript"/>
        </w:rPr>
        <w:t xml:space="preserve">10 </w:t>
      </w:r>
      <w:r w:rsidR="003F0F3A">
        <w:rPr>
          <w:rFonts w:ascii="Arial" w:hAnsi="Arial" w:cs="Arial"/>
          <w:sz w:val="24"/>
          <w:szCs w:val="24"/>
        </w:rPr>
        <w:t>and PM</w:t>
      </w:r>
      <w:r w:rsidR="003F0F3A">
        <w:rPr>
          <w:rFonts w:ascii="Arial" w:hAnsi="Arial" w:cs="Arial"/>
          <w:sz w:val="24"/>
          <w:szCs w:val="24"/>
          <w:vertAlign w:val="subscript"/>
        </w:rPr>
        <w:t>&gt;10.</w:t>
      </w:r>
    </w:p>
    <w:p w:rsidR="006921FA" w:rsidRDefault="006921FA" w:rsidP="00624501">
      <w:pPr>
        <w:rPr>
          <w:rFonts w:ascii="Arial" w:hAnsi="Arial" w:cs="Arial"/>
          <w:sz w:val="24"/>
          <w:szCs w:val="24"/>
        </w:rPr>
      </w:pPr>
    </w:p>
    <w:p w:rsidR="00624501" w:rsidRDefault="006921FA" w:rsidP="00624501">
      <w:pPr>
        <w:rPr>
          <w:rFonts w:ascii="Arial" w:hAnsi="Arial" w:cs="Arial"/>
          <w:sz w:val="24"/>
          <w:szCs w:val="24"/>
        </w:rPr>
      </w:pPr>
      <w:proofErr w:type="gramStart"/>
      <w:r>
        <w:rPr>
          <w:rFonts w:ascii="Arial" w:hAnsi="Arial" w:cs="Arial"/>
          <w:b/>
          <w:sz w:val="24"/>
          <w:szCs w:val="24"/>
        </w:rPr>
        <w:t>Supplementary Figure 4.</w:t>
      </w:r>
      <w:proofErr w:type="gramEnd"/>
      <w:r>
        <w:rPr>
          <w:rFonts w:ascii="Arial" w:hAnsi="Arial" w:cs="Arial"/>
          <w:b/>
          <w:sz w:val="24"/>
          <w:szCs w:val="24"/>
        </w:rPr>
        <w:t xml:space="preserve"> </w:t>
      </w:r>
      <w:r w:rsidR="00624501">
        <w:rPr>
          <w:rFonts w:ascii="Arial" w:hAnsi="Arial" w:cs="Arial"/>
          <w:sz w:val="24"/>
          <w:szCs w:val="24"/>
        </w:rPr>
        <w:t>Gravitational Settling Chamber used in PM &lt; 10 μm Cell Exposures</w:t>
      </w:r>
    </w:p>
    <w:p w:rsidR="00624501" w:rsidRDefault="00624501">
      <w:pPr>
        <w:rPr>
          <w:rFonts w:ascii="Arial" w:hAnsi="Arial" w:cs="Arial"/>
          <w:sz w:val="24"/>
          <w:szCs w:val="24"/>
        </w:rPr>
      </w:pPr>
    </w:p>
    <w:p w:rsidR="00624501" w:rsidRDefault="00624501" w:rsidP="00624501">
      <w:pPr>
        <w:rPr>
          <w:rFonts w:ascii="Arial" w:hAnsi="Arial" w:cs="Arial"/>
          <w:sz w:val="24"/>
          <w:szCs w:val="24"/>
        </w:rPr>
      </w:pPr>
      <w:proofErr w:type="gramStart"/>
      <w:r>
        <w:rPr>
          <w:rFonts w:ascii="Arial" w:hAnsi="Arial" w:cs="Arial"/>
          <w:b/>
          <w:sz w:val="24"/>
          <w:szCs w:val="24"/>
        </w:rPr>
        <w:t>Suppleme</w:t>
      </w:r>
      <w:r w:rsidR="006921FA">
        <w:rPr>
          <w:rFonts w:ascii="Arial" w:hAnsi="Arial" w:cs="Arial"/>
          <w:b/>
          <w:sz w:val="24"/>
          <w:szCs w:val="24"/>
        </w:rPr>
        <w:t>ntary Figure 5</w:t>
      </w:r>
      <w:r>
        <w:rPr>
          <w:rFonts w:ascii="Arial" w:hAnsi="Arial" w:cs="Arial"/>
          <w:b/>
          <w:sz w:val="24"/>
          <w:szCs w:val="24"/>
        </w:rPr>
        <w:t>.</w:t>
      </w:r>
      <w:proofErr w:type="gramEnd"/>
      <w:r>
        <w:rPr>
          <w:rFonts w:ascii="Arial" w:hAnsi="Arial" w:cs="Arial"/>
          <w:b/>
          <w:sz w:val="24"/>
          <w:szCs w:val="24"/>
        </w:rPr>
        <w:t xml:space="preserve"> </w:t>
      </w:r>
      <w:r w:rsidR="00FE3C7B">
        <w:rPr>
          <w:rFonts w:ascii="Arial" w:hAnsi="Arial" w:cs="Arial"/>
          <w:sz w:val="24"/>
          <w:szCs w:val="24"/>
        </w:rPr>
        <w:t xml:space="preserve">(A) </w:t>
      </w:r>
      <w:r>
        <w:rPr>
          <w:rFonts w:ascii="Arial" w:hAnsi="Arial" w:cs="Arial"/>
          <w:sz w:val="24"/>
          <w:szCs w:val="24"/>
        </w:rPr>
        <w:t>Gravitational Settling Chamber used in PM &gt; 10 μm Cell Exposures</w:t>
      </w:r>
      <w:r w:rsidR="00FE3C7B">
        <w:rPr>
          <w:rFonts w:ascii="Arial" w:hAnsi="Arial" w:cs="Arial"/>
          <w:sz w:val="24"/>
          <w:szCs w:val="24"/>
        </w:rPr>
        <w:t xml:space="preserve"> (B) Cell Plate Placement during Ten Minute Settling Exposures</w:t>
      </w:r>
      <w:r w:rsidR="00526235">
        <w:rPr>
          <w:rFonts w:ascii="Arial" w:hAnsi="Arial" w:cs="Arial"/>
          <w:sz w:val="24"/>
          <w:szCs w:val="24"/>
        </w:rPr>
        <w:t>. Dimensions: 1m x 1m x 2m</w:t>
      </w:r>
    </w:p>
    <w:p w:rsidR="006B1AB5" w:rsidRDefault="006B1AB5">
      <w:pPr>
        <w:rPr>
          <w:rFonts w:ascii="Arial" w:hAnsi="Arial" w:cs="Arial"/>
          <w:sz w:val="24"/>
          <w:szCs w:val="24"/>
        </w:rPr>
      </w:pPr>
    </w:p>
    <w:p w:rsidR="006B1AB5" w:rsidRPr="006B1AB5" w:rsidRDefault="006B1AB5" w:rsidP="006B1AB5">
      <w:pPr>
        <w:rPr>
          <w:rFonts w:ascii="Arial" w:hAnsi="Arial" w:cs="Arial"/>
          <w:sz w:val="24"/>
          <w:szCs w:val="24"/>
        </w:rPr>
      </w:pPr>
      <w:proofErr w:type="gramStart"/>
      <w:r w:rsidRPr="006B1AB5">
        <w:rPr>
          <w:rFonts w:ascii="Arial" w:hAnsi="Arial" w:cs="Arial"/>
          <w:b/>
          <w:sz w:val="24"/>
          <w:szCs w:val="24"/>
        </w:rPr>
        <w:t>Supplementary Table 1.</w:t>
      </w:r>
      <w:proofErr w:type="gramEnd"/>
      <w:r w:rsidRPr="006B1AB5">
        <w:rPr>
          <w:rFonts w:ascii="Arial" w:hAnsi="Arial" w:cs="Arial"/>
          <w:b/>
          <w:sz w:val="24"/>
          <w:szCs w:val="24"/>
        </w:rPr>
        <w:t xml:space="preserve"> </w:t>
      </w:r>
      <w:r w:rsidRPr="006B1AB5">
        <w:rPr>
          <w:rFonts w:ascii="Arial" w:hAnsi="Arial" w:cs="Arial"/>
          <w:sz w:val="24"/>
          <w:szCs w:val="24"/>
        </w:rPr>
        <w:t xml:space="preserve"> Exposure ma</w:t>
      </w:r>
      <w:r>
        <w:rPr>
          <w:rFonts w:ascii="Arial" w:hAnsi="Arial" w:cs="Arial"/>
          <w:sz w:val="24"/>
          <w:szCs w:val="24"/>
        </w:rPr>
        <w:t xml:space="preserve">trix for </w:t>
      </w:r>
      <w:r w:rsidRPr="006B1AB5">
        <w:rPr>
          <w:rFonts w:ascii="Arial" w:hAnsi="Arial" w:cs="Arial"/>
          <w:sz w:val="24"/>
          <w:szCs w:val="24"/>
        </w:rPr>
        <w:t>Cell Exposures</w:t>
      </w:r>
    </w:p>
    <w:p w:rsidR="006B1AB5" w:rsidRPr="00D301D7" w:rsidRDefault="006B1AB5">
      <w:pPr>
        <w:rPr>
          <w:rFonts w:ascii="Arial" w:hAnsi="Arial" w:cs="Arial"/>
          <w:sz w:val="24"/>
          <w:szCs w:val="24"/>
        </w:rPr>
      </w:pPr>
    </w:p>
    <w:p w:rsidR="003373D4" w:rsidRDefault="003373D4">
      <w:pPr>
        <w:rPr>
          <w:rFonts w:ascii="Arial" w:hAnsi="Arial" w:cs="Arial"/>
          <w:sz w:val="24"/>
          <w:szCs w:val="24"/>
        </w:rPr>
      </w:pPr>
    </w:p>
    <w:p w:rsidR="00AE5F9F" w:rsidRDefault="00AE5F9F">
      <w:pPr>
        <w:rPr>
          <w:rFonts w:ascii="Arial" w:hAnsi="Arial" w:cs="Arial"/>
          <w:sz w:val="24"/>
          <w:szCs w:val="24"/>
        </w:rPr>
      </w:pPr>
    </w:p>
    <w:p w:rsidR="00AE5F9F" w:rsidRDefault="00AE5F9F">
      <w:pPr>
        <w:rPr>
          <w:rFonts w:ascii="Arial" w:hAnsi="Arial" w:cs="Arial"/>
          <w:sz w:val="24"/>
          <w:szCs w:val="24"/>
        </w:rPr>
      </w:pPr>
      <w:r>
        <w:rPr>
          <w:rFonts w:ascii="Arial" w:hAnsi="Arial" w:cs="Arial"/>
          <w:sz w:val="24"/>
          <w:szCs w:val="24"/>
        </w:rPr>
        <w:br w:type="page"/>
      </w:r>
    </w:p>
    <w:p w:rsidR="00624501" w:rsidRDefault="00624501">
      <w:pPr>
        <w:rPr>
          <w:rFonts w:ascii="Arial" w:hAnsi="Arial" w:cs="Arial"/>
          <w:sz w:val="24"/>
          <w:szCs w:val="24"/>
        </w:rPr>
      </w:pPr>
      <w:proofErr w:type="gramStart"/>
      <w:r>
        <w:rPr>
          <w:rFonts w:ascii="Arial" w:hAnsi="Arial" w:cs="Arial"/>
          <w:sz w:val="24"/>
          <w:szCs w:val="24"/>
        </w:rPr>
        <w:lastRenderedPageBreak/>
        <w:t>Supplementary Figure 1.</w:t>
      </w:r>
      <w:proofErr w:type="gramEnd"/>
    </w:p>
    <w:p w:rsidR="00A751BF" w:rsidRDefault="00A751BF">
      <w:pPr>
        <w:rPr>
          <w:rFonts w:ascii="Arial" w:hAnsi="Arial" w:cs="Arial"/>
          <w:sz w:val="24"/>
          <w:szCs w:val="24"/>
        </w:rPr>
      </w:pPr>
    </w:p>
    <w:p w:rsidR="00624501" w:rsidRDefault="00A751BF">
      <w:pPr>
        <w:rPr>
          <w:rFonts w:ascii="Arial" w:hAnsi="Arial" w:cs="Arial"/>
          <w:sz w:val="24"/>
          <w:szCs w:val="24"/>
        </w:rPr>
      </w:pPr>
      <w:r w:rsidRPr="00A751BF">
        <w:t xml:space="preserve"> </w:t>
      </w:r>
      <w:r w:rsidR="00191804" w:rsidRPr="00191804">
        <w:rPr>
          <w:noProof/>
        </w:rPr>
        <w:drawing>
          <wp:inline distT="0" distB="0" distL="0" distR="0" wp14:anchorId="1AFF7A84" wp14:editId="560BECD3">
            <wp:extent cx="5943600" cy="50954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5095405"/>
                    </a:xfrm>
                    <a:prstGeom prst="rect">
                      <a:avLst/>
                    </a:prstGeom>
                    <a:noFill/>
                    <a:ln>
                      <a:noFill/>
                    </a:ln>
                  </pic:spPr>
                </pic:pic>
              </a:graphicData>
            </a:graphic>
          </wp:inline>
        </w:drawing>
      </w:r>
      <w:r w:rsidR="00624501">
        <w:rPr>
          <w:rFonts w:ascii="Arial" w:hAnsi="Arial" w:cs="Arial"/>
          <w:sz w:val="24"/>
          <w:szCs w:val="24"/>
        </w:rPr>
        <w:br w:type="page"/>
      </w:r>
    </w:p>
    <w:p w:rsidR="00F8668F" w:rsidRDefault="00624501">
      <w:pPr>
        <w:rPr>
          <w:rFonts w:ascii="Arial" w:hAnsi="Arial" w:cs="Arial"/>
          <w:sz w:val="24"/>
          <w:szCs w:val="24"/>
        </w:rPr>
      </w:pPr>
      <w:proofErr w:type="gramStart"/>
      <w:r>
        <w:rPr>
          <w:rFonts w:ascii="Arial" w:hAnsi="Arial" w:cs="Arial"/>
          <w:sz w:val="24"/>
          <w:szCs w:val="24"/>
        </w:rPr>
        <w:lastRenderedPageBreak/>
        <w:t>Supplementary Figure 2</w:t>
      </w:r>
      <w:r w:rsidR="003373D4">
        <w:rPr>
          <w:rFonts w:ascii="Arial" w:hAnsi="Arial" w:cs="Arial"/>
          <w:sz w:val="24"/>
          <w:szCs w:val="24"/>
        </w:rPr>
        <w:t>.</w:t>
      </w:r>
      <w:proofErr w:type="gramEnd"/>
    </w:p>
    <w:p w:rsidR="00F8668F" w:rsidRDefault="00F8668F">
      <w:pPr>
        <w:rPr>
          <w:rFonts w:ascii="Arial" w:hAnsi="Arial" w:cs="Arial"/>
          <w:sz w:val="24"/>
          <w:szCs w:val="24"/>
        </w:rPr>
      </w:pPr>
    </w:p>
    <w:p w:rsidR="00F8668F" w:rsidRDefault="00F8668F">
      <w:pPr>
        <w:rPr>
          <w:rFonts w:ascii="Arial" w:hAnsi="Arial" w:cs="Arial"/>
          <w:sz w:val="24"/>
          <w:szCs w:val="24"/>
        </w:rPr>
      </w:pPr>
      <w:r w:rsidRPr="00F8668F">
        <w:rPr>
          <w:noProof/>
        </w:rPr>
        <w:drawing>
          <wp:inline distT="0" distB="0" distL="0" distR="0" wp14:anchorId="35E05115" wp14:editId="7993650C">
            <wp:extent cx="5943600" cy="4166047"/>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4166047"/>
                    </a:xfrm>
                    <a:prstGeom prst="rect">
                      <a:avLst/>
                    </a:prstGeom>
                    <a:noFill/>
                    <a:ln>
                      <a:noFill/>
                    </a:ln>
                  </pic:spPr>
                </pic:pic>
              </a:graphicData>
            </a:graphic>
          </wp:inline>
        </w:drawing>
      </w:r>
      <w:r>
        <w:rPr>
          <w:rFonts w:ascii="Arial" w:hAnsi="Arial" w:cs="Arial"/>
          <w:sz w:val="24"/>
          <w:szCs w:val="24"/>
        </w:rPr>
        <w:br w:type="page"/>
      </w:r>
    </w:p>
    <w:p w:rsidR="00706591" w:rsidRDefault="00C14D39">
      <w:pPr>
        <w:rPr>
          <w:rFonts w:ascii="Arial" w:hAnsi="Arial" w:cs="Arial"/>
          <w:sz w:val="24"/>
          <w:szCs w:val="24"/>
        </w:rPr>
      </w:pPr>
      <w:proofErr w:type="gramStart"/>
      <w:r>
        <w:rPr>
          <w:rFonts w:ascii="Arial" w:hAnsi="Arial" w:cs="Arial"/>
          <w:sz w:val="24"/>
          <w:szCs w:val="24"/>
        </w:rPr>
        <w:lastRenderedPageBreak/>
        <w:t>Supplementary Figure 3.</w:t>
      </w:r>
      <w:proofErr w:type="gramEnd"/>
    </w:p>
    <w:p w:rsidR="00804AC1" w:rsidRDefault="00804AC1">
      <w:pPr>
        <w:rPr>
          <w:rFonts w:ascii="Arial" w:hAnsi="Arial" w:cs="Arial"/>
          <w:sz w:val="24"/>
          <w:szCs w:val="24"/>
        </w:rPr>
      </w:pPr>
    </w:p>
    <w:p w:rsidR="003F0F3A" w:rsidRDefault="003F0F3A">
      <w:pPr>
        <w:rPr>
          <w:rFonts w:ascii="Arial" w:hAnsi="Arial" w:cs="Arial"/>
          <w:sz w:val="24"/>
          <w:szCs w:val="24"/>
        </w:rPr>
      </w:pPr>
      <w:r>
        <w:rPr>
          <w:noProof/>
        </w:rPr>
        <w:drawing>
          <wp:inline distT="0" distB="0" distL="0" distR="0">
            <wp:extent cx="5934710" cy="5365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34710" cy="5365750"/>
                    </a:xfrm>
                    <a:prstGeom prst="rect">
                      <a:avLst/>
                    </a:prstGeom>
                    <a:noFill/>
                    <a:ln>
                      <a:noFill/>
                    </a:ln>
                  </pic:spPr>
                </pic:pic>
              </a:graphicData>
            </a:graphic>
          </wp:inline>
        </w:drawing>
      </w:r>
    </w:p>
    <w:p w:rsidR="003F0F3A" w:rsidRDefault="003F0F3A">
      <w:pPr>
        <w:rPr>
          <w:rFonts w:ascii="Arial" w:hAnsi="Arial" w:cs="Arial"/>
          <w:sz w:val="24"/>
          <w:szCs w:val="24"/>
        </w:rPr>
      </w:pPr>
      <w:r>
        <w:rPr>
          <w:rFonts w:ascii="Arial" w:hAnsi="Arial" w:cs="Arial"/>
          <w:sz w:val="24"/>
          <w:szCs w:val="24"/>
        </w:rPr>
        <w:br w:type="page"/>
      </w:r>
    </w:p>
    <w:p w:rsidR="003F0F3A" w:rsidRPr="003F0F3A" w:rsidRDefault="003F0F3A">
      <w:pPr>
        <w:rPr>
          <w:rFonts w:ascii="Arial" w:hAnsi="Arial" w:cs="Arial"/>
          <w:sz w:val="24"/>
          <w:szCs w:val="24"/>
        </w:rPr>
      </w:pPr>
      <w:proofErr w:type="gramStart"/>
      <w:r w:rsidRPr="003F0F3A">
        <w:rPr>
          <w:rFonts w:ascii="Arial" w:hAnsi="Arial" w:cs="Arial"/>
          <w:sz w:val="24"/>
          <w:szCs w:val="24"/>
        </w:rPr>
        <w:lastRenderedPageBreak/>
        <w:t>Supplementary Figure 4.</w:t>
      </w:r>
      <w:proofErr w:type="gramEnd"/>
    </w:p>
    <w:p w:rsidR="0073011E" w:rsidRDefault="0073011E">
      <w:pPr>
        <w:rPr>
          <w:rFonts w:ascii="Arial" w:hAnsi="Arial" w:cs="Arial"/>
          <w:sz w:val="24"/>
          <w:szCs w:val="24"/>
        </w:rPr>
      </w:pPr>
    </w:p>
    <w:p w:rsidR="00706591" w:rsidRDefault="0073011E">
      <w:pPr>
        <w:rPr>
          <w:rFonts w:ascii="Arial" w:hAnsi="Arial" w:cs="Arial"/>
          <w:sz w:val="24"/>
          <w:szCs w:val="24"/>
        </w:rPr>
      </w:pPr>
      <w:r w:rsidRPr="0073011E">
        <w:t xml:space="preserve"> </w:t>
      </w:r>
      <w:r w:rsidR="00526235" w:rsidRPr="00526235">
        <w:rPr>
          <w:noProof/>
        </w:rPr>
        <w:drawing>
          <wp:inline distT="0" distB="0" distL="0" distR="0">
            <wp:extent cx="5937885" cy="41802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7885" cy="4180205"/>
                    </a:xfrm>
                    <a:prstGeom prst="rect">
                      <a:avLst/>
                    </a:prstGeom>
                    <a:noFill/>
                    <a:ln>
                      <a:noFill/>
                    </a:ln>
                  </pic:spPr>
                </pic:pic>
              </a:graphicData>
            </a:graphic>
          </wp:inline>
        </w:drawing>
      </w:r>
      <w:r w:rsidR="00706591">
        <w:rPr>
          <w:rFonts w:ascii="Arial" w:hAnsi="Arial" w:cs="Arial"/>
          <w:sz w:val="24"/>
          <w:szCs w:val="24"/>
        </w:rPr>
        <w:br w:type="page"/>
      </w:r>
    </w:p>
    <w:p w:rsidR="00AE5F9F" w:rsidRDefault="003F0F3A">
      <w:pPr>
        <w:rPr>
          <w:rFonts w:ascii="Arial" w:hAnsi="Arial" w:cs="Arial"/>
          <w:sz w:val="24"/>
          <w:szCs w:val="24"/>
        </w:rPr>
      </w:pPr>
      <w:proofErr w:type="gramStart"/>
      <w:r>
        <w:rPr>
          <w:rFonts w:ascii="Arial" w:hAnsi="Arial" w:cs="Arial"/>
          <w:sz w:val="24"/>
          <w:szCs w:val="24"/>
        </w:rPr>
        <w:lastRenderedPageBreak/>
        <w:t>Supplementary Figure 5</w:t>
      </w:r>
      <w:r w:rsidR="00706591">
        <w:rPr>
          <w:rFonts w:ascii="Arial" w:hAnsi="Arial" w:cs="Arial"/>
          <w:sz w:val="24"/>
          <w:szCs w:val="24"/>
        </w:rPr>
        <w:t>.</w:t>
      </w:r>
      <w:proofErr w:type="gramEnd"/>
    </w:p>
    <w:p w:rsidR="00D301D7" w:rsidRDefault="00D301D7">
      <w:pPr>
        <w:rPr>
          <w:rFonts w:ascii="Arial" w:hAnsi="Arial" w:cs="Arial"/>
          <w:sz w:val="24"/>
          <w:szCs w:val="24"/>
        </w:rPr>
      </w:pPr>
    </w:p>
    <w:p w:rsidR="00D301D7" w:rsidRDefault="00526235">
      <w:pPr>
        <w:rPr>
          <w:rFonts w:ascii="Arial" w:hAnsi="Arial" w:cs="Arial"/>
          <w:sz w:val="24"/>
          <w:szCs w:val="24"/>
        </w:rPr>
      </w:pPr>
      <w:r w:rsidRPr="00526235">
        <w:rPr>
          <w:noProof/>
        </w:rPr>
        <w:drawing>
          <wp:inline distT="0" distB="0" distL="0" distR="0">
            <wp:extent cx="5937885" cy="4322445"/>
            <wp:effectExtent l="0" t="0" r="571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7885" cy="4322445"/>
                    </a:xfrm>
                    <a:prstGeom prst="rect">
                      <a:avLst/>
                    </a:prstGeom>
                    <a:noFill/>
                    <a:ln>
                      <a:noFill/>
                    </a:ln>
                  </pic:spPr>
                </pic:pic>
              </a:graphicData>
            </a:graphic>
          </wp:inline>
        </w:drawing>
      </w:r>
    </w:p>
    <w:p w:rsidR="006B1AB5" w:rsidRDefault="006B1AB5">
      <w:pPr>
        <w:rPr>
          <w:rFonts w:ascii="Arial" w:hAnsi="Arial" w:cs="Arial"/>
          <w:sz w:val="24"/>
          <w:szCs w:val="24"/>
        </w:rPr>
      </w:pPr>
    </w:p>
    <w:p w:rsidR="006B1AB5" w:rsidRDefault="006B1AB5">
      <w:pPr>
        <w:rPr>
          <w:rFonts w:ascii="Arial" w:hAnsi="Arial" w:cs="Arial"/>
          <w:sz w:val="24"/>
          <w:szCs w:val="24"/>
        </w:rPr>
      </w:pPr>
      <w:r>
        <w:rPr>
          <w:rFonts w:ascii="Arial" w:hAnsi="Arial" w:cs="Arial"/>
          <w:sz w:val="24"/>
          <w:szCs w:val="24"/>
        </w:rPr>
        <w:br w:type="page"/>
      </w:r>
    </w:p>
    <w:p w:rsidR="00D301D7" w:rsidRDefault="006B1AB5">
      <w:pPr>
        <w:rPr>
          <w:rFonts w:ascii="Arial" w:hAnsi="Arial" w:cs="Arial"/>
          <w:sz w:val="24"/>
          <w:szCs w:val="24"/>
        </w:rPr>
      </w:pPr>
      <w:proofErr w:type="gramStart"/>
      <w:r>
        <w:rPr>
          <w:rFonts w:ascii="Arial" w:hAnsi="Arial" w:cs="Arial"/>
          <w:sz w:val="24"/>
          <w:szCs w:val="24"/>
        </w:rPr>
        <w:lastRenderedPageBreak/>
        <w:t>Supplementary Table 1.</w:t>
      </w:r>
      <w:proofErr w:type="gramEnd"/>
    </w:p>
    <w:p w:rsidR="006B1AB5" w:rsidRDefault="006B1AB5">
      <w:pPr>
        <w:rPr>
          <w:rFonts w:ascii="Arial" w:hAnsi="Arial" w:cs="Arial"/>
          <w:sz w:val="24"/>
          <w:szCs w:val="24"/>
        </w:rPr>
      </w:pPr>
    </w:p>
    <w:tbl>
      <w:tblPr>
        <w:tblW w:w="931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90"/>
        <w:gridCol w:w="1620"/>
        <w:gridCol w:w="4900"/>
      </w:tblGrid>
      <w:tr w:rsidR="006B1AB5" w:rsidRPr="006B1AB5" w:rsidTr="000B5B88">
        <w:tc>
          <w:tcPr>
            <w:tcW w:w="2790" w:type="dxa"/>
          </w:tcPr>
          <w:p w:rsidR="006B1AB5" w:rsidRPr="006B1AB5" w:rsidRDefault="006B1AB5" w:rsidP="006B1AB5">
            <w:pPr>
              <w:ind w:hanging="18"/>
              <w:jc w:val="center"/>
              <w:rPr>
                <w:rFonts w:ascii="Arial" w:eastAsia="Calibri" w:hAnsi="Arial" w:cs="Arial"/>
                <w:b/>
                <w:sz w:val="24"/>
                <w:szCs w:val="24"/>
                <w:lang w:val="en-GB"/>
              </w:rPr>
            </w:pPr>
            <w:r w:rsidRPr="006B1AB5">
              <w:rPr>
                <w:rFonts w:ascii="Arial" w:eastAsia="Calibri" w:hAnsi="Arial" w:cs="Arial"/>
                <w:b/>
                <w:sz w:val="24"/>
                <w:szCs w:val="24"/>
                <w:lang w:val="en-GB"/>
              </w:rPr>
              <w:t>Experimental Variable</w:t>
            </w:r>
          </w:p>
        </w:tc>
        <w:tc>
          <w:tcPr>
            <w:tcW w:w="1620" w:type="dxa"/>
          </w:tcPr>
          <w:p w:rsidR="006B1AB5" w:rsidRPr="006B1AB5" w:rsidRDefault="006B1AB5" w:rsidP="006B1AB5">
            <w:pPr>
              <w:ind w:firstLine="72"/>
              <w:jc w:val="both"/>
              <w:rPr>
                <w:rFonts w:ascii="Arial" w:eastAsia="Calibri" w:hAnsi="Arial" w:cs="Arial"/>
                <w:b/>
                <w:sz w:val="24"/>
                <w:szCs w:val="24"/>
                <w:lang w:val="en-GB"/>
              </w:rPr>
            </w:pPr>
            <w:r w:rsidRPr="006B1AB5">
              <w:rPr>
                <w:rFonts w:ascii="Arial" w:eastAsia="Calibri" w:hAnsi="Arial" w:cs="Arial"/>
                <w:b/>
                <w:sz w:val="24"/>
                <w:szCs w:val="24"/>
                <w:lang w:val="en-GB"/>
              </w:rPr>
              <w:t>Number of Variables</w:t>
            </w:r>
          </w:p>
        </w:tc>
        <w:tc>
          <w:tcPr>
            <w:tcW w:w="4900" w:type="dxa"/>
          </w:tcPr>
          <w:p w:rsidR="006B1AB5" w:rsidRPr="006B1AB5" w:rsidRDefault="006B1AB5" w:rsidP="006B1AB5">
            <w:pPr>
              <w:ind w:firstLine="72"/>
              <w:jc w:val="center"/>
              <w:rPr>
                <w:rFonts w:ascii="Arial" w:eastAsia="Calibri" w:hAnsi="Arial" w:cs="Arial"/>
                <w:b/>
                <w:sz w:val="24"/>
                <w:szCs w:val="24"/>
                <w:lang w:val="en-GB"/>
              </w:rPr>
            </w:pPr>
            <w:r w:rsidRPr="006B1AB5">
              <w:rPr>
                <w:rFonts w:ascii="Arial" w:eastAsia="Calibri" w:hAnsi="Arial" w:cs="Arial"/>
                <w:b/>
                <w:sz w:val="24"/>
                <w:szCs w:val="24"/>
                <w:lang w:val="en-GB"/>
              </w:rPr>
              <w:t>Level of Variation</w:t>
            </w:r>
          </w:p>
        </w:tc>
      </w:tr>
      <w:tr w:rsidR="006B1AB5" w:rsidRPr="006B1AB5" w:rsidTr="000B5B88">
        <w:tc>
          <w:tcPr>
            <w:tcW w:w="2790" w:type="dxa"/>
            <w:vAlign w:val="center"/>
          </w:tcPr>
          <w:p w:rsidR="006B1AB5" w:rsidRPr="006B1AB5"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Airway Cell Type</w:t>
            </w:r>
          </w:p>
        </w:tc>
        <w:tc>
          <w:tcPr>
            <w:tcW w:w="1620" w:type="dxa"/>
            <w:vAlign w:val="center"/>
          </w:tcPr>
          <w:p w:rsidR="006B1AB5" w:rsidRPr="006B1AB5"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2</w:t>
            </w:r>
          </w:p>
        </w:tc>
        <w:tc>
          <w:tcPr>
            <w:tcW w:w="4900" w:type="dxa"/>
            <w:vAlign w:val="center"/>
          </w:tcPr>
          <w:p w:rsidR="006B1AB5" w:rsidRPr="006B1AB5"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Normal human bronchial epithelial cells and normal human nasal epithelial cells</w:t>
            </w:r>
          </w:p>
        </w:tc>
      </w:tr>
      <w:tr w:rsidR="006B1AB5" w:rsidRPr="006B1AB5" w:rsidTr="000B5B88">
        <w:tc>
          <w:tcPr>
            <w:tcW w:w="2790" w:type="dxa"/>
            <w:vAlign w:val="center"/>
          </w:tcPr>
          <w:p w:rsidR="006B1AB5" w:rsidRPr="006B1AB5" w:rsidRDefault="006B1AB5" w:rsidP="006B1AB5">
            <w:pPr>
              <w:ind w:firstLine="72"/>
              <w:jc w:val="center"/>
              <w:rPr>
                <w:rFonts w:ascii="Arial" w:eastAsia="Calibri" w:hAnsi="Arial" w:cs="Arial"/>
                <w:sz w:val="24"/>
                <w:szCs w:val="24"/>
                <w:lang w:val="en-GB"/>
              </w:rPr>
            </w:pPr>
          </w:p>
          <w:p w:rsidR="006B1AB5" w:rsidRPr="006B1AB5"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Biological Variability</w:t>
            </w:r>
          </w:p>
          <w:p w:rsidR="006B1AB5" w:rsidRPr="006B1AB5" w:rsidRDefault="006B1AB5" w:rsidP="006B1AB5">
            <w:pPr>
              <w:ind w:firstLine="72"/>
              <w:jc w:val="center"/>
              <w:rPr>
                <w:rFonts w:ascii="Arial" w:eastAsia="Calibri" w:hAnsi="Arial" w:cs="Arial"/>
                <w:sz w:val="24"/>
                <w:szCs w:val="24"/>
                <w:lang w:val="en-GB"/>
              </w:rPr>
            </w:pPr>
          </w:p>
        </w:tc>
        <w:tc>
          <w:tcPr>
            <w:tcW w:w="1620" w:type="dxa"/>
            <w:vAlign w:val="center"/>
          </w:tcPr>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2</w:t>
            </w:r>
          </w:p>
        </w:tc>
        <w:tc>
          <w:tcPr>
            <w:tcW w:w="4900" w:type="dxa"/>
            <w:vAlign w:val="center"/>
          </w:tcPr>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Donors 1, 2</w:t>
            </w:r>
          </w:p>
        </w:tc>
      </w:tr>
      <w:tr w:rsidR="006B1AB5" w:rsidRPr="006B1AB5" w:rsidTr="000B5B88">
        <w:tc>
          <w:tcPr>
            <w:tcW w:w="2790" w:type="dxa"/>
            <w:vAlign w:val="center"/>
          </w:tcPr>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Exposure Types</w:t>
            </w:r>
          </w:p>
        </w:tc>
        <w:tc>
          <w:tcPr>
            <w:tcW w:w="1620" w:type="dxa"/>
            <w:vAlign w:val="center"/>
          </w:tcPr>
          <w:p w:rsidR="006B1AB5" w:rsidRPr="006B1AB5"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3</w:t>
            </w:r>
          </w:p>
        </w:tc>
        <w:tc>
          <w:tcPr>
            <w:tcW w:w="4900" w:type="dxa"/>
            <w:vAlign w:val="center"/>
          </w:tcPr>
          <w:p w:rsid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 xml:space="preserve">  </w:t>
            </w:r>
            <w:r>
              <w:rPr>
                <w:rFonts w:ascii="Arial" w:eastAsia="Calibri" w:hAnsi="Arial" w:cs="Arial"/>
                <w:sz w:val="24"/>
                <w:szCs w:val="24"/>
                <w:lang w:val="en-GB"/>
              </w:rPr>
              <w:t xml:space="preserve">PM &lt; 10 μm exposed cells, </w:t>
            </w:r>
          </w:p>
          <w:p w:rsidR="006B1AB5"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PM &gt; 10 μm</w:t>
            </w:r>
            <w:r w:rsidRPr="006B1AB5">
              <w:rPr>
                <w:rFonts w:ascii="Arial" w:eastAsia="Calibri" w:hAnsi="Arial" w:cs="Arial"/>
                <w:sz w:val="24"/>
                <w:szCs w:val="24"/>
                <w:lang w:val="en-GB"/>
              </w:rPr>
              <w:t xml:space="preserve"> </w:t>
            </w:r>
            <w:r>
              <w:rPr>
                <w:rFonts w:ascii="Arial" w:eastAsia="Calibri" w:hAnsi="Arial" w:cs="Arial"/>
                <w:sz w:val="24"/>
                <w:szCs w:val="24"/>
                <w:lang w:val="en-GB"/>
              </w:rPr>
              <w:t xml:space="preserve">exposed cells, </w:t>
            </w:r>
          </w:p>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 xml:space="preserve">HEPA Air + </w:t>
            </w:r>
            <w:r>
              <w:rPr>
                <w:rFonts w:ascii="Arial" w:eastAsia="Calibri" w:hAnsi="Arial" w:cs="Arial"/>
                <w:sz w:val="24"/>
                <w:szCs w:val="24"/>
                <w:lang w:val="en-GB"/>
              </w:rPr>
              <w:t>Gravity Settling Chamber</w:t>
            </w:r>
            <w:r w:rsidRPr="006B1AB5">
              <w:rPr>
                <w:rFonts w:ascii="Arial" w:eastAsia="Calibri" w:hAnsi="Arial" w:cs="Arial"/>
                <w:sz w:val="24"/>
                <w:szCs w:val="24"/>
                <w:lang w:val="en-GB"/>
              </w:rPr>
              <w:t xml:space="preserve"> Controls (1)</w:t>
            </w:r>
          </w:p>
        </w:tc>
      </w:tr>
      <w:tr w:rsidR="006B1AB5" w:rsidRPr="006B1AB5" w:rsidTr="000B5B88">
        <w:tc>
          <w:tcPr>
            <w:tcW w:w="2790" w:type="dxa"/>
            <w:vAlign w:val="center"/>
          </w:tcPr>
          <w:p w:rsidR="006B1AB5" w:rsidRPr="006B1AB5" w:rsidRDefault="006B1AB5" w:rsidP="006B1AB5">
            <w:pPr>
              <w:ind w:firstLine="72"/>
              <w:jc w:val="center"/>
              <w:rPr>
                <w:rFonts w:ascii="Arial" w:eastAsia="Calibri" w:hAnsi="Arial" w:cs="Arial"/>
                <w:sz w:val="24"/>
                <w:szCs w:val="24"/>
                <w:lang w:val="en-GB"/>
              </w:rPr>
            </w:pPr>
          </w:p>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Exposure Level</w:t>
            </w:r>
          </w:p>
          <w:p w:rsidR="006B1AB5" w:rsidRPr="006B1AB5" w:rsidRDefault="006B1AB5" w:rsidP="006B1AB5">
            <w:pPr>
              <w:ind w:firstLine="72"/>
              <w:jc w:val="center"/>
              <w:rPr>
                <w:rFonts w:ascii="Arial" w:eastAsia="Calibri" w:hAnsi="Arial" w:cs="Arial"/>
                <w:sz w:val="24"/>
                <w:szCs w:val="24"/>
                <w:lang w:val="en-GB"/>
              </w:rPr>
            </w:pPr>
          </w:p>
        </w:tc>
        <w:tc>
          <w:tcPr>
            <w:tcW w:w="1620" w:type="dxa"/>
            <w:vAlign w:val="center"/>
          </w:tcPr>
          <w:p w:rsidR="006B1AB5" w:rsidRPr="006B1AB5"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5</w:t>
            </w:r>
          </w:p>
        </w:tc>
        <w:tc>
          <w:tcPr>
            <w:tcW w:w="4900" w:type="dxa"/>
            <w:vAlign w:val="center"/>
          </w:tcPr>
          <w:p w:rsidR="000B5B88"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PM &lt; 10 μm 0.1 and 0.4 μg per cm</w:t>
            </w:r>
            <w:r>
              <w:rPr>
                <w:rFonts w:ascii="Arial" w:eastAsia="Calibri" w:hAnsi="Arial" w:cs="Arial"/>
                <w:sz w:val="24"/>
                <w:szCs w:val="24"/>
                <w:vertAlign w:val="superscript"/>
                <w:lang w:val="en-GB"/>
              </w:rPr>
              <w:t>2</w:t>
            </w:r>
            <w:r w:rsidR="000B5B88">
              <w:rPr>
                <w:rFonts w:ascii="Arial" w:eastAsia="Calibri" w:hAnsi="Arial" w:cs="Arial"/>
                <w:sz w:val="24"/>
                <w:szCs w:val="24"/>
                <w:lang w:val="en-GB"/>
              </w:rPr>
              <w:t>,</w:t>
            </w:r>
          </w:p>
          <w:p w:rsidR="006B1AB5" w:rsidRPr="006B1AB5"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PM &gt; 10 μm 0.1, 0.4, 1.0 μg per cm</w:t>
            </w:r>
            <w:r>
              <w:rPr>
                <w:rFonts w:ascii="Arial" w:eastAsia="Calibri" w:hAnsi="Arial" w:cs="Arial"/>
                <w:sz w:val="24"/>
                <w:szCs w:val="24"/>
                <w:vertAlign w:val="superscript"/>
                <w:lang w:val="en-GB"/>
              </w:rPr>
              <w:t>2</w:t>
            </w:r>
            <w:r>
              <w:rPr>
                <w:rFonts w:ascii="Arial" w:eastAsia="Calibri" w:hAnsi="Arial" w:cs="Arial"/>
                <w:sz w:val="24"/>
                <w:szCs w:val="24"/>
                <w:lang w:val="en-GB"/>
              </w:rPr>
              <w:t xml:space="preserve"> exposure levels</w:t>
            </w:r>
          </w:p>
        </w:tc>
      </w:tr>
      <w:tr w:rsidR="006B1AB5" w:rsidRPr="006B1AB5" w:rsidTr="000B5B88">
        <w:tc>
          <w:tcPr>
            <w:tcW w:w="2790" w:type="dxa"/>
            <w:vAlign w:val="center"/>
          </w:tcPr>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Experimental Repetitions</w:t>
            </w:r>
          </w:p>
        </w:tc>
        <w:tc>
          <w:tcPr>
            <w:tcW w:w="1620" w:type="dxa"/>
            <w:vAlign w:val="center"/>
          </w:tcPr>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2</w:t>
            </w:r>
          </w:p>
        </w:tc>
        <w:tc>
          <w:tcPr>
            <w:tcW w:w="4900" w:type="dxa"/>
            <w:vAlign w:val="center"/>
          </w:tcPr>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 xml:space="preserve">NHBE </w:t>
            </w:r>
            <w:r w:rsidR="0069058A">
              <w:rPr>
                <w:rFonts w:ascii="Arial" w:eastAsia="Calibri" w:hAnsi="Arial" w:cs="Arial"/>
                <w:sz w:val="24"/>
                <w:szCs w:val="24"/>
                <w:lang w:val="en-GB"/>
              </w:rPr>
              <w:t xml:space="preserve">and HNE </w:t>
            </w:r>
            <w:r w:rsidRPr="006B1AB5">
              <w:rPr>
                <w:rFonts w:ascii="Arial" w:eastAsia="Calibri" w:hAnsi="Arial" w:cs="Arial"/>
                <w:sz w:val="24"/>
                <w:szCs w:val="24"/>
                <w:lang w:val="en-GB"/>
              </w:rPr>
              <w:t xml:space="preserve">cells (2) exposed to each exposure duration (2) on two separate days </w:t>
            </w:r>
          </w:p>
        </w:tc>
      </w:tr>
      <w:tr w:rsidR="006B1AB5" w:rsidRPr="006B1AB5" w:rsidTr="000B5B88">
        <w:tc>
          <w:tcPr>
            <w:tcW w:w="2790" w:type="dxa"/>
            <w:vAlign w:val="center"/>
          </w:tcPr>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Cellular Marker Timepoints</w:t>
            </w:r>
          </w:p>
        </w:tc>
        <w:tc>
          <w:tcPr>
            <w:tcW w:w="1620" w:type="dxa"/>
            <w:vAlign w:val="center"/>
          </w:tcPr>
          <w:p w:rsidR="006B1AB5" w:rsidRPr="006B1AB5" w:rsidRDefault="006B1AB5" w:rsidP="006B1AB5">
            <w:pPr>
              <w:ind w:firstLine="72"/>
              <w:jc w:val="center"/>
              <w:rPr>
                <w:rFonts w:ascii="Arial" w:eastAsia="Calibri" w:hAnsi="Arial" w:cs="Arial"/>
                <w:sz w:val="24"/>
                <w:szCs w:val="24"/>
                <w:lang w:val="en-GB"/>
              </w:rPr>
            </w:pPr>
          </w:p>
          <w:p w:rsidR="006B1AB5" w:rsidRPr="006B1AB5" w:rsidRDefault="006B1AB5" w:rsidP="006B1AB5">
            <w:pPr>
              <w:jc w:val="center"/>
              <w:rPr>
                <w:rFonts w:ascii="Arial" w:eastAsia="Calibri" w:hAnsi="Arial" w:cs="Arial"/>
                <w:sz w:val="24"/>
                <w:szCs w:val="24"/>
                <w:lang w:val="en-GB"/>
              </w:rPr>
            </w:pPr>
            <w:r w:rsidRPr="006B1AB5">
              <w:rPr>
                <w:rFonts w:ascii="Arial" w:eastAsia="Calibri" w:hAnsi="Arial" w:cs="Arial"/>
                <w:sz w:val="24"/>
                <w:szCs w:val="24"/>
                <w:lang w:val="en-GB"/>
              </w:rPr>
              <w:t>1</w:t>
            </w:r>
          </w:p>
          <w:p w:rsidR="006B1AB5" w:rsidRPr="006B1AB5" w:rsidRDefault="006B1AB5" w:rsidP="006B1AB5">
            <w:pPr>
              <w:jc w:val="center"/>
              <w:rPr>
                <w:rFonts w:ascii="Arial" w:eastAsia="Calibri" w:hAnsi="Arial" w:cs="Arial"/>
                <w:sz w:val="24"/>
                <w:szCs w:val="24"/>
                <w:lang w:val="en-GB"/>
              </w:rPr>
            </w:pPr>
          </w:p>
        </w:tc>
        <w:tc>
          <w:tcPr>
            <w:tcW w:w="4900" w:type="dxa"/>
            <w:vAlign w:val="center"/>
          </w:tcPr>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 xml:space="preserve">2 hrs </w:t>
            </w:r>
            <w:r w:rsidRPr="006B1AB5">
              <w:rPr>
                <w:rFonts w:ascii="Arial" w:eastAsia="Calibri" w:hAnsi="Arial" w:cs="Arial"/>
                <w:sz w:val="24"/>
                <w:szCs w:val="24"/>
                <w:lang w:val="en-GB"/>
              </w:rPr>
              <w:br/>
              <w:t>Following Exposure</w:t>
            </w:r>
          </w:p>
        </w:tc>
      </w:tr>
      <w:tr w:rsidR="006B1AB5" w:rsidRPr="006B1AB5" w:rsidTr="000B5B88">
        <w:tc>
          <w:tcPr>
            <w:tcW w:w="2790" w:type="dxa"/>
            <w:vAlign w:val="center"/>
          </w:tcPr>
          <w:p w:rsidR="006B1AB5" w:rsidRPr="006B1AB5" w:rsidRDefault="006B1AB5" w:rsidP="006B1AB5">
            <w:pPr>
              <w:ind w:firstLine="72"/>
              <w:jc w:val="center"/>
              <w:rPr>
                <w:rFonts w:ascii="Arial" w:eastAsia="Calibri" w:hAnsi="Arial" w:cs="Arial"/>
                <w:sz w:val="24"/>
                <w:szCs w:val="24"/>
                <w:lang w:val="en-GB"/>
              </w:rPr>
            </w:pPr>
            <w:r w:rsidRPr="006B1AB5">
              <w:rPr>
                <w:rFonts w:ascii="Arial" w:eastAsia="Calibri" w:hAnsi="Arial" w:cs="Arial"/>
                <w:sz w:val="24"/>
                <w:szCs w:val="24"/>
                <w:lang w:val="en-GB"/>
              </w:rPr>
              <w:t>Cellular Markers</w:t>
            </w:r>
          </w:p>
        </w:tc>
        <w:tc>
          <w:tcPr>
            <w:tcW w:w="1620" w:type="dxa"/>
            <w:vAlign w:val="center"/>
          </w:tcPr>
          <w:p w:rsidR="006B1AB5" w:rsidRPr="006B1AB5" w:rsidRDefault="006B1AB5" w:rsidP="006B1AB5">
            <w:pPr>
              <w:ind w:firstLine="72"/>
              <w:jc w:val="center"/>
              <w:rPr>
                <w:rFonts w:ascii="Arial" w:eastAsia="Calibri" w:hAnsi="Arial" w:cs="Arial"/>
                <w:sz w:val="24"/>
                <w:szCs w:val="24"/>
                <w:lang w:val="en-GB"/>
              </w:rPr>
            </w:pPr>
            <w:r>
              <w:rPr>
                <w:rFonts w:ascii="Arial" w:eastAsia="Calibri" w:hAnsi="Arial" w:cs="Arial"/>
                <w:sz w:val="24"/>
                <w:szCs w:val="24"/>
                <w:lang w:val="en-GB"/>
              </w:rPr>
              <w:t>4</w:t>
            </w:r>
          </w:p>
        </w:tc>
        <w:tc>
          <w:tcPr>
            <w:tcW w:w="4900" w:type="dxa"/>
            <w:vAlign w:val="center"/>
          </w:tcPr>
          <w:p w:rsidR="006B1AB5" w:rsidRPr="006B1AB5" w:rsidRDefault="0069058A" w:rsidP="006B1AB5">
            <w:pPr>
              <w:ind w:firstLine="72"/>
              <w:jc w:val="center"/>
              <w:rPr>
                <w:rFonts w:ascii="Arial" w:eastAsia="Calibri" w:hAnsi="Arial" w:cs="Arial"/>
                <w:sz w:val="24"/>
                <w:szCs w:val="24"/>
                <w:lang w:val="fr-FR"/>
              </w:rPr>
            </w:pPr>
            <w:r>
              <w:rPr>
                <w:rFonts w:ascii="Arial" w:eastAsia="Calibri" w:hAnsi="Arial" w:cs="Arial"/>
                <w:sz w:val="24"/>
                <w:szCs w:val="24"/>
                <w:lang w:val="fr-FR"/>
              </w:rPr>
              <w:t>IL8, IL6, TNFα</w:t>
            </w:r>
            <w:r w:rsidR="006B1AB5" w:rsidRPr="006B1AB5">
              <w:rPr>
                <w:rFonts w:ascii="Arial" w:eastAsia="Calibri" w:hAnsi="Arial" w:cs="Arial"/>
                <w:sz w:val="24"/>
                <w:szCs w:val="24"/>
                <w:lang w:val="fr-FR"/>
              </w:rPr>
              <w:t>, LDH</w:t>
            </w:r>
          </w:p>
        </w:tc>
      </w:tr>
    </w:tbl>
    <w:p w:rsidR="006B1AB5" w:rsidRPr="00AE5F9F" w:rsidRDefault="006B1AB5">
      <w:pPr>
        <w:rPr>
          <w:rFonts w:ascii="Arial" w:hAnsi="Arial" w:cs="Arial"/>
          <w:sz w:val="24"/>
          <w:szCs w:val="24"/>
        </w:rPr>
      </w:pPr>
    </w:p>
    <w:sectPr w:rsidR="006B1AB5" w:rsidRPr="00AE5F9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5F9F"/>
    <w:rsid w:val="00025C48"/>
    <w:rsid w:val="00054397"/>
    <w:rsid w:val="000B5B88"/>
    <w:rsid w:val="000C508E"/>
    <w:rsid w:val="000E1263"/>
    <w:rsid w:val="00191804"/>
    <w:rsid w:val="001A0930"/>
    <w:rsid w:val="001C7EED"/>
    <w:rsid w:val="00227500"/>
    <w:rsid w:val="002478A1"/>
    <w:rsid w:val="002B3AFE"/>
    <w:rsid w:val="002D0CFD"/>
    <w:rsid w:val="0032575A"/>
    <w:rsid w:val="003373D4"/>
    <w:rsid w:val="00340CD6"/>
    <w:rsid w:val="003B1185"/>
    <w:rsid w:val="003F0F3A"/>
    <w:rsid w:val="00437DC8"/>
    <w:rsid w:val="004C3DE4"/>
    <w:rsid w:val="00526235"/>
    <w:rsid w:val="005C7346"/>
    <w:rsid w:val="00624501"/>
    <w:rsid w:val="0068527C"/>
    <w:rsid w:val="0069058A"/>
    <w:rsid w:val="006921FA"/>
    <w:rsid w:val="006A0980"/>
    <w:rsid w:val="006A77B4"/>
    <w:rsid w:val="006B1AB5"/>
    <w:rsid w:val="00706591"/>
    <w:rsid w:val="0073011E"/>
    <w:rsid w:val="00804AC1"/>
    <w:rsid w:val="009E3F48"/>
    <w:rsid w:val="00A34779"/>
    <w:rsid w:val="00A56527"/>
    <w:rsid w:val="00A751BF"/>
    <w:rsid w:val="00AE5F9F"/>
    <w:rsid w:val="00BA3C8B"/>
    <w:rsid w:val="00BF363D"/>
    <w:rsid w:val="00C14D39"/>
    <w:rsid w:val="00D301D7"/>
    <w:rsid w:val="00D3799A"/>
    <w:rsid w:val="00D65626"/>
    <w:rsid w:val="00D974A5"/>
    <w:rsid w:val="00DB2A6A"/>
    <w:rsid w:val="00E303E4"/>
    <w:rsid w:val="00EB6E42"/>
    <w:rsid w:val="00F13379"/>
    <w:rsid w:val="00F223FD"/>
    <w:rsid w:val="00F8668F"/>
    <w:rsid w:val="00FC7E5F"/>
    <w:rsid w:val="00FE3C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5F9F"/>
    <w:rPr>
      <w:rFonts w:ascii="Tahoma" w:hAnsi="Tahoma" w:cs="Tahoma"/>
      <w:sz w:val="16"/>
      <w:szCs w:val="16"/>
    </w:rPr>
  </w:style>
  <w:style w:type="character" w:customStyle="1" w:styleId="BalloonTextChar">
    <w:name w:val="Balloon Text Char"/>
    <w:basedOn w:val="DefaultParagraphFont"/>
    <w:link w:val="BalloonText"/>
    <w:uiPriority w:val="99"/>
    <w:semiHidden/>
    <w:rsid w:val="00AE5F9F"/>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E5F9F"/>
    <w:rPr>
      <w:rFonts w:ascii="Tahoma" w:hAnsi="Tahoma" w:cs="Tahoma"/>
      <w:sz w:val="16"/>
      <w:szCs w:val="16"/>
    </w:rPr>
  </w:style>
  <w:style w:type="character" w:customStyle="1" w:styleId="BalloonTextChar">
    <w:name w:val="Balloon Text Char"/>
    <w:basedOn w:val="DefaultParagraphFont"/>
    <w:link w:val="BalloonText"/>
    <w:uiPriority w:val="99"/>
    <w:semiHidden/>
    <w:rsid w:val="00AE5F9F"/>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theme" Target="theme/theme1.xml"/><Relationship Id="rId5" Type="http://schemas.openxmlformats.org/officeDocument/2006/relationships/image" Target="media/image1.emf"/><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552</Words>
  <Characters>3150</Characters>
  <Application>Microsoft Office Word</Application>
  <DocSecurity>4</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CVMBS Computing Resources Group</Company>
  <LinksUpToDate>false</LinksUpToDate>
  <CharactersWithSpaces>3695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Hawley,Brie (EID)</dc:creator>
  <cp:lastModifiedBy>BMH</cp:lastModifiedBy>
  <cp:revision>2</cp:revision>
  <dcterms:created xsi:type="dcterms:W3CDTF">2014-10-23T15:26:00Z</dcterms:created>
  <dcterms:modified xsi:type="dcterms:W3CDTF">2014-10-23T15:26:00Z</dcterms:modified>
</cp:coreProperties>
</file>