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46" w:rsidRPr="00D942D2" w:rsidRDefault="00A25C46" w:rsidP="00D942D2">
      <w:pPr>
        <w:pStyle w:val="Heading1"/>
        <w:rPr>
          <w:sz w:val="36"/>
        </w:rPr>
      </w:pPr>
      <w:bookmarkStart w:id="0" w:name="_Toc365268078"/>
      <w:bookmarkStart w:id="1" w:name="_GoBack"/>
      <w:r w:rsidRPr="00D942D2">
        <w:rPr>
          <w:sz w:val="36"/>
        </w:rPr>
        <w:t>Table S3. Secondary attack ratios of influenza-like illness, and influenza, among household compound members of index case-patients, by study phase and in total, Kishoregonj, Bangladesh, 2009-2010</w:t>
      </w:r>
      <w:bookmarkEnd w:id="0"/>
      <w:r w:rsidRPr="00D942D2">
        <w:rPr>
          <w:sz w:val="36"/>
        </w:rPr>
        <w:t xml:space="preserve"> </w:t>
      </w:r>
    </w:p>
    <w:bookmarkEnd w:id="1"/>
    <w:p w:rsidR="00A25C46" w:rsidRDefault="00A25C46" w:rsidP="00A25C46"/>
    <w:tbl>
      <w:tblPr>
        <w:tblStyle w:val="TableGrid"/>
        <w:tblW w:w="11134" w:type="dxa"/>
        <w:tblInd w:w="-162" w:type="dxa"/>
        <w:tblLook w:val="04A0" w:firstRow="1" w:lastRow="0" w:firstColumn="1" w:lastColumn="0" w:noHBand="0" w:noVBand="1"/>
      </w:tblPr>
      <w:tblGrid>
        <w:gridCol w:w="2629"/>
        <w:gridCol w:w="1479"/>
        <w:gridCol w:w="27"/>
        <w:gridCol w:w="1204"/>
        <w:gridCol w:w="1650"/>
        <w:gridCol w:w="1305"/>
        <w:gridCol w:w="1594"/>
        <w:gridCol w:w="9"/>
        <w:gridCol w:w="1237"/>
      </w:tblGrid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2710" w:type="dxa"/>
            <w:gridSpan w:val="3"/>
          </w:tcPr>
          <w:p w:rsidR="00A25C46" w:rsidRDefault="00A25C46" w:rsidP="00CF5547">
            <w:r>
              <w:t>Phase 1</w:t>
            </w:r>
          </w:p>
        </w:tc>
        <w:tc>
          <w:tcPr>
            <w:tcW w:w="2955" w:type="dxa"/>
            <w:gridSpan w:val="2"/>
          </w:tcPr>
          <w:p w:rsidR="00A25C46" w:rsidRDefault="00A25C46" w:rsidP="00CF5547">
            <w:r>
              <w:t>Phase 2</w:t>
            </w:r>
          </w:p>
        </w:tc>
        <w:tc>
          <w:tcPr>
            <w:tcW w:w="2840" w:type="dxa"/>
            <w:gridSpan w:val="3"/>
          </w:tcPr>
          <w:p w:rsidR="00A25C46" w:rsidRDefault="00A25C46" w:rsidP="00CF5547">
            <w:r>
              <w:t>Phase 3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  <w:shd w:val="clear" w:color="auto" w:fill="A6A6A6" w:themeFill="background1" w:themeFillShade="A6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Secondary transmission of influenza-like illness</w:t>
            </w:r>
          </w:p>
        </w:tc>
        <w:tc>
          <w:tcPr>
            <w:tcW w:w="1506" w:type="dxa"/>
            <w:gridSpan w:val="2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204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603" w:type="dxa"/>
            <w:gridSpan w:val="2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237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Index case-patients (N)</w:t>
            </w:r>
          </w:p>
        </w:tc>
        <w:tc>
          <w:tcPr>
            <w:tcW w:w="1506" w:type="dxa"/>
            <w:gridSpan w:val="2"/>
          </w:tcPr>
          <w:p w:rsidR="00A25C46" w:rsidRDefault="00A25C46" w:rsidP="00CF5547">
            <w:pPr>
              <w:jc w:val="center"/>
            </w:pPr>
            <w:r>
              <w:t>22</w:t>
            </w:r>
          </w:p>
        </w:tc>
        <w:tc>
          <w:tcPr>
            <w:tcW w:w="1204" w:type="dxa"/>
          </w:tcPr>
          <w:p w:rsidR="00A25C46" w:rsidRDefault="00A25C46" w:rsidP="00CF5547">
            <w:pPr>
              <w:jc w:val="center"/>
            </w:pPr>
            <w:r>
              <w:t>18</w:t>
            </w:r>
          </w:p>
        </w:tc>
        <w:tc>
          <w:tcPr>
            <w:tcW w:w="1650" w:type="dxa"/>
          </w:tcPr>
          <w:p w:rsidR="00A25C46" w:rsidRDefault="00A25C46" w:rsidP="00CF5547">
            <w:pPr>
              <w:jc w:val="center"/>
            </w:pPr>
            <w:r>
              <w:t>69</w:t>
            </w:r>
          </w:p>
        </w:tc>
        <w:tc>
          <w:tcPr>
            <w:tcW w:w="1305" w:type="dxa"/>
          </w:tcPr>
          <w:p w:rsidR="00A25C46" w:rsidRDefault="00A25C46" w:rsidP="00CF5547">
            <w:pPr>
              <w:jc w:val="center"/>
            </w:pPr>
            <w:r>
              <w:t>63</w:t>
            </w:r>
          </w:p>
        </w:tc>
        <w:tc>
          <w:tcPr>
            <w:tcW w:w="1594" w:type="dxa"/>
          </w:tcPr>
          <w:p w:rsidR="00A25C46" w:rsidRDefault="00A25C46" w:rsidP="00CF5547">
            <w:pPr>
              <w:jc w:val="center"/>
            </w:pPr>
            <w:r>
              <w:t>102</w:t>
            </w:r>
          </w:p>
        </w:tc>
        <w:tc>
          <w:tcPr>
            <w:tcW w:w="1246" w:type="dxa"/>
            <w:gridSpan w:val="2"/>
          </w:tcPr>
          <w:p w:rsidR="00A25C46" w:rsidRDefault="00A25C46" w:rsidP="00CF5547">
            <w:pPr>
              <w:jc w:val="center"/>
            </w:pPr>
            <w:r>
              <w:t>103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Susceptible household members (N)</w:t>
            </w:r>
          </w:p>
        </w:tc>
        <w:tc>
          <w:tcPr>
            <w:tcW w:w="1506" w:type="dxa"/>
            <w:gridSpan w:val="2"/>
          </w:tcPr>
          <w:p w:rsidR="00A25C46" w:rsidRDefault="00A25C46" w:rsidP="00CF5547">
            <w:pPr>
              <w:jc w:val="center"/>
            </w:pPr>
            <w:r>
              <w:t>179</w:t>
            </w:r>
          </w:p>
        </w:tc>
        <w:tc>
          <w:tcPr>
            <w:tcW w:w="1204" w:type="dxa"/>
          </w:tcPr>
          <w:p w:rsidR="00A25C46" w:rsidRDefault="00A25C46" w:rsidP="00CF5547">
            <w:pPr>
              <w:jc w:val="center"/>
            </w:pPr>
            <w:r>
              <w:t>176</w:t>
            </w:r>
          </w:p>
        </w:tc>
        <w:tc>
          <w:tcPr>
            <w:tcW w:w="1650" w:type="dxa"/>
          </w:tcPr>
          <w:p w:rsidR="00A25C46" w:rsidRDefault="00A25C46" w:rsidP="00CF5547">
            <w:pPr>
              <w:jc w:val="center"/>
            </w:pPr>
            <w:r>
              <w:t>548</w:t>
            </w:r>
          </w:p>
        </w:tc>
        <w:tc>
          <w:tcPr>
            <w:tcW w:w="1305" w:type="dxa"/>
          </w:tcPr>
          <w:p w:rsidR="00A25C46" w:rsidRDefault="00A25C46" w:rsidP="00CF5547">
            <w:pPr>
              <w:jc w:val="center"/>
            </w:pPr>
            <w:r>
              <w:t>432</w:t>
            </w:r>
          </w:p>
        </w:tc>
        <w:tc>
          <w:tcPr>
            <w:tcW w:w="1594" w:type="dxa"/>
          </w:tcPr>
          <w:p w:rsidR="00A25C46" w:rsidRDefault="00A25C46" w:rsidP="00CF5547">
            <w:pPr>
              <w:jc w:val="center"/>
            </w:pPr>
            <w:r>
              <w:t>934</w:t>
            </w:r>
          </w:p>
        </w:tc>
        <w:tc>
          <w:tcPr>
            <w:tcW w:w="1246" w:type="dxa"/>
            <w:gridSpan w:val="2"/>
          </w:tcPr>
          <w:p w:rsidR="00A25C46" w:rsidRDefault="00A25C46" w:rsidP="00CF5547">
            <w:pPr>
              <w:jc w:val="center"/>
            </w:pPr>
            <w:r>
              <w:t>890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 xml:space="preserve">Secondary attack ratio </w:t>
            </w:r>
          </w:p>
        </w:tc>
        <w:tc>
          <w:tcPr>
            <w:tcW w:w="1506" w:type="dxa"/>
            <w:gridSpan w:val="2"/>
          </w:tcPr>
          <w:p w:rsidR="00A25C46" w:rsidRDefault="00A25C46" w:rsidP="00CF5547">
            <w:pPr>
              <w:jc w:val="center"/>
            </w:pPr>
            <w:r>
              <w:t>4/179 (2.2%)</w:t>
            </w:r>
          </w:p>
        </w:tc>
        <w:tc>
          <w:tcPr>
            <w:tcW w:w="1204" w:type="dxa"/>
          </w:tcPr>
          <w:p w:rsidR="00A25C46" w:rsidRDefault="00A25C46" w:rsidP="00CF5547">
            <w:pPr>
              <w:jc w:val="center"/>
            </w:pPr>
            <w:r>
              <w:t>6/176 (3.4%)</w:t>
            </w:r>
          </w:p>
        </w:tc>
        <w:tc>
          <w:tcPr>
            <w:tcW w:w="1650" w:type="dxa"/>
          </w:tcPr>
          <w:p w:rsidR="00A25C46" w:rsidRDefault="00A25C46" w:rsidP="00CF5547">
            <w:pPr>
              <w:jc w:val="center"/>
            </w:pPr>
            <w:r>
              <w:t>44/548 (8.0%)</w:t>
            </w:r>
          </w:p>
        </w:tc>
        <w:tc>
          <w:tcPr>
            <w:tcW w:w="1305" w:type="dxa"/>
          </w:tcPr>
          <w:p w:rsidR="00A25C46" w:rsidRDefault="00A25C46" w:rsidP="00CF5547">
            <w:pPr>
              <w:jc w:val="center"/>
            </w:pPr>
            <w:r>
              <w:t>25/432 (5.8%)</w:t>
            </w:r>
          </w:p>
        </w:tc>
        <w:tc>
          <w:tcPr>
            <w:tcW w:w="1594" w:type="dxa"/>
          </w:tcPr>
          <w:p w:rsidR="00A25C46" w:rsidRDefault="00A25C46" w:rsidP="00CF5547">
            <w:pPr>
              <w:jc w:val="center"/>
            </w:pPr>
            <w:r>
              <w:t>110/934 (11.8%)</w:t>
            </w:r>
          </w:p>
        </w:tc>
        <w:tc>
          <w:tcPr>
            <w:tcW w:w="1246" w:type="dxa"/>
            <w:gridSpan w:val="2"/>
          </w:tcPr>
          <w:p w:rsidR="00A25C46" w:rsidRDefault="00A25C46" w:rsidP="00CF5547">
            <w:pPr>
              <w:jc w:val="center"/>
            </w:pPr>
            <w:r>
              <w:t>84/890 (9.4%)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SAR ratio (95% CI)**</w:t>
            </w:r>
          </w:p>
        </w:tc>
        <w:tc>
          <w:tcPr>
            <w:tcW w:w="2710" w:type="dxa"/>
            <w:gridSpan w:val="3"/>
          </w:tcPr>
          <w:p w:rsidR="00A25C46" w:rsidRDefault="00A25C46" w:rsidP="00CF5547">
            <w:pPr>
              <w:jc w:val="center"/>
            </w:pPr>
            <w:r>
              <w:t>0.66 (0.21 – 2.09)</w:t>
            </w:r>
          </w:p>
        </w:tc>
        <w:tc>
          <w:tcPr>
            <w:tcW w:w="2955" w:type="dxa"/>
            <w:gridSpan w:val="2"/>
          </w:tcPr>
          <w:p w:rsidR="00A25C46" w:rsidRDefault="00A25C46" w:rsidP="00CF5547">
            <w:pPr>
              <w:jc w:val="center"/>
            </w:pPr>
            <w:r>
              <w:t>1.39 (0.79 – 2.42)</w:t>
            </w:r>
          </w:p>
        </w:tc>
        <w:tc>
          <w:tcPr>
            <w:tcW w:w="2840" w:type="dxa"/>
            <w:gridSpan w:val="3"/>
          </w:tcPr>
          <w:p w:rsidR="00A25C46" w:rsidRDefault="00A25C46" w:rsidP="00CF5547">
            <w:pPr>
              <w:jc w:val="center"/>
            </w:pPr>
            <w:r>
              <w:t>1.25 (0.89 – 1.74)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p-value**</w:t>
            </w:r>
          </w:p>
        </w:tc>
        <w:tc>
          <w:tcPr>
            <w:tcW w:w="2710" w:type="dxa"/>
            <w:gridSpan w:val="3"/>
          </w:tcPr>
          <w:p w:rsidR="00A25C46" w:rsidRDefault="00A25C46" w:rsidP="00CF5547">
            <w:pPr>
              <w:jc w:val="center"/>
            </w:pPr>
            <w:r>
              <w:t>.48</w:t>
            </w:r>
          </w:p>
        </w:tc>
        <w:tc>
          <w:tcPr>
            <w:tcW w:w="2955" w:type="dxa"/>
            <w:gridSpan w:val="2"/>
          </w:tcPr>
          <w:p w:rsidR="00A25C46" w:rsidRDefault="00A25C46" w:rsidP="00CF5547">
            <w:pPr>
              <w:jc w:val="center"/>
            </w:pPr>
            <w:r>
              <w:t>.25</w:t>
            </w:r>
          </w:p>
        </w:tc>
        <w:tc>
          <w:tcPr>
            <w:tcW w:w="2840" w:type="dxa"/>
            <w:gridSpan w:val="3"/>
          </w:tcPr>
          <w:p w:rsidR="00A25C46" w:rsidRDefault="00A25C46" w:rsidP="00CF5547">
            <w:pPr>
              <w:jc w:val="center"/>
            </w:pPr>
            <w:r>
              <w:t>.19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  <w:shd w:val="clear" w:color="auto" w:fill="A6A6A6" w:themeFill="background1" w:themeFillShade="A6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Secondary transmission of PCR-confirmed Influenza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231" w:type="dxa"/>
            <w:gridSpan w:val="2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650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305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Intervention</w:t>
            </w:r>
          </w:p>
        </w:tc>
        <w:tc>
          <w:tcPr>
            <w:tcW w:w="1246" w:type="dxa"/>
            <w:gridSpan w:val="2"/>
            <w:shd w:val="clear" w:color="auto" w:fill="A6A6A6" w:themeFill="background1" w:themeFillShade="A6"/>
          </w:tcPr>
          <w:p w:rsidR="00A25C46" w:rsidRDefault="00A25C46" w:rsidP="00CF5547">
            <w:pPr>
              <w:jc w:val="center"/>
            </w:pPr>
            <w:r>
              <w:t>Control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Index case-patients (N) with PCR-confirmed influenza</w:t>
            </w:r>
          </w:p>
        </w:tc>
        <w:tc>
          <w:tcPr>
            <w:tcW w:w="1479" w:type="dxa"/>
          </w:tcPr>
          <w:p w:rsidR="00A25C46" w:rsidRDefault="00A25C46" w:rsidP="00CF5547">
            <w:pPr>
              <w:jc w:val="center"/>
            </w:pPr>
            <w:r>
              <w:t>2</w:t>
            </w:r>
          </w:p>
        </w:tc>
        <w:tc>
          <w:tcPr>
            <w:tcW w:w="1231" w:type="dxa"/>
            <w:gridSpan w:val="2"/>
          </w:tcPr>
          <w:p w:rsidR="00A25C46" w:rsidRDefault="00A25C46" w:rsidP="00CF5547">
            <w:pPr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A25C46" w:rsidRDefault="00A25C46" w:rsidP="00CF5547">
            <w:pPr>
              <w:jc w:val="center"/>
            </w:pPr>
            <w:r>
              <w:t>11</w:t>
            </w:r>
          </w:p>
        </w:tc>
        <w:tc>
          <w:tcPr>
            <w:tcW w:w="1305" w:type="dxa"/>
          </w:tcPr>
          <w:p w:rsidR="00A25C46" w:rsidRDefault="00A25C46" w:rsidP="00CF5547">
            <w:pPr>
              <w:jc w:val="center"/>
            </w:pPr>
            <w:r>
              <w:t>17</w:t>
            </w:r>
          </w:p>
        </w:tc>
        <w:tc>
          <w:tcPr>
            <w:tcW w:w="1594" w:type="dxa"/>
          </w:tcPr>
          <w:p w:rsidR="00A25C46" w:rsidRDefault="00A25C46" w:rsidP="00CF5547">
            <w:pPr>
              <w:jc w:val="center"/>
            </w:pPr>
            <w:r>
              <w:t>11</w:t>
            </w:r>
          </w:p>
        </w:tc>
        <w:tc>
          <w:tcPr>
            <w:tcW w:w="1246" w:type="dxa"/>
            <w:gridSpan w:val="2"/>
          </w:tcPr>
          <w:p w:rsidR="00A25C46" w:rsidRDefault="00A25C46" w:rsidP="00CF5547">
            <w:pPr>
              <w:jc w:val="center"/>
            </w:pPr>
            <w:r>
              <w:t>16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Default="00A25C46" w:rsidP="00CF5547">
            <w:pPr>
              <w:rPr>
                <w:b/>
              </w:rPr>
            </w:pPr>
            <w:r>
              <w:rPr>
                <w:b/>
              </w:rPr>
              <w:t>Susceptible household members (N)</w:t>
            </w:r>
          </w:p>
        </w:tc>
        <w:tc>
          <w:tcPr>
            <w:tcW w:w="1479" w:type="dxa"/>
          </w:tcPr>
          <w:p w:rsidR="00A25C46" w:rsidRDefault="00A25C46" w:rsidP="00CF5547">
            <w:pPr>
              <w:jc w:val="center"/>
            </w:pPr>
            <w:r>
              <w:t>15</w:t>
            </w:r>
          </w:p>
        </w:tc>
        <w:tc>
          <w:tcPr>
            <w:tcW w:w="1231" w:type="dxa"/>
            <w:gridSpan w:val="2"/>
          </w:tcPr>
          <w:p w:rsidR="00A25C46" w:rsidRDefault="00A25C46" w:rsidP="00CF5547">
            <w:pPr>
              <w:jc w:val="center"/>
            </w:pPr>
            <w:r>
              <w:t>39</w:t>
            </w:r>
          </w:p>
        </w:tc>
        <w:tc>
          <w:tcPr>
            <w:tcW w:w="1650" w:type="dxa"/>
          </w:tcPr>
          <w:p w:rsidR="00A25C46" w:rsidRDefault="00A25C46" w:rsidP="00CF5547">
            <w:pPr>
              <w:jc w:val="center"/>
            </w:pPr>
            <w:r>
              <w:t>77</w:t>
            </w:r>
          </w:p>
        </w:tc>
        <w:tc>
          <w:tcPr>
            <w:tcW w:w="1305" w:type="dxa"/>
          </w:tcPr>
          <w:p w:rsidR="00A25C46" w:rsidRDefault="00A25C46" w:rsidP="00CF5547">
            <w:pPr>
              <w:jc w:val="center"/>
            </w:pPr>
            <w:r>
              <w:t>105</w:t>
            </w:r>
          </w:p>
        </w:tc>
        <w:tc>
          <w:tcPr>
            <w:tcW w:w="1594" w:type="dxa"/>
          </w:tcPr>
          <w:p w:rsidR="00A25C46" w:rsidRDefault="00A25C46" w:rsidP="00CF5547">
            <w:pPr>
              <w:jc w:val="center"/>
            </w:pPr>
            <w:r>
              <w:t>87</w:t>
            </w:r>
          </w:p>
        </w:tc>
        <w:tc>
          <w:tcPr>
            <w:tcW w:w="1246" w:type="dxa"/>
            <w:gridSpan w:val="2"/>
          </w:tcPr>
          <w:p w:rsidR="00A25C46" w:rsidRDefault="00A25C46" w:rsidP="00CF5547">
            <w:pPr>
              <w:jc w:val="center"/>
            </w:pPr>
            <w:r>
              <w:t>106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 xml:space="preserve">Secondary attack ratio </w:t>
            </w:r>
          </w:p>
        </w:tc>
        <w:tc>
          <w:tcPr>
            <w:tcW w:w="1479" w:type="dxa"/>
          </w:tcPr>
          <w:p w:rsidR="00A25C46" w:rsidRDefault="00A25C46" w:rsidP="00CF5547">
            <w:pPr>
              <w:jc w:val="center"/>
            </w:pPr>
            <w:r>
              <w:t>0/15</w:t>
            </w:r>
          </w:p>
        </w:tc>
        <w:tc>
          <w:tcPr>
            <w:tcW w:w="1231" w:type="dxa"/>
            <w:gridSpan w:val="2"/>
          </w:tcPr>
          <w:p w:rsidR="00A25C46" w:rsidRDefault="00A25C46" w:rsidP="00CF5547">
            <w:pPr>
              <w:jc w:val="center"/>
            </w:pPr>
            <w:r>
              <w:t>0/39</w:t>
            </w:r>
          </w:p>
        </w:tc>
        <w:tc>
          <w:tcPr>
            <w:tcW w:w="1650" w:type="dxa"/>
          </w:tcPr>
          <w:p w:rsidR="00A25C46" w:rsidRDefault="00A25C46" w:rsidP="00CF5547">
            <w:pPr>
              <w:jc w:val="center"/>
            </w:pPr>
            <w:r>
              <w:t>6/77 (8%)</w:t>
            </w:r>
          </w:p>
        </w:tc>
        <w:tc>
          <w:tcPr>
            <w:tcW w:w="1305" w:type="dxa"/>
          </w:tcPr>
          <w:p w:rsidR="00A25C46" w:rsidRDefault="00A25C46" w:rsidP="00CF5547">
            <w:pPr>
              <w:jc w:val="center"/>
            </w:pPr>
            <w:r>
              <w:t>1/105 (1%)</w:t>
            </w:r>
          </w:p>
        </w:tc>
        <w:tc>
          <w:tcPr>
            <w:tcW w:w="1594" w:type="dxa"/>
          </w:tcPr>
          <w:p w:rsidR="00A25C46" w:rsidRDefault="00A25C46" w:rsidP="00CF5547">
            <w:pPr>
              <w:jc w:val="center"/>
            </w:pPr>
            <w:r>
              <w:t>11/85 (12.9%)</w:t>
            </w:r>
          </w:p>
        </w:tc>
        <w:tc>
          <w:tcPr>
            <w:tcW w:w="1246" w:type="dxa"/>
            <w:gridSpan w:val="2"/>
          </w:tcPr>
          <w:p w:rsidR="00A25C46" w:rsidRDefault="00A25C46" w:rsidP="00CF5547">
            <w:pPr>
              <w:jc w:val="center"/>
            </w:pPr>
            <w:r>
              <w:t>9/106 (8.5%)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SAR ratio (95% CI)**</w:t>
            </w:r>
          </w:p>
        </w:tc>
        <w:tc>
          <w:tcPr>
            <w:tcW w:w="2710" w:type="dxa"/>
            <w:gridSpan w:val="3"/>
          </w:tcPr>
          <w:p w:rsidR="00A25C46" w:rsidRDefault="005C1848" w:rsidP="00CF5547">
            <w:pPr>
              <w:jc w:val="center"/>
            </w:pPr>
            <w:r>
              <w:t>U</w:t>
            </w:r>
            <w:r w:rsidR="00A25C46">
              <w:t>ndefined</w:t>
            </w:r>
          </w:p>
        </w:tc>
        <w:tc>
          <w:tcPr>
            <w:tcW w:w="2955" w:type="dxa"/>
            <w:gridSpan w:val="2"/>
          </w:tcPr>
          <w:p w:rsidR="00A25C46" w:rsidRDefault="00A25C46" w:rsidP="00CF5547">
            <w:pPr>
              <w:jc w:val="center"/>
            </w:pPr>
            <w:r>
              <w:t>8.33 (1.05 – 50.0)</w:t>
            </w:r>
          </w:p>
        </w:tc>
        <w:tc>
          <w:tcPr>
            <w:tcW w:w="2840" w:type="dxa"/>
            <w:gridSpan w:val="3"/>
          </w:tcPr>
          <w:p w:rsidR="00A25C46" w:rsidRDefault="00A25C46" w:rsidP="00CF5547">
            <w:pPr>
              <w:jc w:val="center"/>
            </w:pPr>
            <w:r>
              <w:t xml:space="preserve">1.49 (0.38 – 6.25) </w:t>
            </w:r>
          </w:p>
        </w:tc>
      </w:tr>
      <w:tr w:rsidR="00A25C46" w:rsidTr="00CF5547">
        <w:trPr>
          <w:trHeight w:val="433"/>
        </w:trPr>
        <w:tc>
          <w:tcPr>
            <w:tcW w:w="2629" w:type="dxa"/>
          </w:tcPr>
          <w:p w:rsidR="00A25C46" w:rsidRPr="00574E4A" w:rsidRDefault="00A25C46" w:rsidP="00CF5547">
            <w:pPr>
              <w:rPr>
                <w:b/>
              </w:rPr>
            </w:pPr>
            <w:r>
              <w:rPr>
                <w:b/>
              </w:rPr>
              <w:t>p-value**</w:t>
            </w:r>
          </w:p>
        </w:tc>
        <w:tc>
          <w:tcPr>
            <w:tcW w:w="2710" w:type="dxa"/>
            <w:gridSpan w:val="3"/>
          </w:tcPr>
          <w:p w:rsidR="00A25C46" w:rsidRDefault="005C1848" w:rsidP="00CF5547">
            <w:pPr>
              <w:jc w:val="center"/>
            </w:pPr>
            <w:r>
              <w:t>U</w:t>
            </w:r>
            <w:r w:rsidR="00A25C46">
              <w:t>ndefined</w:t>
            </w:r>
          </w:p>
        </w:tc>
        <w:tc>
          <w:tcPr>
            <w:tcW w:w="2955" w:type="dxa"/>
            <w:gridSpan w:val="2"/>
          </w:tcPr>
          <w:p w:rsidR="00A25C46" w:rsidRDefault="00A25C46" w:rsidP="00CF5547">
            <w:pPr>
              <w:jc w:val="center"/>
            </w:pPr>
            <w:r>
              <w:t>.04</w:t>
            </w:r>
          </w:p>
        </w:tc>
        <w:tc>
          <w:tcPr>
            <w:tcW w:w="2840" w:type="dxa"/>
            <w:gridSpan w:val="3"/>
          </w:tcPr>
          <w:p w:rsidR="00A25C46" w:rsidRDefault="00A25C46" w:rsidP="00CF5547">
            <w:pPr>
              <w:jc w:val="center"/>
            </w:pPr>
            <w:r>
              <w:t>.55</w:t>
            </w:r>
          </w:p>
        </w:tc>
      </w:tr>
    </w:tbl>
    <w:p w:rsidR="00A25C46" w:rsidRDefault="00A25C46" w:rsidP="00A25C46">
      <w:r>
        <w:t>* No illness in index case-patient household at the time of enrollment and  index case-patient illness onset within 48 hours</w:t>
      </w:r>
    </w:p>
    <w:p w:rsidR="00A25C46" w:rsidRDefault="00A25C46" w:rsidP="00A25C46">
      <w:r>
        <w:t xml:space="preserve">**Confidence intervals and P-values generated using log binomial regression model with generalized estimating equations to estimate significance of ratio of secondary attack ratios in treatment arms.  </w:t>
      </w:r>
    </w:p>
    <w:p w:rsidR="0054003F" w:rsidRDefault="0054003F" w:rsidP="00D96720"/>
    <w:sectPr w:rsidR="0054003F" w:rsidSect="006907C6">
      <w:headerReference w:type="default" r:id="rId9"/>
      <w:footerReference w:type="default" r:id="rId10"/>
      <w:pgSz w:w="15840" w:h="12240" w:orient="landscape"/>
      <w:pgMar w:top="-25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D3" w:rsidRDefault="00EF5AD3" w:rsidP="00B013F7">
      <w:pPr>
        <w:spacing w:after="0" w:line="240" w:lineRule="auto"/>
      </w:pPr>
      <w:r>
        <w:separator/>
      </w:r>
    </w:p>
  </w:endnote>
  <w:endnote w:type="continuationSeparator" w:id="0">
    <w:p w:rsidR="00EF5AD3" w:rsidRDefault="00EF5AD3" w:rsidP="00B013F7">
      <w:pPr>
        <w:spacing w:after="0" w:line="240" w:lineRule="auto"/>
      </w:pPr>
      <w:r>
        <w:continuationSeparator/>
      </w:r>
    </w:p>
  </w:endnote>
  <w:endnote w:type="continuationNotice" w:id="1">
    <w:p w:rsidR="00EF5AD3" w:rsidRDefault="00EF5A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67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00E" w:rsidRDefault="00DE2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200E" w:rsidRDefault="00DE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D3" w:rsidRDefault="00EF5AD3" w:rsidP="00B013F7">
      <w:pPr>
        <w:spacing w:after="0" w:line="240" w:lineRule="auto"/>
      </w:pPr>
      <w:r>
        <w:separator/>
      </w:r>
    </w:p>
  </w:footnote>
  <w:footnote w:type="continuationSeparator" w:id="0">
    <w:p w:rsidR="00EF5AD3" w:rsidRDefault="00EF5AD3" w:rsidP="00B013F7">
      <w:pPr>
        <w:spacing w:after="0" w:line="240" w:lineRule="auto"/>
      </w:pPr>
      <w:r>
        <w:continuationSeparator/>
      </w:r>
    </w:p>
  </w:footnote>
  <w:footnote w:type="continuationNotice" w:id="1">
    <w:p w:rsidR="00EF5AD3" w:rsidRDefault="00EF5A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00E" w:rsidRDefault="00DE200E" w:rsidP="00D84F43">
    <w:pPr>
      <w:pStyle w:val="Header"/>
    </w:pPr>
  </w:p>
  <w:p w:rsidR="00DE200E" w:rsidRDefault="00DE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6D06"/>
    <w:multiLevelType w:val="hybridMultilevel"/>
    <w:tmpl w:val="7728DB4C"/>
    <w:lvl w:ilvl="0" w:tplc="0930F6F4">
      <w:start w:val="47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66E1D"/>
    <w:multiLevelType w:val="hybridMultilevel"/>
    <w:tmpl w:val="3500B7F2"/>
    <w:lvl w:ilvl="0" w:tplc="6A944E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9A5411-9330-4AA5-9504-69B9987E88C7}"/>
    <w:docVar w:name="dgnword-eventsink" w:val="181572064"/>
  </w:docVars>
  <w:rsids>
    <w:rsidRoot w:val="00574E4A"/>
    <w:rsid w:val="00000976"/>
    <w:rsid w:val="00000F29"/>
    <w:rsid w:val="00005C08"/>
    <w:rsid w:val="0001606B"/>
    <w:rsid w:val="00016E7C"/>
    <w:rsid w:val="000176D9"/>
    <w:rsid w:val="000203B6"/>
    <w:rsid w:val="000312A7"/>
    <w:rsid w:val="000337AA"/>
    <w:rsid w:val="000359FC"/>
    <w:rsid w:val="000400A2"/>
    <w:rsid w:val="00047073"/>
    <w:rsid w:val="00047D45"/>
    <w:rsid w:val="000649C4"/>
    <w:rsid w:val="00065E84"/>
    <w:rsid w:val="00066F76"/>
    <w:rsid w:val="00070608"/>
    <w:rsid w:val="000708A8"/>
    <w:rsid w:val="0007555F"/>
    <w:rsid w:val="00075988"/>
    <w:rsid w:val="0007663A"/>
    <w:rsid w:val="000925D7"/>
    <w:rsid w:val="000C3359"/>
    <w:rsid w:val="000C4838"/>
    <w:rsid w:val="000E6DAE"/>
    <w:rsid w:val="000E7C45"/>
    <w:rsid w:val="000F0D09"/>
    <w:rsid w:val="000F1DF5"/>
    <w:rsid w:val="000F2336"/>
    <w:rsid w:val="000F4B11"/>
    <w:rsid w:val="000F6C5B"/>
    <w:rsid w:val="000F7A44"/>
    <w:rsid w:val="00106F0A"/>
    <w:rsid w:val="00113BC7"/>
    <w:rsid w:val="00114550"/>
    <w:rsid w:val="0012153A"/>
    <w:rsid w:val="00122125"/>
    <w:rsid w:val="00126CE8"/>
    <w:rsid w:val="00131BA0"/>
    <w:rsid w:val="001424E1"/>
    <w:rsid w:val="00143625"/>
    <w:rsid w:val="001472C2"/>
    <w:rsid w:val="00154DD5"/>
    <w:rsid w:val="0015690C"/>
    <w:rsid w:val="00165D6F"/>
    <w:rsid w:val="00172C77"/>
    <w:rsid w:val="0018251A"/>
    <w:rsid w:val="00187C6F"/>
    <w:rsid w:val="00193865"/>
    <w:rsid w:val="001940D7"/>
    <w:rsid w:val="001A3F84"/>
    <w:rsid w:val="001C36B3"/>
    <w:rsid w:val="001C389D"/>
    <w:rsid w:val="001C4F90"/>
    <w:rsid w:val="001E1A82"/>
    <w:rsid w:val="001E402A"/>
    <w:rsid w:val="001E6A56"/>
    <w:rsid w:val="001F2ACB"/>
    <w:rsid w:val="001F3B68"/>
    <w:rsid w:val="001F7778"/>
    <w:rsid w:val="0020324D"/>
    <w:rsid w:val="002162E1"/>
    <w:rsid w:val="00221187"/>
    <w:rsid w:val="002240CE"/>
    <w:rsid w:val="00225DDA"/>
    <w:rsid w:val="0023282C"/>
    <w:rsid w:val="00246183"/>
    <w:rsid w:val="00250C9E"/>
    <w:rsid w:val="00274E45"/>
    <w:rsid w:val="00276196"/>
    <w:rsid w:val="00280064"/>
    <w:rsid w:val="00294821"/>
    <w:rsid w:val="002A0608"/>
    <w:rsid w:val="002A2654"/>
    <w:rsid w:val="002A5FF1"/>
    <w:rsid w:val="002A7BC7"/>
    <w:rsid w:val="002B62CD"/>
    <w:rsid w:val="002C152D"/>
    <w:rsid w:val="002C2C36"/>
    <w:rsid w:val="002C3492"/>
    <w:rsid w:val="002D0A68"/>
    <w:rsid w:val="002E3381"/>
    <w:rsid w:val="002E4E22"/>
    <w:rsid w:val="002F1D70"/>
    <w:rsid w:val="003050ED"/>
    <w:rsid w:val="00312E18"/>
    <w:rsid w:val="00322F62"/>
    <w:rsid w:val="0032705B"/>
    <w:rsid w:val="00353E27"/>
    <w:rsid w:val="00357C93"/>
    <w:rsid w:val="003607F1"/>
    <w:rsid w:val="00366486"/>
    <w:rsid w:val="00376F14"/>
    <w:rsid w:val="00384F6F"/>
    <w:rsid w:val="003907A8"/>
    <w:rsid w:val="003A58E1"/>
    <w:rsid w:val="003B2278"/>
    <w:rsid w:val="003B49E4"/>
    <w:rsid w:val="003C1681"/>
    <w:rsid w:val="003C7227"/>
    <w:rsid w:val="003D42CC"/>
    <w:rsid w:val="003F2D07"/>
    <w:rsid w:val="00401970"/>
    <w:rsid w:val="00401D95"/>
    <w:rsid w:val="00411EE9"/>
    <w:rsid w:val="004124CC"/>
    <w:rsid w:val="00412A66"/>
    <w:rsid w:val="00413D19"/>
    <w:rsid w:val="00420FA4"/>
    <w:rsid w:val="00423577"/>
    <w:rsid w:val="00430EEC"/>
    <w:rsid w:val="00435F62"/>
    <w:rsid w:val="004365E0"/>
    <w:rsid w:val="00442331"/>
    <w:rsid w:val="00456DE0"/>
    <w:rsid w:val="0047372B"/>
    <w:rsid w:val="00477C09"/>
    <w:rsid w:val="0048151A"/>
    <w:rsid w:val="00482E20"/>
    <w:rsid w:val="00490D50"/>
    <w:rsid w:val="00495B96"/>
    <w:rsid w:val="004A2D9C"/>
    <w:rsid w:val="004A3390"/>
    <w:rsid w:val="004A5476"/>
    <w:rsid w:val="004A6F2F"/>
    <w:rsid w:val="004B713B"/>
    <w:rsid w:val="004C5A73"/>
    <w:rsid w:val="004D1743"/>
    <w:rsid w:val="004D2850"/>
    <w:rsid w:val="004D2E6D"/>
    <w:rsid w:val="004D3C14"/>
    <w:rsid w:val="004D40CA"/>
    <w:rsid w:val="004E1B46"/>
    <w:rsid w:val="004E7637"/>
    <w:rsid w:val="004F7433"/>
    <w:rsid w:val="00500755"/>
    <w:rsid w:val="00502BF7"/>
    <w:rsid w:val="005041A1"/>
    <w:rsid w:val="00506337"/>
    <w:rsid w:val="005154FA"/>
    <w:rsid w:val="005158E9"/>
    <w:rsid w:val="005205EE"/>
    <w:rsid w:val="005219C3"/>
    <w:rsid w:val="00522128"/>
    <w:rsid w:val="00530071"/>
    <w:rsid w:val="00537421"/>
    <w:rsid w:val="0054003F"/>
    <w:rsid w:val="005472AA"/>
    <w:rsid w:val="005537E1"/>
    <w:rsid w:val="00553A04"/>
    <w:rsid w:val="0055474A"/>
    <w:rsid w:val="0055557A"/>
    <w:rsid w:val="00557441"/>
    <w:rsid w:val="005577AD"/>
    <w:rsid w:val="005738FC"/>
    <w:rsid w:val="005741EA"/>
    <w:rsid w:val="00574E4A"/>
    <w:rsid w:val="00577941"/>
    <w:rsid w:val="00583663"/>
    <w:rsid w:val="00583EE5"/>
    <w:rsid w:val="005906F7"/>
    <w:rsid w:val="00595878"/>
    <w:rsid w:val="005A242C"/>
    <w:rsid w:val="005A5B0A"/>
    <w:rsid w:val="005A6AC7"/>
    <w:rsid w:val="005B354F"/>
    <w:rsid w:val="005B54BB"/>
    <w:rsid w:val="005B7750"/>
    <w:rsid w:val="005C015B"/>
    <w:rsid w:val="005C1848"/>
    <w:rsid w:val="005C4FCB"/>
    <w:rsid w:val="005D00F8"/>
    <w:rsid w:val="005E08F1"/>
    <w:rsid w:val="005E2BAF"/>
    <w:rsid w:val="005F6E83"/>
    <w:rsid w:val="006032BC"/>
    <w:rsid w:val="00611E0F"/>
    <w:rsid w:val="00611F99"/>
    <w:rsid w:val="00620531"/>
    <w:rsid w:val="006205AC"/>
    <w:rsid w:val="00620FE1"/>
    <w:rsid w:val="0062222D"/>
    <w:rsid w:val="00631D19"/>
    <w:rsid w:val="006321CB"/>
    <w:rsid w:val="00637573"/>
    <w:rsid w:val="00645923"/>
    <w:rsid w:val="00647577"/>
    <w:rsid w:val="0065513B"/>
    <w:rsid w:val="00657FF1"/>
    <w:rsid w:val="00663BAA"/>
    <w:rsid w:val="006651C7"/>
    <w:rsid w:val="00666199"/>
    <w:rsid w:val="0066723E"/>
    <w:rsid w:val="00673C3B"/>
    <w:rsid w:val="00674468"/>
    <w:rsid w:val="006748E2"/>
    <w:rsid w:val="00675004"/>
    <w:rsid w:val="00683A0E"/>
    <w:rsid w:val="006907C6"/>
    <w:rsid w:val="00693B24"/>
    <w:rsid w:val="006A7288"/>
    <w:rsid w:val="006A7F8B"/>
    <w:rsid w:val="006B0694"/>
    <w:rsid w:val="006B39DE"/>
    <w:rsid w:val="006B6A72"/>
    <w:rsid w:val="006C165E"/>
    <w:rsid w:val="006C614D"/>
    <w:rsid w:val="006F7763"/>
    <w:rsid w:val="0071024C"/>
    <w:rsid w:val="00710C91"/>
    <w:rsid w:val="00710D55"/>
    <w:rsid w:val="00712C67"/>
    <w:rsid w:val="00713951"/>
    <w:rsid w:val="0072029C"/>
    <w:rsid w:val="00721501"/>
    <w:rsid w:val="007220DF"/>
    <w:rsid w:val="00722E09"/>
    <w:rsid w:val="00727E45"/>
    <w:rsid w:val="00732FF8"/>
    <w:rsid w:val="007346D4"/>
    <w:rsid w:val="00743F52"/>
    <w:rsid w:val="007547F3"/>
    <w:rsid w:val="007561A1"/>
    <w:rsid w:val="00781E22"/>
    <w:rsid w:val="00784CF5"/>
    <w:rsid w:val="007944F1"/>
    <w:rsid w:val="007B3C82"/>
    <w:rsid w:val="007C47FB"/>
    <w:rsid w:val="007D0F62"/>
    <w:rsid w:val="007E2D82"/>
    <w:rsid w:val="007E2F05"/>
    <w:rsid w:val="007E405A"/>
    <w:rsid w:val="007F1CE6"/>
    <w:rsid w:val="008005CB"/>
    <w:rsid w:val="00806D9D"/>
    <w:rsid w:val="008204C3"/>
    <w:rsid w:val="00821956"/>
    <w:rsid w:val="0082246D"/>
    <w:rsid w:val="00823064"/>
    <w:rsid w:val="00836786"/>
    <w:rsid w:val="00837851"/>
    <w:rsid w:val="0084054F"/>
    <w:rsid w:val="00847A41"/>
    <w:rsid w:val="00862A3D"/>
    <w:rsid w:val="00873323"/>
    <w:rsid w:val="00873AEA"/>
    <w:rsid w:val="008767D5"/>
    <w:rsid w:val="00876F07"/>
    <w:rsid w:val="0088678B"/>
    <w:rsid w:val="008924E0"/>
    <w:rsid w:val="008949D4"/>
    <w:rsid w:val="00894D8D"/>
    <w:rsid w:val="00896EC9"/>
    <w:rsid w:val="00897D66"/>
    <w:rsid w:val="008B0544"/>
    <w:rsid w:val="008B1738"/>
    <w:rsid w:val="008B71CD"/>
    <w:rsid w:val="008B75F4"/>
    <w:rsid w:val="008B7BAD"/>
    <w:rsid w:val="008C4425"/>
    <w:rsid w:val="008C50BD"/>
    <w:rsid w:val="008D7229"/>
    <w:rsid w:val="008E39DD"/>
    <w:rsid w:val="008F41C7"/>
    <w:rsid w:val="008F493D"/>
    <w:rsid w:val="008F5502"/>
    <w:rsid w:val="008F5857"/>
    <w:rsid w:val="00901C9A"/>
    <w:rsid w:val="009045AE"/>
    <w:rsid w:val="00904F3B"/>
    <w:rsid w:val="00917361"/>
    <w:rsid w:val="00921586"/>
    <w:rsid w:val="00923890"/>
    <w:rsid w:val="009260F9"/>
    <w:rsid w:val="0093443D"/>
    <w:rsid w:val="00937DE6"/>
    <w:rsid w:val="00943399"/>
    <w:rsid w:val="009539B0"/>
    <w:rsid w:val="00954FA1"/>
    <w:rsid w:val="009574E0"/>
    <w:rsid w:val="00960135"/>
    <w:rsid w:val="00960476"/>
    <w:rsid w:val="0096074E"/>
    <w:rsid w:val="00961902"/>
    <w:rsid w:val="00972641"/>
    <w:rsid w:val="00982015"/>
    <w:rsid w:val="00995F03"/>
    <w:rsid w:val="009B2779"/>
    <w:rsid w:val="009B3051"/>
    <w:rsid w:val="009B5031"/>
    <w:rsid w:val="009B55EF"/>
    <w:rsid w:val="009C2C87"/>
    <w:rsid w:val="009C7150"/>
    <w:rsid w:val="009D7183"/>
    <w:rsid w:val="009E3C8C"/>
    <w:rsid w:val="009F1BE8"/>
    <w:rsid w:val="009F62D9"/>
    <w:rsid w:val="00A14DCA"/>
    <w:rsid w:val="00A219D3"/>
    <w:rsid w:val="00A229C5"/>
    <w:rsid w:val="00A2399F"/>
    <w:rsid w:val="00A23D47"/>
    <w:rsid w:val="00A25C46"/>
    <w:rsid w:val="00A26852"/>
    <w:rsid w:val="00A329BB"/>
    <w:rsid w:val="00A36966"/>
    <w:rsid w:val="00A4009F"/>
    <w:rsid w:val="00A4168F"/>
    <w:rsid w:val="00A465EE"/>
    <w:rsid w:val="00A50156"/>
    <w:rsid w:val="00A50B7C"/>
    <w:rsid w:val="00A532F3"/>
    <w:rsid w:val="00A73E77"/>
    <w:rsid w:val="00A80AB4"/>
    <w:rsid w:val="00A84892"/>
    <w:rsid w:val="00A90978"/>
    <w:rsid w:val="00A90AA4"/>
    <w:rsid w:val="00A92E28"/>
    <w:rsid w:val="00A936D0"/>
    <w:rsid w:val="00A93DED"/>
    <w:rsid w:val="00AA0DCC"/>
    <w:rsid w:val="00AA4777"/>
    <w:rsid w:val="00AC068F"/>
    <w:rsid w:val="00AC115B"/>
    <w:rsid w:val="00AC75F6"/>
    <w:rsid w:val="00AD04AC"/>
    <w:rsid w:val="00AD1982"/>
    <w:rsid w:val="00AE131A"/>
    <w:rsid w:val="00AE13B6"/>
    <w:rsid w:val="00AE154C"/>
    <w:rsid w:val="00AE1F8A"/>
    <w:rsid w:val="00AE2931"/>
    <w:rsid w:val="00AE54AE"/>
    <w:rsid w:val="00AF5381"/>
    <w:rsid w:val="00B013F7"/>
    <w:rsid w:val="00B0602F"/>
    <w:rsid w:val="00B14C71"/>
    <w:rsid w:val="00B14E0B"/>
    <w:rsid w:val="00B179E9"/>
    <w:rsid w:val="00B21B63"/>
    <w:rsid w:val="00B22F8B"/>
    <w:rsid w:val="00B22F91"/>
    <w:rsid w:val="00B23442"/>
    <w:rsid w:val="00B33985"/>
    <w:rsid w:val="00B40EB2"/>
    <w:rsid w:val="00B46C22"/>
    <w:rsid w:val="00B479F6"/>
    <w:rsid w:val="00B622A2"/>
    <w:rsid w:val="00B63C80"/>
    <w:rsid w:val="00B66391"/>
    <w:rsid w:val="00B75680"/>
    <w:rsid w:val="00B805A4"/>
    <w:rsid w:val="00B813E4"/>
    <w:rsid w:val="00B872FB"/>
    <w:rsid w:val="00B9020C"/>
    <w:rsid w:val="00BA338B"/>
    <w:rsid w:val="00BA3EA3"/>
    <w:rsid w:val="00BA75E0"/>
    <w:rsid w:val="00BB20E5"/>
    <w:rsid w:val="00BB314F"/>
    <w:rsid w:val="00BB6F76"/>
    <w:rsid w:val="00BC0D69"/>
    <w:rsid w:val="00BD32E1"/>
    <w:rsid w:val="00BD6891"/>
    <w:rsid w:val="00BE386A"/>
    <w:rsid w:val="00C020AD"/>
    <w:rsid w:val="00C03ACB"/>
    <w:rsid w:val="00C055F7"/>
    <w:rsid w:val="00C05CAF"/>
    <w:rsid w:val="00C05D46"/>
    <w:rsid w:val="00C27E79"/>
    <w:rsid w:val="00C31F37"/>
    <w:rsid w:val="00C3780B"/>
    <w:rsid w:val="00C47B67"/>
    <w:rsid w:val="00C55841"/>
    <w:rsid w:val="00C66C5E"/>
    <w:rsid w:val="00C759BD"/>
    <w:rsid w:val="00C80F81"/>
    <w:rsid w:val="00C84FCA"/>
    <w:rsid w:val="00C86A33"/>
    <w:rsid w:val="00C87E19"/>
    <w:rsid w:val="00C959DB"/>
    <w:rsid w:val="00CA4033"/>
    <w:rsid w:val="00CB55CF"/>
    <w:rsid w:val="00CB62FB"/>
    <w:rsid w:val="00CB72D5"/>
    <w:rsid w:val="00CB78E4"/>
    <w:rsid w:val="00CB7F6D"/>
    <w:rsid w:val="00CC2BB9"/>
    <w:rsid w:val="00CC5215"/>
    <w:rsid w:val="00CC5E8E"/>
    <w:rsid w:val="00CD0175"/>
    <w:rsid w:val="00CD3C0D"/>
    <w:rsid w:val="00CE17DB"/>
    <w:rsid w:val="00CE6460"/>
    <w:rsid w:val="00CE78AE"/>
    <w:rsid w:val="00CF5547"/>
    <w:rsid w:val="00CF6784"/>
    <w:rsid w:val="00CF6CAD"/>
    <w:rsid w:val="00D01C69"/>
    <w:rsid w:val="00D05FB8"/>
    <w:rsid w:val="00D0639C"/>
    <w:rsid w:val="00D12CB7"/>
    <w:rsid w:val="00D165ED"/>
    <w:rsid w:val="00D20601"/>
    <w:rsid w:val="00D2256F"/>
    <w:rsid w:val="00D25E06"/>
    <w:rsid w:val="00D27AA7"/>
    <w:rsid w:val="00D303CE"/>
    <w:rsid w:val="00D350C1"/>
    <w:rsid w:val="00D43B2F"/>
    <w:rsid w:val="00D55A79"/>
    <w:rsid w:val="00D60FCA"/>
    <w:rsid w:val="00D65DFC"/>
    <w:rsid w:val="00D75112"/>
    <w:rsid w:val="00D77F03"/>
    <w:rsid w:val="00D84F43"/>
    <w:rsid w:val="00D92AEA"/>
    <w:rsid w:val="00D942D2"/>
    <w:rsid w:val="00D96720"/>
    <w:rsid w:val="00DA140A"/>
    <w:rsid w:val="00DB48F3"/>
    <w:rsid w:val="00DB5177"/>
    <w:rsid w:val="00DB523B"/>
    <w:rsid w:val="00DB6D65"/>
    <w:rsid w:val="00DC0295"/>
    <w:rsid w:val="00DC1A6B"/>
    <w:rsid w:val="00DD1CE7"/>
    <w:rsid w:val="00DD3DA8"/>
    <w:rsid w:val="00DE200E"/>
    <w:rsid w:val="00DF0C89"/>
    <w:rsid w:val="00E11C28"/>
    <w:rsid w:val="00E22BE0"/>
    <w:rsid w:val="00E26F60"/>
    <w:rsid w:val="00E330B9"/>
    <w:rsid w:val="00E363F8"/>
    <w:rsid w:val="00E50B3C"/>
    <w:rsid w:val="00E54585"/>
    <w:rsid w:val="00E619CE"/>
    <w:rsid w:val="00E70B26"/>
    <w:rsid w:val="00E747D4"/>
    <w:rsid w:val="00E8275A"/>
    <w:rsid w:val="00EA075D"/>
    <w:rsid w:val="00EC37A9"/>
    <w:rsid w:val="00EC4D30"/>
    <w:rsid w:val="00EC6F7C"/>
    <w:rsid w:val="00ED5E2B"/>
    <w:rsid w:val="00EF01F2"/>
    <w:rsid w:val="00EF5AD3"/>
    <w:rsid w:val="00EF6549"/>
    <w:rsid w:val="00F01B68"/>
    <w:rsid w:val="00F01FEA"/>
    <w:rsid w:val="00F03426"/>
    <w:rsid w:val="00F037DC"/>
    <w:rsid w:val="00F05055"/>
    <w:rsid w:val="00F14D7E"/>
    <w:rsid w:val="00F21ADB"/>
    <w:rsid w:val="00F23BF9"/>
    <w:rsid w:val="00F243C9"/>
    <w:rsid w:val="00F33CDA"/>
    <w:rsid w:val="00F3435D"/>
    <w:rsid w:val="00F4270A"/>
    <w:rsid w:val="00F43CED"/>
    <w:rsid w:val="00F456D3"/>
    <w:rsid w:val="00F4787D"/>
    <w:rsid w:val="00F500B4"/>
    <w:rsid w:val="00F51CFD"/>
    <w:rsid w:val="00F65445"/>
    <w:rsid w:val="00F77E59"/>
    <w:rsid w:val="00F81AE1"/>
    <w:rsid w:val="00F83377"/>
    <w:rsid w:val="00F835A5"/>
    <w:rsid w:val="00F85D7E"/>
    <w:rsid w:val="00F94B68"/>
    <w:rsid w:val="00F9605A"/>
    <w:rsid w:val="00FA0C65"/>
    <w:rsid w:val="00FB53BB"/>
    <w:rsid w:val="00FC2278"/>
    <w:rsid w:val="00FE3FA4"/>
    <w:rsid w:val="00FE76FF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249E7-418B-4F99-9CD0-EEE9F209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4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4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4E4A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57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E76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E76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F7"/>
  </w:style>
  <w:style w:type="paragraph" w:styleId="Footer">
    <w:name w:val="footer"/>
    <w:basedOn w:val="Normal"/>
    <w:link w:val="FooterChar"/>
    <w:uiPriority w:val="99"/>
    <w:unhideWhenUsed/>
    <w:rsid w:val="00B01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F7"/>
  </w:style>
  <w:style w:type="character" w:styleId="CommentReference">
    <w:name w:val="annotation reference"/>
    <w:basedOn w:val="DefaultParagraphFont"/>
    <w:uiPriority w:val="99"/>
    <w:semiHidden/>
    <w:unhideWhenUsed/>
    <w:rsid w:val="00357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53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20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D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CD5A-0442-4307-89B2-7B5561FC7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E74EC-371E-4D1C-BBE0-C0122179D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SPHHP IT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Pavani Ram</dc:creator>
  <cp:lastModifiedBy>Ram, Pavani</cp:lastModifiedBy>
  <cp:revision>4</cp:revision>
  <cp:lastPrinted>2012-11-09T19:43:00Z</cp:lastPrinted>
  <dcterms:created xsi:type="dcterms:W3CDTF">2015-02-03T13:36:00Z</dcterms:created>
  <dcterms:modified xsi:type="dcterms:W3CDTF">2015-02-03T13:54:00Z</dcterms:modified>
</cp:coreProperties>
</file>