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F" w:rsidRDefault="00DF051F" w:rsidP="0079217E">
      <w:pPr>
        <w:pStyle w:val="BATitle"/>
      </w:pPr>
      <w:bookmarkStart w:id="0" w:name="_GoBack"/>
      <w:bookmarkEnd w:id="0"/>
      <w:r>
        <w:t>Supplemental Information for</w:t>
      </w:r>
    </w:p>
    <w:p w:rsidR="0079217E" w:rsidRPr="00A24F0D" w:rsidRDefault="0079217E" w:rsidP="0079217E">
      <w:pPr>
        <w:pStyle w:val="BATitle"/>
      </w:pPr>
      <w:r>
        <w:t xml:space="preserve">Increasing Sample Size in Prospective Birth Cohorts: </w:t>
      </w:r>
      <w:r w:rsidRPr="00A24F0D">
        <w:t>Back-Extrapolating Prenatal Levels</w:t>
      </w:r>
      <w:r>
        <w:t xml:space="preserve"> of Persistent Organic Pollutants</w:t>
      </w:r>
      <w:r w:rsidRPr="00A24F0D">
        <w:t xml:space="preserve"> </w:t>
      </w:r>
      <w:r>
        <w:t>in Newly Enrolled Children</w:t>
      </w:r>
    </w:p>
    <w:p w:rsidR="00DF051F" w:rsidRPr="004A219F" w:rsidRDefault="00DF051F" w:rsidP="00DF051F">
      <w:pPr>
        <w:pStyle w:val="BBAuthorName"/>
        <w:rPr>
          <w:lang w:val="fr-CA"/>
        </w:rPr>
      </w:pPr>
      <w:r w:rsidRPr="004A219F">
        <w:rPr>
          <w:lang w:val="fr-CA"/>
        </w:rPr>
        <w:t>Marc-André Verner</w:t>
      </w:r>
      <w:r w:rsidRPr="006B6B53">
        <w:rPr>
          <w:vertAlign w:val="superscript"/>
          <w:lang w:val="fr-CA"/>
        </w:rPr>
        <w:t>1</w:t>
      </w:r>
      <w:r>
        <w:rPr>
          <w:vertAlign w:val="superscript"/>
          <w:lang w:val="fr-CA"/>
        </w:rPr>
        <w:t>,2*</w:t>
      </w:r>
      <w:r w:rsidRPr="004A219F">
        <w:rPr>
          <w:lang w:val="fr-CA"/>
        </w:rPr>
        <w:t xml:space="preserve">, Fraser </w:t>
      </w:r>
      <w:r>
        <w:rPr>
          <w:lang w:val="fr-CA"/>
        </w:rPr>
        <w:t xml:space="preserve">W. </w:t>
      </w:r>
      <w:r w:rsidRPr="004A219F">
        <w:rPr>
          <w:lang w:val="fr-CA"/>
        </w:rPr>
        <w:t>Gaspar</w:t>
      </w:r>
      <w:r>
        <w:rPr>
          <w:vertAlign w:val="superscript"/>
          <w:lang w:val="fr-CA"/>
        </w:rPr>
        <w:t>3</w:t>
      </w:r>
      <w:r w:rsidRPr="004A219F">
        <w:rPr>
          <w:lang w:val="fr-CA"/>
        </w:rPr>
        <w:t xml:space="preserve">, Jonathan </w:t>
      </w:r>
      <w:r w:rsidRPr="00310407">
        <w:rPr>
          <w:lang w:val="fr-CA"/>
        </w:rPr>
        <w:t>Chevrier</w:t>
      </w:r>
      <w:r>
        <w:rPr>
          <w:vertAlign w:val="superscript"/>
          <w:lang w:val="fr-CA"/>
        </w:rPr>
        <w:t>3,4</w:t>
      </w:r>
      <w:r w:rsidRPr="004A219F">
        <w:rPr>
          <w:lang w:val="fr-CA"/>
        </w:rPr>
        <w:t xml:space="preserve">, </w:t>
      </w:r>
      <w:r>
        <w:rPr>
          <w:lang w:val="fr-CA"/>
        </w:rPr>
        <w:t>Robert B. Gunier</w:t>
      </w:r>
      <w:r>
        <w:rPr>
          <w:vertAlign w:val="superscript"/>
          <w:lang w:val="fr-CA"/>
        </w:rPr>
        <w:t>3</w:t>
      </w:r>
      <w:r w:rsidRPr="004A219F">
        <w:rPr>
          <w:lang w:val="fr-CA"/>
        </w:rPr>
        <w:t>,</w:t>
      </w:r>
      <w:r>
        <w:rPr>
          <w:lang w:val="fr-CA"/>
        </w:rPr>
        <w:t xml:space="preserve"> Andreas Sjödin</w:t>
      </w:r>
      <w:r>
        <w:rPr>
          <w:vertAlign w:val="superscript"/>
          <w:lang w:val="fr-CA"/>
        </w:rPr>
        <w:t>5</w:t>
      </w:r>
      <w:r>
        <w:rPr>
          <w:lang w:val="fr-CA"/>
        </w:rPr>
        <w:t xml:space="preserve">, </w:t>
      </w:r>
      <w:r w:rsidRPr="004A219F">
        <w:rPr>
          <w:lang w:val="fr-CA"/>
        </w:rPr>
        <w:t>Asa Bradman</w:t>
      </w:r>
      <w:r>
        <w:rPr>
          <w:vertAlign w:val="superscript"/>
          <w:lang w:val="fr-CA"/>
        </w:rPr>
        <w:t>3</w:t>
      </w:r>
      <w:r w:rsidRPr="004A219F">
        <w:rPr>
          <w:lang w:val="fr-CA"/>
        </w:rPr>
        <w:t>, Brenda Eskenazi</w:t>
      </w:r>
      <w:r>
        <w:rPr>
          <w:vertAlign w:val="superscript"/>
          <w:lang w:val="fr-CA"/>
        </w:rPr>
        <w:t>3</w:t>
      </w:r>
    </w:p>
    <w:p w:rsidR="0079217E" w:rsidRPr="00746D8E" w:rsidRDefault="0079217E" w:rsidP="0079217E">
      <w:pPr>
        <w:pStyle w:val="BCAuthorAddress"/>
        <w:rPr>
          <w:lang w:val="en-CA"/>
        </w:rPr>
      </w:pPr>
      <w:r w:rsidRPr="006B6B53">
        <w:rPr>
          <w:vertAlign w:val="superscript"/>
          <w:lang w:val="en-CA"/>
        </w:rPr>
        <w:t>1</w:t>
      </w:r>
      <w:r>
        <w:rPr>
          <w:lang w:val="en-CA"/>
        </w:rPr>
        <w:t xml:space="preserve">Department of Occupational and Environmental Health, School of Public Health, </w:t>
      </w:r>
      <w:proofErr w:type="spellStart"/>
      <w:r>
        <w:rPr>
          <w:lang w:val="en-CA"/>
        </w:rPr>
        <w:t>Université</w:t>
      </w:r>
      <w:proofErr w:type="spellEnd"/>
      <w:r>
        <w:rPr>
          <w:lang w:val="en-CA"/>
        </w:rPr>
        <w:t xml:space="preserve"> de Montréal, Montreal, Canada</w:t>
      </w:r>
    </w:p>
    <w:p w:rsidR="0079217E" w:rsidRPr="00211C33" w:rsidRDefault="0079217E" w:rsidP="0079217E">
      <w:pPr>
        <w:pStyle w:val="BCAuthorAddress"/>
        <w:rPr>
          <w:lang w:val="en-CA"/>
        </w:rPr>
      </w:pPr>
      <w:r w:rsidRPr="006B6B53">
        <w:rPr>
          <w:vertAlign w:val="superscript"/>
          <w:lang w:val="en-CA"/>
        </w:rPr>
        <w:t>2</w:t>
      </w:r>
      <w:r>
        <w:rPr>
          <w:lang w:val="en-CA"/>
        </w:rPr>
        <w:t xml:space="preserve">Université de Montréal Public Health Research Institute (IRSPUM), </w:t>
      </w:r>
      <w:proofErr w:type="spellStart"/>
      <w:r>
        <w:rPr>
          <w:lang w:val="en-CA"/>
        </w:rPr>
        <w:t>Université</w:t>
      </w:r>
      <w:proofErr w:type="spellEnd"/>
      <w:r>
        <w:rPr>
          <w:lang w:val="en-CA"/>
        </w:rPr>
        <w:t xml:space="preserve"> de Montréal, Montreal, Canada</w:t>
      </w:r>
    </w:p>
    <w:p w:rsidR="00DF051F" w:rsidRDefault="00DF051F" w:rsidP="00DF051F">
      <w:pPr>
        <w:pStyle w:val="BCAuthorAddress"/>
        <w:rPr>
          <w:lang w:val="en-CA"/>
        </w:rPr>
      </w:pPr>
      <w:r>
        <w:rPr>
          <w:vertAlign w:val="superscript"/>
          <w:lang w:val="en-CA"/>
        </w:rPr>
        <w:t>3</w:t>
      </w:r>
      <w:r>
        <w:rPr>
          <w:lang w:val="en-CA"/>
        </w:rPr>
        <w:t>Center for Environmental Research and Children’s Health (CERCH), School of Public Health, University of California, Berkeley, Berkeley, CA, USA.</w:t>
      </w:r>
    </w:p>
    <w:p w:rsidR="00DF051F" w:rsidRDefault="00DF051F" w:rsidP="00DF051F">
      <w:pPr>
        <w:pStyle w:val="BCAuthorAddress"/>
        <w:rPr>
          <w:lang w:val="en-CA"/>
        </w:rPr>
      </w:pPr>
      <w:proofErr w:type="gramStart"/>
      <w:r>
        <w:rPr>
          <w:vertAlign w:val="superscript"/>
          <w:lang w:val="en-CA"/>
        </w:rPr>
        <w:lastRenderedPageBreak/>
        <w:t>4</w:t>
      </w:r>
      <w:r>
        <w:rPr>
          <w:lang w:val="en-CA"/>
        </w:rPr>
        <w:t>Department of Epidemiology, Biostatistics and Occupational Health, Faculty of Medicine, McGill University, Montreal, QC, Canada.</w:t>
      </w:r>
      <w:proofErr w:type="gramEnd"/>
    </w:p>
    <w:p w:rsidR="00DF051F" w:rsidRDefault="00DF051F" w:rsidP="00DF051F">
      <w:pPr>
        <w:pStyle w:val="BCAuthorAddress"/>
        <w:rPr>
          <w:lang w:val="en-CA"/>
        </w:rPr>
      </w:pPr>
      <w:proofErr w:type="gramStart"/>
      <w:r>
        <w:rPr>
          <w:vertAlign w:val="superscript"/>
          <w:lang w:val="en-CA"/>
        </w:rPr>
        <w:t>5</w:t>
      </w:r>
      <w:r>
        <w:rPr>
          <w:lang w:val="en-CA"/>
        </w:rPr>
        <w:t>Division of Laboratory Sciences, National Center for Environmental Health, Centers for Disease Control and Prevention, Atlanta, GA, USA.</w:t>
      </w:r>
      <w:proofErr w:type="gramEnd"/>
    </w:p>
    <w:p w:rsidR="00824CEB" w:rsidRDefault="00824CEB">
      <w:pPr>
        <w:spacing w:after="0"/>
        <w:jc w:val="left"/>
        <w:rPr>
          <w:b/>
          <w:lang w:val="en-CA"/>
        </w:rPr>
      </w:pPr>
      <w:r>
        <w:rPr>
          <w:b/>
          <w:lang w:val="en-CA"/>
        </w:rPr>
        <w:br w:type="page"/>
      </w:r>
    </w:p>
    <w:p w:rsidR="0079086C" w:rsidRPr="0079086C" w:rsidRDefault="0079086C" w:rsidP="0079086C">
      <w:pPr>
        <w:pStyle w:val="BIEmailAddress"/>
        <w:rPr>
          <w:b/>
          <w:lang w:val="en-CA"/>
        </w:rPr>
      </w:pPr>
      <w:r w:rsidRPr="0079086C">
        <w:rPr>
          <w:b/>
          <w:lang w:val="en-CA"/>
        </w:rPr>
        <w:lastRenderedPageBreak/>
        <w:t>TABLE OF CONTENTS</w:t>
      </w:r>
    </w:p>
    <w:p w:rsidR="003066DE" w:rsidRDefault="003066D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TOC \h \z \t "TOC Heading" \c </w:instrText>
      </w:r>
      <w:r>
        <w:rPr>
          <w:lang w:val="en-CA"/>
        </w:rPr>
        <w:fldChar w:fldCharType="separate"/>
      </w:r>
      <w:hyperlink w:anchor="_Toc408235692" w:history="1">
        <w:r w:rsidRPr="00E03A28">
          <w:rPr>
            <w:rStyle w:val="Hyperlink"/>
            <w:noProof/>
          </w:rPr>
          <w:t>Table S1. Cross-validated algorithm MSEs (weights) in the Super</w:t>
        </w:r>
        <w:r w:rsidR="00911398">
          <w:rPr>
            <w:rStyle w:val="Hyperlink"/>
            <w:noProof/>
          </w:rPr>
          <w:t xml:space="preserve"> </w:t>
        </w:r>
        <w:r w:rsidRPr="00E03A28">
          <w:rPr>
            <w:rStyle w:val="Hyperlink"/>
            <w:noProof/>
          </w:rPr>
          <w:t>Learner by subset</w:t>
        </w:r>
        <w:r>
          <w:rPr>
            <w:noProof/>
            <w:webHidden/>
          </w:rPr>
          <w:tab/>
        </w:r>
        <w:r w:rsidR="00307AA4">
          <w:rPr>
            <w:noProof/>
            <w:webHidden/>
          </w:rPr>
          <w:t>S4</w:t>
        </w:r>
      </w:hyperlink>
    </w:p>
    <w:p w:rsidR="003066DE" w:rsidRDefault="003E639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235693" w:history="1">
        <w:r w:rsidR="003066DE" w:rsidRPr="00E03A28">
          <w:rPr>
            <w:rStyle w:val="Hyperlink"/>
            <w:noProof/>
          </w:rPr>
          <w:t>Table S2. DSA prediction equations for p,p’-DDT/E and PBDEs using child 9-year serum levels (n=161)</w:t>
        </w:r>
        <w:r w:rsidR="003066DE">
          <w:rPr>
            <w:noProof/>
            <w:webHidden/>
          </w:rPr>
          <w:tab/>
        </w:r>
        <w:r w:rsidR="00307AA4">
          <w:rPr>
            <w:noProof/>
            <w:webHidden/>
          </w:rPr>
          <w:t>S8</w:t>
        </w:r>
      </w:hyperlink>
    </w:p>
    <w:p w:rsidR="003066DE" w:rsidRDefault="003E639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235694" w:history="1">
        <w:r w:rsidR="003066DE" w:rsidRPr="00E03A28">
          <w:rPr>
            <w:rStyle w:val="Hyperlink"/>
            <w:noProof/>
          </w:rPr>
          <w:t xml:space="preserve">Table S3. DSA prediction equations for </w:t>
        </w:r>
        <w:r w:rsidR="003066DE" w:rsidRPr="00E03A28">
          <w:rPr>
            <w:rStyle w:val="Hyperlink"/>
            <w:i/>
            <w:noProof/>
          </w:rPr>
          <w:t>p,p’</w:t>
        </w:r>
        <w:r w:rsidR="003066DE" w:rsidRPr="00E03A28">
          <w:rPr>
            <w:rStyle w:val="Hyperlink"/>
            <w:noProof/>
          </w:rPr>
          <w:t>-DDT/E and PBDEs using both maternal and child 9-year serum levels (n=89)</w:t>
        </w:r>
        <w:r w:rsidR="003066DE">
          <w:rPr>
            <w:noProof/>
            <w:webHidden/>
          </w:rPr>
          <w:tab/>
        </w:r>
        <w:r w:rsidR="00307AA4">
          <w:rPr>
            <w:noProof/>
            <w:webHidden/>
          </w:rPr>
          <w:t>S11</w:t>
        </w:r>
      </w:hyperlink>
    </w:p>
    <w:p w:rsidR="003066DE" w:rsidRDefault="003E639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235695" w:history="1">
        <w:r w:rsidR="003066DE" w:rsidRPr="00E03A28">
          <w:rPr>
            <w:rStyle w:val="Hyperlink"/>
            <w:bCs/>
            <w:noProof/>
          </w:rPr>
          <w:t>Figure S1.</w:t>
        </w:r>
        <w:r w:rsidR="003066DE" w:rsidRPr="00E03A28">
          <w:rPr>
            <w:rStyle w:val="Hyperlink"/>
            <w:noProof/>
          </w:rPr>
          <w:t xml:space="preserve"> Scatterplots of back-extrapolated versus measured prenatal (~26 weeks gestation) serum concentrations of </w:t>
        </w:r>
        <w:r w:rsidR="003066DE" w:rsidRPr="00E03A28">
          <w:rPr>
            <w:rStyle w:val="Hyperlink"/>
            <w:i/>
            <w:noProof/>
          </w:rPr>
          <w:t>p,p’</w:t>
        </w:r>
        <w:r w:rsidR="003066DE" w:rsidRPr="00E03A28">
          <w:rPr>
            <w:rStyle w:val="Hyperlink"/>
            <w:noProof/>
          </w:rPr>
          <w:t>-DDT/E and PBDEs using 9-year child serum levels (n=161). Root mean squared errors (RMSEs) and correlation coefficients (R</w:t>
        </w:r>
        <w:r w:rsidR="003066DE" w:rsidRPr="00E03A28">
          <w:rPr>
            <w:rStyle w:val="Hyperlink"/>
            <w:noProof/>
            <w:vertAlign w:val="superscript"/>
          </w:rPr>
          <w:t>2</w:t>
        </w:r>
        <w:r w:rsidR="003066DE" w:rsidRPr="00E03A28">
          <w:rPr>
            <w:rStyle w:val="Hyperlink"/>
            <w:noProof/>
          </w:rPr>
          <w:t>s) were calculated comparing the linear fit of back-extrapolated and measured log</w:t>
        </w:r>
        <w:r w:rsidR="003066DE" w:rsidRPr="00E03A28">
          <w:rPr>
            <w:rStyle w:val="Hyperlink"/>
            <w:noProof/>
            <w:vertAlign w:val="subscript"/>
          </w:rPr>
          <w:t>10</w:t>
        </w:r>
        <w:r w:rsidR="003066DE" w:rsidRPr="00E03A28">
          <w:rPr>
            <w:rStyle w:val="Hyperlink"/>
            <w:noProof/>
          </w:rPr>
          <w:t xml:space="preserve"> serum levels (red line). Black line represents perfect back-extrapolation. SL = Super</w:t>
        </w:r>
        <w:r w:rsidR="00911398">
          <w:rPr>
            <w:rStyle w:val="Hyperlink"/>
            <w:noProof/>
          </w:rPr>
          <w:t xml:space="preserve"> </w:t>
        </w:r>
        <w:r w:rsidR="003066DE" w:rsidRPr="00E03A28">
          <w:rPr>
            <w:rStyle w:val="Hyperlink"/>
            <w:noProof/>
          </w:rPr>
          <w:t>Learner, DSA = Deletion/ Substitution/ Addition, and PK = pharmacokinetic model.</w:t>
        </w:r>
        <w:r w:rsidR="003066DE">
          <w:rPr>
            <w:noProof/>
            <w:webHidden/>
          </w:rPr>
          <w:tab/>
        </w:r>
        <w:r w:rsidR="00307AA4">
          <w:rPr>
            <w:noProof/>
            <w:webHidden/>
          </w:rPr>
          <w:t>S1</w:t>
        </w:r>
        <w:r w:rsidR="00816C55">
          <w:rPr>
            <w:noProof/>
            <w:webHidden/>
          </w:rPr>
          <w:t>3</w:t>
        </w:r>
      </w:hyperlink>
    </w:p>
    <w:p w:rsidR="003066DE" w:rsidRDefault="003E639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235696" w:history="1">
        <w:r w:rsidR="003066DE" w:rsidRPr="00E03A28">
          <w:rPr>
            <w:rStyle w:val="Hyperlink"/>
            <w:noProof/>
          </w:rPr>
          <w:t xml:space="preserve">Figure S2. Scatterplots of back-extrapolated versus measured prenatal (~26 weeks gestation) serum concentrations of </w:t>
        </w:r>
        <w:r w:rsidR="003066DE" w:rsidRPr="00E03A28">
          <w:rPr>
            <w:rStyle w:val="Hyperlink"/>
            <w:i/>
            <w:noProof/>
          </w:rPr>
          <w:t>p,p’</w:t>
        </w:r>
        <w:r w:rsidR="003066DE" w:rsidRPr="00E03A28">
          <w:rPr>
            <w:rStyle w:val="Hyperlink"/>
            <w:noProof/>
          </w:rPr>
          <w:t>-DDT/E and PBDEs using both 9-year maternal and child serum levels (n=89). Root mean squared errors (RMSEs) and correlation coefficients (R</w:t>
        </w:r>
        <w:r w:rsidR="003066DE" w:rsidRPr="00E03A28">
          <w:rPr>
            <w:rStyle w:val="Hyperlink"/>
            <w:noProof/>
            <w:vertAlign w:val="superscript"/>
          </w:rPr>
          <w:t>2</w:t>
        </w:r>
        <w:r w:rsidR="003066DE" w:rsidRPr="00E03A28">
          <w:rPr>
            <w:rStyle w:val="Hyperlink"/>
            <w:noProof/>
          </w:rPr>
          <w:t>s) were calculated comparing the linear fit of back-extrapolated and measured log</w:t>
        </w:r>
        <w:r w:rsidR="003066DE" w:rsidRPr="00E03A28">
          <w:rPr>
            <w:rStyle w:val="Hyperlink"/>
            <w:noProof/>
            <w:vertAlign w:val="subscript"/>
          </w:rPr>
          <w:t>10</w:t>
        </w:r>
        <w:r w:rsidR="003066DE" w:rsidRPr="00E03A28">
          <w:rPr>
            <w:rStyle w:val="Hyperlink"/>
            <w:noProof/>
          </w:rPr>
          <w:t xml:space="preserve"> serum levels (red line). Black line represents perfect back-extrapolation. SL = Super</w:t>
        </w:r>
        <w:r w:rsidR="00911398">
          <w:rPr>
            <w:rStyle w:val="Hyperlink"/>
            <w:noProof/>
          </w:rPr>
          <w:t xml:space="preserve"> </w:t>
        </w:r>
        <w:r w:rsidR="003066DE" w:rsidRPr="00E03A28">
          <w:rPr>
            <w:rStyle w:val="Hyperlink"/>
            <w:noProof/>
          </w:rPr>
          <w:t>Learner and DSA = Deletion/ Substitution/ Addition.</w:t>
        </w:r>
        <w:r w:rsidR="003066DE">
          <w:rPr>
            <w:noProof/>
            <w:webHidden/>
          </w:rPr>
          <w:tab/>
        </w:r>
        <w:r w:rsidR="00307AA4">
          <w:rPr>
            <w:noProof/>
            <w:webHidden/>
          </w:rPr>
          <w:t>S1</w:t>
        </w:r>
        <w:r w:rsidR="00816C55">
          <w:rPr>
            <w:noProof/>
            <w:webHidden/>
          </w:rPr>
          <w:t>4</w:t>
        </w:r>
      </w:hyperlink>
    </w:p>
    <w:p w:rsidR="0079086C" w:rsidRDefault="003066DE" w:rsidP="00DF051F">
      <w:pPr>
        <w:rPr>
          <w:lang w:val="en-CA"/>
        </w:rPr>
      </w:pPr>
      <w:r>
        <w:rPr>
          <w:lang w:val="en-CA"/>
        </w:rPr>
        <w:fldChar w:fldCharType="end"/>
      </w:r>
    </w:p>
    <w:p w:rsidR="00DF051F" w:rsidRPr="001C7347" w:rsidRDefault="00DF051F" w:rsidP="00DF051F">
      <w:pPr>
        <w:spacing w:line="480" w:lineRule="auto"/>
        <w:contextualSpacing/>
        <w:rPr>
          <w:lang w:val="en-CA"/>
        </w:rPr>
        <w:sectPr w:rsidR="00DF051F" w:rsidRPr="001C7347" w:rsidSect="00DF051F">
          <w:footerReference w:type="default" r:id="rId9"/>
          <w:type w:val="continuous"/>
          <w:pgSz w:w="12240" w:h="15840"/>
          <w:pgMar w:top="1800" w:right="1440" w:bottom="1800" w:left="1440" w:header="708" w:footer="708" w:gutter="0"/>
          <w:cols w:space="708"/>
          <w:docGrid w:linePitch="360"/>
        </w:sectPr>
      </w:pPr>
    </w:p>
    <w:p w:rsidR="00DF051F" w:rsidRPr="0079086C" w:rsidRDefault="00DF051F" w:rsidP="0079086C">
      <w:pPr>
        <w:pStyle w:val="TOCHeading"/>
      </w:pPr>
      <w:bookmarkStart w:id="1" w:name="_Toc377721824"/>
      <w:bookmarkStart w:id="2" w:name="_Toc408235692"/>
      <w:r w:rsidRPr="0079086C">
        <w:lastRenderedPageBreak/>
        <w:t>Table S</w:t>
      </w:r>
      <w:r w:rsidR="00671AE6">
        <w:fldChar w:fldCharType="begin"/>
      </w:r>
      <w:r w:rsidR="00671AE6">
        <w:instrText xml:space="preserve"> SEQ Table \* ARABIC </w:instrText>
      </w:r>
      <w:r w:rsidR="00671AE6">
        <w:fldChar w:fldCharType="separate"/>
      </w:r>
      <w:r w:rsidRPr="0079086C">
        <w:t>1</w:t>
      </w:r>
      <w:r w:rsidR="00671AE6">
        <w:fldChar w:fldCharType="end"/>
      </w:r>
      <w:r w:rsidRPr="0079086C">
        <w:t xml:space="preserve">. Cross-validated algorithm MSEs (weights) </w:t>
      </w:r>
      <w:bookmarkEnd w:id="1"/>
      <w:r w:rsidRPr="0079086C">
        <w:t>in the Super</w:t>
      </w:r>
      <w:r w:rsidR="00911398">
        <w:t xml:space="preserve"> </w:t>
      </w:r>
      <w:r w:rsidRPr="0079086C">
        <w:t>Learner by subset</w:t>
      </w:r>
      <w:bookmarkEnd w:id="2"/>
    </w:p>
    <w:tbl>
      <w:tblPr>
        <w:tblW w:w="119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728"/>
        <w:gridCol w:w="1728"/>
        <w:gridCol w:w="1728"/>
        <w:gridCol w:w="1728"/>
        <w:gridCol w:w="1728"/>
        <w:gridCol w:w="1710"/>
        <w:gridCol w:w="18"/>
      </w:tblGrid>
      <w:tr w:rsidR="00DF051F" w:rsidRPr="005C4497" w:rsidTr="005C4497">
        <w:trPr>
          <w:gridAfter w:val="1"/>
          <w:wAfter w:w="18" w:type="dxa"/>
          <w:trHeight w:val="340"/>
        </w:trPr>
        <w:tc>
          <w:tcPr>
            <w:tcW w:w="11950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Maternal 9-year subset (n=94)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left"/>
              <w:rPr>
                <w:b/>
              </w:rPr>
            </w:pPr>
            <w:r w:rsidRPr="005C4497">
              <w:rPr>
                <w:b/>
              </w:rPr>
              <w:t>Method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proofErr w:type="spellStart"/>
            <w:r w:rsidRPr="005C4497">
              <w:rPr>
                <w:b/>
                <w:i/>
              </w:rPr>
              <w:t>p,p</w:t>
            </w:r>
            <w:proofErr w:type="spellEnd"/>
            <w:r w:rsidRPr="005C4497">
              <w:rPr>
                <w:b/>
                <w:i/>
              </w:rPr>
              <w:t>’</w:t>
            </w:r>
            <w:r w:rsidRPr="005C4497">
              <w:rPr>
                <w:b/>
              </w:rPr>
              <w:t>-DDT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proofErr w:type="spellStart"/>
            <w:r w:rsidRPr="005C4497">
              <w:rPr>
                <w:b/>
                <w:i/>
              </w:rPr>
              <w:t>p,p</w:t>
            </w:r>
            <w:proofErr w:type="spellEnd"/>
            <w:r w:rsidRPr="005C4497">
              <w:rPr>
                <w:b/>
                <w:i/>
              </w:rPr>
              <w:t>’</w:t>
            </w:r>
            <w:r w:rsidRPr="005C4497">
              <w:rPr>
                <w:b/>
              </w:rPr>
              <w:t>-DDE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BDE-47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BDE-99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BDE-100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BDE-153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GLM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0.090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0.046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0.123 (0.054)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0.220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0.111 (0.210)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0.067 (0.275)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sGLM</w:t>
            </w:r>
            <w:proofErr w:type="spellEnd"/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0.083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0.050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0.094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0.151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0.092 (0.137)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0.069 (0.000)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GAM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0.099 (0.198)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0.048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0.258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0.118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0.076 (0.000)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sGAM</w:t>
            </w:r>
            <w:proofErr w:type="spellEnd"/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0.076 (0.319)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0.052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0.094 (0.406)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0.178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0.090 (0.273)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0.070 (0.106)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BayesGLM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0.083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0.046 (0.079)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0.122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0.107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0.066 (0.000)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sBayesGLM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0.082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0.050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0.094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0.149 (0.428)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0.092 (0.000)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0.069 (0.030)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GLMNET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0.074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0.037 (0.261)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0.156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0.109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0.058 (0.259)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RandomForest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0.197 (0.160)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0.086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0.118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0.171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0.119 (0.021)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0.100 (0.000)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LOESS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0.052 (0.006)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0.165 (0.039)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0.178 (0.057)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0.168 (0.000)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r w:rsidRPr="00C80E59">
              <w:t>RPART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0.166 (0.073)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0.071 (0.277)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0.160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0.218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0.148 (0.000)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0.099 (0.008)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NNET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0.567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0.288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0.195 (0.052)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0.242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0.194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0.157 (0.005)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Polymars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0.120 (0.048)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0.050 (0.198)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0.114 (0.163)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0.295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0.120 (0.162)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0.087 (0.120)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SVM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0.294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0.185 (0.028)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0.130 (0.059)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0.113 (0.000)</w:t>
            </w:r>
          </w:p>
        </w:tc>
      </w:tr>
      <w:tr w:rsidR="00DF051F" w:rsidRPr="00C80E59" w:rsidTr="005C4497">
        <w:trPr>
          <w:trHeight w:val="288"/>
        </w:trPr>
        <w:tc>
          <w:tcPr>
            <w:tcW w:w="1600" w:type="dxa"/>
            <w:tcBorders>
              <w:bottom w:val="single" w:sz="12" w:space="0" w:color="auto"/>
            </w:tcBorders>
          </w:tcPr>
          <w:p w:rsidR="00DF051F" w:rsidRPr="00C80E59" w:rsidRDefault="00DF051F" w:rsidP="005C4497">
            <w:pPr>
              <w:pStyle w:val="TCTableBody"/>
            </w:pPr>
            <w:r w:rsidRPr="00C80E59">
              <w:t>DSA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0.107 (0.201)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0.046 (0.179)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0.098 (0.285)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0.142 (0.544)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0.109 (0.080)</w:t>
            </w:r>
          </w:p>
        </w:tc>
        <w:tc>
          <w:tcPr>
            <w:tcW w:w="1728" w:type="dxa"/>
            <w:gridSpan w:val="2"/>
            <w:tcBorders>
              <w:bottom w:val="single" w:sz="12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0.073 (0.198)</w:t>
            </w:r>
          </w:p>
        </w:tc>
      </w:tr>
    </w:tbl>
    <w:p w:rsidR="00DF051F" w:rsidRDefault="00DF051F" w:rsidP="00824CEB">
      <w:pPr>
        <w:pStyle w:val="VDTableTitle"/>
        <w:spacing w:line="240" w:lineRule="auto"/>
        <w:contextualSpacing/>
      </w:pPr>
      <w:r w:rsidRPr="00DF051F">
        <w:rPr>
          <w:b/>
        </w:rPr>
        <w:lastRenderedPageBreak/>
        <w:t>Table S1 Continued.</w:t>
      </w:r>
      <w:r w:rsidRPr="00842974">
        <w:t xml:space="preserve"> Cross-validated </w:t>
      </w:r>
      <w:r>
        <w:t xml:space="preserve">algorithm </w:t>
      </w:r>
      <w:r w:rsidRPr="00842974">
        <w:t xml:space="preserve">MSEs </w:t>
      </w:r>
      <w:r>
        <w:t>(w</w:t>
      </w:r>
      <w:r w:rsidRPr="00842974">
        <w:t>eights</w:t>
      </w:r>
      <w:r>
        <w:t>)</w:t>
      </w:r>
      <w:r w:rsidRPr="00842974">
        <w:t xml:space="preserve"> </w:t>
      </w:r>
      <w:r>
        <w:t>in the Super</w:t>
      </w:r>
      <w:r w:rsidR="00911398">
        <w:t xml:space="preserve"> </w:t>
      </w:r>
      <w:r>
        <w:t>Learner by subset</w:t>
      </w:r>
    </w:p>
    <w:tbl>
      <w:tblPr>
        <w:tblW w:w="119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728"/>
        <w:gridCol w:w="1728"/>
        <w:gridCol w:w="1728"/>
        <w:gridCol w:w="1728"/>
        <w:gridCol w:w="1728"/>
        <w:gridCol w:w="1710"/>
        <w:gridCol w:w="18"/>
      </w:tblGrid>
      <w:tr w:rsidR="00DF051F" w:rsidRPr="005C4497" w:rsidTr="005C4497">
        <w:trPr>
          <w:gridAfter w:val="1"/>
          <w:wAfter w:w="18" w:type="dxa"/>
          <w:trHeight w:val="340"/>
        </w:trPr>
        <w:tc>
          <w:tcPr>
            <w:tcW w:w="11950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DF051F" w:rsidRPr="005C4497" w:rsidRDefault="00DF051F" w:rsidP="005C4497">
            <w:pPr>
              <w:pStyle w:val="TCTableBody"/>
              <w:contextualSpacing/>
              <w:jc w:val="center"/>
              <w:rPr>
                <w:b/>
              </w:rPr>
            </w:pPr>
            <w:r w:rsidRPr="005C4497">
              <w:rPr>
                <w:b/>
              </w:rPr>
              <w:t>Child 9-year subset (n=161)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left"/>
              <w:rPr>
                <w:b/>
              </w:rPr>
            </w:pPr>
            <w:r w:rsidRPr="005C4497">
              <w:rPr>
                <w:b/>
              </w:rPr>
              <w:t>Method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proofErr w:type="spellStart"/>
            <w:r w:rsidRPr="005C4497">
              <w:rPr>
                <w:b/>
                <w:i/>
              </w:rPr>
              <w:t>p,p</w:t>
            </w:r>
            <w:proofErr w:type="spellEnd"/>
            <w:r w:rsidRPr="005C4497">
              <w:rPr>
                <w:b/>
                <w:i/>
              </w:rPr>
              <w:t>’</w:t>
            </w:r>
            <w:r w:rsidRPr="005C4497">
              <w:rPr>
                <w:b/>
              </w:rPr>
              <w:t>-DDT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proofErr w:type="spellStart"/>
            <w:r w:rsidRPr="005C4497">
              <w:rPr>
                <w:b/>
                <w:i/>
              </w:rPr>
              <w:t>p,p</w:t>
            </w:r>
            <w:proofErr w:type="spellEnd"/>
            <w:r w:rsidRPr="005C4497">
              <w:rPr>
                <w:b/>
                <w:i/>
              </w:rPr>
              <w:t>’</w:t>
            </w:r>
            <w:r w:rsidRPr="005C4497">
              <w:rPr>
                <w:b/>
              </w:rPr>
              <w:t>-DDE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BDE-47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BDE-99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BDE-100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BDE-153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GLM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0.171 (0.181)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0.102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0.250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0.280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0.254 (0.000)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0.146 (0.307)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sGLM</w:t>
            </w:r>
            <w:proofErr w:type="spellEnd"/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0.173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0.120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0.213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0.237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0.207 (0.000)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0.149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GAM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0.178 (0.031)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0.098 (0.543)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0.240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0.274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0.242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0.152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sGAM</w:t>
            </w:r>
            <w:proofErr w:type="spellEnd"/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0.158 (0.314)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0.112 (0.051)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0.216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0.241 (0.000)</w:t>
            </w:r>
          </w:p>
        </w:tc>
        <w:tc>
          <w:tcPr>
            <w:tcW w:w="1728" w:type="dxa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0.202 (0.000)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0.154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BayesGLM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0.171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0.102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0.248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0.278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0.251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0.146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sBayesGLM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0.173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0.120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0.213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0.236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0.207 (0.000)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0.148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GLMNET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0.100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0.181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0.136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RandomForest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0.190 (0.216)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0.132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0.170 (0.912)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0.205 (0.715)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0.164 (0.622)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0.131 (0.549)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LOESS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0.215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0.132 (0.158)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0.235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0.197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0.167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r w:rsidRPr="00C80E59">
              <w:t>RPART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0.239 (0.134)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0.147 (0.030)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0.250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0.283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0.225 (0.086)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0.197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NNET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0.667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0.359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0.205 (0.088)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0.212 (0.285)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0.206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0.176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Polymars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0.236 (0.115)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0.137 (0.117)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0.439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1.107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0.387 (0.000)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0.185 (0.119)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</w:tcPr>
          <w:p w:rsidR="00DF051F" w:rsidRPr="00C80E59" w:rsidRDefault="00DF051F" w:rsidP="005C4497">
            <w:pPr>
              <w:pStyle w:val="TCTableBody"/>
            </w:pPr>
            <w:r w:rsidRPr="00C80E59">
              <w:t>SVM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0.232 (0.010)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0.132 (0.101)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0.181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0.220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0.183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0.135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tcBorders>
              <w:bottom w:val="single" w:sz="4" w:space="0" w:color="auto"/>
            </w:tcBorders>
          </w:tcPr>
          <w:p w:rsidR="00DF051F" w:rsidRPr="00C80E59" w:rsidRDefault="00DF051F" w:rsidP="005C4497">
            <w:pPr>
              <w:pStyle w:val="TCTableBody"/>
            </w:pPr>
            <w:r w:rsidRPr="00C80E59">
              <w:t>DSA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0.185 (0.000)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0.128 (0.000)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0.195 (0.000)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0.225 (0.000)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0.171 (0.292)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DF051F" w:rsidRPr="00CE2233" w:rsidRDefault="00DF051F" w:rsidP="005C4497">
            <w:pPr>
              <w:pStyle w:val="TCTableBody"/>
            </w:pPr>
            <w:r w:rsidRPr="00CE2233">
              <w:t>0.146 (0.026)</w:t>
            </w:r>
          </w:p>
        </w:tc>
      </w:tr>
    </w:tbl>
    <w:p w:rsidR="00824CEB" w:rsidRDefault="00824CEB" w:rsidP="00824CEB">
      <w:pPr>
        <w:pStyle w:val="BBAuthorName"/>
      </w:pPr>
      <w:r>
        <w:br w:type="page"/>
      </w:r>
    </w:p>
    <w:p w:rsidR="00DF051F" w:rsidRDefault="00DF051F" w:rsidP="00824CEB">
      <w:pPr>
        <w:pStyle w:val="VDTableTitle"/>
        <w:spacing w:line="240" w:lineRule="auto"/>
      </w:pPr>
      <w:r w:rsidRPr="00DF051F">
        <w:rPr>
          <w:b/>
        </w:rPr>
        <w:lastRenderedPageBreak/>
        <w:t>Table S1 Continued.</w:t>
      </w:r>
      <w:r w:rsidRPr="00842974">
        <w:t xml:space="preserve"> Cross-validated </w:t>
      </w:r>
      <w:r>
        <w:t xml:space="preserve">algorithm </w:t>
      </w:r>
      <w:r w:rsidRPr="00842974">
        <w:t xml:space="preserve">MSEs </w:t>
      </w:r>
      <w:r>
        <w:t>(w</w:t>
      </w:r>
      <w:r w:rsidRPr="00842974">
        <w:t>eights</w:t>
      </w:r>
      <w:r>
        <w:t>)</w:t>
      </w:r>
      <w:r w:rsidRPr="00842974">
        <w:t xml:space="preserve"> </w:t>
      </w:r>
      <w:r>
        <w:t>in the Super</w:t>
      </w:r>
      <w:r w:rsidR="00911398">
        <w:t xml:space="preserve"> </w:t>
      </w:r>
      <w:r>
        <w:t>Learner by subset</w:t>
      </w:r>
    </w:p>
    <w:tbl>
      <w:tblPr>
        <w:tblW w:w="119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728"/>
        <w:gridCol w:w="1728"/>
        <w:gridCol w:w="1728"/>
        <w:gridCol w:w="1728"/>
        <w:gridCol w:w="1728"/>
        <w:gridCol w:w="1710"/>
        <w:gridCol w:w="18"/>
      </w:tblGrid>
      <w:tr w:rsidR="00DF051F" w:rsidRPr="005C4497" w:rsidTr="005C4497">
        <w:trPr>
          <w:gridAfter w:val="1"/>
          <w:wAfter w:w="18" w:type="dxa"/>
          <w:trHeight w:val="340"/>
        </w:trPr>
        <w:tc>
          <w:tcPr>
            <w:tcW w:w="11950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Maternal and Child 9-year subset (n=89)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left"/>
              <w:rPr>
                <w:b/>
              </w:rPr>
            </w:pPr>
            <w:r w:rsidRPr="005C4497">
              <w:rPr>
                <w:b/>
              </w:rPr>
              <w:t>Method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proofErr w:type="spellStart"/>
            <w:r w:rsidRPr="005C4497">
              <w:rPr>
                <w:b/>
                <w:i/>
              </w:rPr>
              <w:t>p,p</w:t>
            </w:r>
            <w:proofErr w:type="spellEnd"/>
            <w:r w:rsidRPr="005C4497">
              <w:rPr>
                <w:b/>
                <w:i/>
              </w:rPr>
              <w:t>’</w:t>
            </w:r>
            <w:r w:rsidRPr="005C4497">
              <w:rPr>
                <w:b/>
              </w:rPr>
              <w:t>-DDT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proofErr w:type="spellStart"/>
            <w:r w:rsidRPr="005C4497">
              <w:rPr>
                <w:b/>
                <w:i/>
              </w:rPr>
              <w:t>p,p</w:t>
            </w:r>
            <w:proofErr w:type="spellEnd"/>
            <w:r w:rsidRPr="005C4497">
              <w:rPr>
                <w:b/>
                <w:i/>
              </w:rPr>
              <w:t>’</w:t>
            </w:r>
            <w:r w:rsidRPr="005C4497">
              <w:rPr>
                <w:b/>
              </w:rPr>
              <w:t>-DDE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BDE-47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BDE-99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BDE-100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F051F" w:rsidRPr="005C4497" w:rsidRDefault="00DF051F" w:rsidP="005C4497">
            <w:pPr>
              <w:pStyle w:val="TCTableBody"/>
              <w:jc w:val="center"/>
              <w:rPr>
                <w:b/>
              </w:rPr>
            </w:pPr>
            <w:r w:rsidRPr="005C4497">
              <w:rPr>
                <w:b/>
              </w:rPr>
              <w:t>BDE-153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GLM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0.116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0.047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0.184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0.282 (0.000)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0.162 (0.000)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0.069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vAlign w:val="bottom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sGLM</w:t>
            </w:r>
            <w:proofErr w:type="spellEnd"/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0.079 (0.000)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0.043 (0.000)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0.097 (0.000)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0.139 (0.425)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0.087 (0.281)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0.074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GAM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0.102 (0.020)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0.040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0.203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0.323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0.146 (0.076)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0.090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vAlign w:val="bottom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sGAM</w:t>
            </w:r>
            <w:proofErr w:type="spellEnd"/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0.066 (0.636)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0.037 (0.014)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0.096 (0.447)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0.155 (0.000)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0.086 (0.000)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0.071 (0.114)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BayesGLM</w:t>
            </w:r>
            <w:proofErr w:type="spellEnd"/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0.106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0.045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0.170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0.227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0.151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0.065 (0.318)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sBayesGLM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0.078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0.043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0.097 (0.108)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0.138 (0.263)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0.087 (0.000)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0.073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GLMNET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0.083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0.031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0.167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0.094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0.058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RandomForest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0.126 (0.038)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0.066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0.125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0.175 (0.067)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0.128 (0.000)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0.107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LOESS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0.191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0.102 (0.020)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0.234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0.283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0.238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0.205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RPART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0.153 (0.152)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0.075 (0.138)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0.186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0.212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0.148 (0.073)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0.098 (0.044)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NNET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0.608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0.290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0.208 (0.042)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0.247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0.202 (0.040)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0.164 (0.033)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proofErr w:type="spellStart"/>
            <w:r w:rsidRPr="00C80E59">
              <w:t>Polymars</w:t>
            </w:r>
            <w:proofErr w:type="spellEnd"/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0.108 (0.154)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0.031 (0.269)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0.187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0.300 (0.000)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0.086 (0.355)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0.059 (0.285)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SVM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0.295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0.100 (0.070)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0.138 (0.000)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0.190 (0.057)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0.144 (0.000)</w:t>
            </w:r>
          </w:p>
        </w:tc>
        <w:tc>
          <w:tcPr>
            <w:tcW w:w="1728" w:type="dxa"/>
            <w:gridSpan w:val="2"/>
            <w:shd w:val="clear" w:color="auto" w:fill="F2F2F2" w:themeFill="background1" w:themeFillShade="F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0.108 (0.000)</w:t>
            </w:r>
          </w:p>
        </w:tc>
      </w:tr>
      <w:tr w:rsidR="00DF051F" w:rsidRPr="00C80E59" w:rsidTr="005C4497">
        <w:trPr>
          <w:trHeight w:val="294"/>
        </w:trPr>
        <w:tc>
          <w:tcPr>
            <w:tcW w:w="1600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DSA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0.098 (0.000)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0.028 (0.489)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0.101 (0.403)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0.159 (0.188)</w:t>
            </w:r>
          </w:p>
        </w:tc>
        <w:tc>
          <w:tcPr>
            <w:tcW w:w="1728" w:type="dxa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0.093 (0.175)</w:t>
            </w:r>
          </w:p>
        </w:tc>
        <w:tc>
          <w:tcPr>
            <w:tcW w:w="1728" w:type="dxa"/>
            <w:gridSpan w:val="2"/>
            <w:vAlign w:val="bottom"/>
          </w:tcPr>
          <w:p w:rsidR="00DF051F" w:rsidRPr="00C80E59" w:rsidRDefault="00DF051F" w:rsidP="005C4497">
            <w:pPr>
              <w:pStyle w:val="TCTableBody"/>
            </w:pPr>
            <w:r w:rsidRPr="00C80E59">
              <w:t>0.063 (0.207)</w:t>
            </w:r>
          </w:p>
        </w:tc>
      </w:tr>
      <w:tr w:rsidR="00DF051F" w:rsidRPr="00C80E59" w:rsidTr="005C4497">
        <w:trPr>
          <w:gridAfter w:val="1"/>
          <w:wAfter w:w="18" w:type="dxa"/>
          <w:trHeight w:val="288"/>
        </w:trPr>
        <w:tc>
          <w:tcPr>
            <w:tcW w:w="11950" w:type="dxa"/>
            <w:gridSpan w:val="7"/>
            <w:tcBorders>
              <w:top w:val="single" w:sz="4" w:space="0" w:color="auto"/>
            </w:tcBorders>
          </w:tcPr>
          <w:p w:rsidR="00DF051F" w:rsidRPr="00C80E59" w:rsidRDefault="00DF051F" w:rsidP="005C4497">
            <w:pPr>
              <w:pStyle w:val="FETableFootnote"/>
            </w:pPr>
            <w:r w:rsidRPr="00C80E59">
              <w:lastRenderedPageBreak/>
              <w:t>GLM= generalized linear model</w:t>
            </w:r>
          </w:p>
          <w:p w:rsidR="00DF051F" w:rsidRPr="00C80E59" w:rsidRDefault="00DF051F" w:rsidP="005C4497">
            <w:pPr>
              <w:pStyle w:val="FETableFootnote"/>
            </w:pPr>
            <w:proofErr w:type="spellStart"/>
            <w:proofErr w:type="gramStart"/>
            <w:r w:rsidRPr="00C80E59">
              <w:t>sGLM</w:t>
            </w:r>
            <w:proofErr w:type="spellEnd"/>
            <w:proofErr w:type="gramEnd"/>
            <w:r w:rsidRPr="00C80E59">
              <w:t>= “screened” GLM. Variables only selected if significantly correlated with prenatal serum levels in bivariate analysis (p≤0.1)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GAM= generalized additive model</w:t>
            </w:r>
          </w:p>
          <w:p w:rsidR="00DF051F" w:rsidRPr="00C80E59" w:rsidRDefault="00DF051F" w:rsidP="005C4497">
            <w:pPr>
              <w:pStyle w:val="FETableFootnote"/>
            </w:pPr>
            <w:proofErr w:type="spellStart"/>
            <w:proofErr w:type="gramStart"/>
            <w:r w:rsidRPr="00C80E59">
              <w:t>sGAM</w:t>
            </w:r>
            <w:proofErr w:type="spellEnd"/>
            <w:proofErr w:type="gramEnd"/>
            <w:r w:rsidRPr="00C80E59">
              <w:t>= “screened” GAM. Variables only selected if significantly correlated with prenatal serum levels in bivariate analysis (p≤0.1)</w:t>
            </w:r>
          </w:p>
          <w:p w:rsidR="00DF051F" w:rsidRPr="00C80E59" w:rsidRDefault="00DF051F" w:rsidP="005C4497">
            <w:pPr>
              <w:pStyle w:val="FETableFootnote"/>
            </w:pPr>
            <w:proofErr w:type="spellStart"/>
            <w:r w:rsidRPr="00C80E59">
              <w:t>BayesGLM</w:t>
            </w:r>
            <w:proofErr w:type="spellEnd"/>
            <w:r w:rsidRPr="00C80E59">
              <w:t>= Bayesian linear model</w:t>
            </w:r>
          </w:p>
          <w:p w:rsidR="00DF051F" w:rsidRPr="00C80E59" w:rsidRDefault="00DF051F" w:rsidP="005C4497">
            <w:pPr>
              <w:pStyle w:val="FETableFootnote"/>
            </w:pPr>
            <w:proofErr w:type="spellStart"/>
            <w:proofErr w:type="gramStart"/>
            <w:r w:rsidRPr="00C80E59">
              <w:t>sBayesGLM</w:t>
            </w:r>
            <w:proofErr w:type="spellEnd"/>
            <w:proofErr w:type="gramEnd"/>
            <w:r w:rsidRPr="00C80E59">
              <w:t xml:space="preserve">= “screened” </w:t>
            </w:r>
            <w:proofErr w:type="spellStart"/>
            <w:r w:rsidRPr="00C80E59">
              <w:t>BayesGLM</w:t>
            </w:r>
            <w:proofErr w:type="spellEnd"/>
            <w:r w:rsidRPr="00C80E59">
              <w:t>. Variables only selected if significantly correlated with prenatal serum levels in bivariate analysis (p≤0.1)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GLMNET= elastic net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LOESS= local polynomial regression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RPART= recursive partitioning and regression trees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NNET= neural network</w:t>
            </w:r>
          </w:p>
          <w:p w:rsidR="00DF051F" w:rsidRPr="00C80E59" w:rsidRDefault="00DF051F" w:rsidP="005C4497">
            <w:pPr>
              <w:pStyle w:val="FETableFootnote"/>
            </w:pPr>
            <w:proofErr w:type="spellStart"/>
            <w:r w:rsidRPr="00C80E59">
              <w:t>PolyMars</w:t>
            </w:r>
            <w:proofErr w:type="spellEnd"/>
            <w:r w:rsidRPr="00C80E59">
              <w:t>= polynomial spline regression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SVM= support vector machine</w:t>
            </w:r>
          </w:p>
          <w:p w:rsidR="00DF051F" w:rsidRPr="00C80E59" w:rsidRDefault="00DF051F" w:rsidP="005C4497">
            <w:pPr>
              <w:pStyle w:val="FETableFootnote"/>
            </w:pPr>
            <w:r w:rsidRPr="00C80E59">
              <w:t>DSA= deletion/substitution/addition</w:t>
            </w:r>
          </w:p>
        </w:tc>
      </w:tr>
    </w:tbl>
    <w:p w:rsidR="00DF051F" w:rsidRDefault="00DF051F" w:rsidP="00DF051F">
      <w:pPr>
        <w:sectPr w:rsidR="00DF051F" w:rsidSect="00DF051F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DF051F" w:rsidRPr="0079086C" w:rsidRDefault="00DF051F" w:rsidP="00824CEB">
      <w:pPr>
        <w:pStyle w:val="TOCHeading"/>
        <w:spacing w:line="240" w:lineRule="auto"/>
      </w:pPr>
      <w:bookmarkStart w:id="3" w:name="_Toc377721828"/>
      <w:bookmarkStart w:id="4" w:name="_Toc408235693"/>
      <w:r w:rsidRPr="0079086C">
        <w:lastRenderedPageBreak/>
        <w:t>Table S</w:t>
      </w:r>
      <w:r w:rsidR="00671AE6">
        <w:fldChar w:fldCharType="begin"/>
      </w:r>
      <w:r w:rsidR="00671AE6">
        <w:instrText xml:space="preserve"> SEQ Table \* ARABIC </w:instrText>
      </w:r>
      <w:r w:rsidR="00671AE6">
        <w:fldChar w:fldCharType="separate"/>
      </w:r>
      <w:r w:rsidRPr="0079086C">
        <w:t>2</w:t>
      </w:r>
      <w:r w:rsidR="00671AE6">
        <w:fldChar w:fldCharType="end"/>
      </w:r>
      <w:r w:rsidRPr="0079086C">
        <w:t xml:space="preserve">. </w:t>
      </w:r>
      <w:r w:rsidRPr="0079086C">
        <w:rPr>
          <w:b w:val="0"/>
        </w:rPr>
        <w:t xml:space="preserve">DSA prediction equations for </w:t>
      </w:r>
      <w:proofErr w:type="spellStart"/>
      <w:r w:rsidRPr="0079086C">
        <w:rPr>
          <w:b w:val="0"/>
        </w:rPr>
        <w:t>p</w:t>
      </w:r>
      <w:proofErr w:type="gramStart"/>
      <w:r w:rsidRPr="0079086C">
        <w:rPr>
          <w:b w:val="0"/>
        </w:rPr>
        <w:t>,p</w:t>
      </w:r>
      <w:proofErr w:type="spellEnd"/>
      <w:r w:rsidRPr="0079086C">
        <w:rPr>
          <w:b w:val="0"/>
        </w:rPr>
        <w:t>’</w:t>
      </w:r>
      <w:proofErr w:type="gramEnd"/>
      <w:r w:rsidRPr="0079086C">
        <w:rPr>
          <w:b w:val="0"/>
        </w:rPr>
        <w:t>-DDT/E and PBDEs using child 9-year serum levels (n=161)</w:t>
      </w:r>
      <w:bookmarkEnd w:id="3"/>
      <w:bookmarkEnd w:id="4"/>
    </w:p>
    <w:tbl>
      <w:tblPr>
        <w:tblW w:w="1317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6390"/>
      </w:tblGrid>
      <w:tr w:rsidR="00DF051F" w:rsidRPr="0079086C" w:rsidTr="0079086C">
        <w:trPr>
          <w:cantSplit/>
          <w:trHeight w:val="288"/>
        </w:trPr>
        <w:tc>
          <w:tcPr>
            <w:tcW w:w="6780" w:type="dxa"/>
            <w:tcBorders>
              <w:top w:val="single" w:sz="8" w:space="0" w:color="auto"/>
              <w:bottom w:val="single" w:sz="12" w:space="0" w:color="auto"/>
            </w:tcBorders>
          </w:tcPr>
          <w:p w:rsidR="00DF051F" w:rsidRPr="0079086C" w:rsidRDefault="00DF051F" w:rsidP="0079086C">
            <w:pPr>
              <w:pStyle w:val="TCTableBody"/>
              <w:rPr>
                <w:b/>
              </w:rPr>
            </w:pPr>
            <w:r w:rsidRPr="0079086C">
              <w:rPr>
                <w:b/>
              </w:rPr>
              <w:t>Equation</w:t>
            </w:r>
          </w:p>
        </w:tc>
        <w:tc>
          <w:tcPr>
            <w:tcW w:w="6390" w:type="dxa"/>
            <w:tcBorders>
              <w:top w:val="single" w:sz="8" w:space="0" w:color="auto"/>
              <w:bottom w:val="single" w:sz="12" w:space="0" w:color="auto"/>
            </w:tcBorders>
          </w:tcPr>
          <w:p w:rsidR="00DF051F" w:rsidRPr="0079086C" w:rsidRDefault="00DF051F" w:rsidP="0079086C">
            <w:pPr>
              <w:pStyle w:val="TCTableBody"/>
              <w:rPr>
                <w:b/>
              </w:rPr>
            </w:pPr>
            <w:r w:rsidRPr="0079086C">
              <w:rPr>
                <w:b/>
              </w:rPr>
              <w:t>Description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051F" w:rsidRPr="00A767D9" w:rsidRDefault="003E639E" w:rsidP="0079086C">
            <w:pPr>
              <w:pStyle w:val="TCTableBody"/>
              <w:rPr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0.019+0.863*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c9y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+0.496*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c9y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+0.139*BM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c9y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-0.021*</m:t>
                </m:r>
                <m:r>
                  <w:rPr>
                    <w:rFonts w:ascii="Cambria Math" w:hAnsi="Cambria Math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usa</m:t>
                    </m:r>
                  </m:sub>
                </m:sSub>
              </m:oMath>
            </m:oMathPara>
          </w:p>
        </w:tc>
        <w:tc>
          <w:tcPr>
            <w:tcW w:w="63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051F" w:rsidRPr="00B16E3F" w:rsidRDefault="00801F93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B16E3F">
              <w:rPr>
                <w:rFonts w:eastAsiaTheme="minorEastAsia"/>
              </w:rPr>
              <w:t xml:space="preserve"> = maternal </w:t>
            </w:r>
            <w:proofErr w:type="spellStart"/>
            <w:r w:rsidR="00DF051F" w:rsidRPr="00B16E3F">
              <w:rPr>
                <w:i/>
              </w:rPr>
              <w:t>p,p</w:t>
            </w:r>
            <w:proofErr w:type="spellEnd"/>
            <w:r w:rsidR="00DF051F" w:rsidRPr="00B16E3F">
              <w:rPr>
                <w:i/>
              </w:rPr>
              <w:t>’</w:t>
            </w:r>
            <w:r w:rsidR="00DF051F" w:rsidRPr="00B16E3F">
              <w:t>-</w:t>
            </w:r>
            <w:r w:rsidR="00DF051F" w:rsidRPr="00B16E3F">
              <w:rPr>
                <w:rFonts w:eastAsiaTheme="minorEastAsia"/>
              </w:rPr>
              <w:t>DDT serum concentration at 26 weeks gestation (ng/g-lipid)</w:t>
            </w:r>
          </w:p>
          <w:p w:rsidR="00DF051F" w:rsidRDefault="00801F93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c9y</m:t>
                  </m:r>
                </m:sub>
              </m:sSub>
            </m:oMath>
            <w:r w:rsidR="00DF051F" w:rsidRPr="00B16E3F">
              <w:rPr>
                <w:rFonts w:eastAsiaTheme="minorEastAsia"/>
              </w:rPr>
              <w:t xml:space="preserve"> = index child </w:t>
            </w:r>
            <w:proofErr w:type="spellStart"/>
            <w:r w:rsidR="00DF051F" w:rsidRPr="00B16E3F">
              <w:rPr>
                <w:i/>
              </w:rPr>
              <w:t>p,p</w:t>
            </w:r>
            <w:proofErr w:type="spellEnd"/>
            <w:r w:rsidR="00DF051F" w:rsidRPr="00B16E3F">
              <w:rPr>
                <w:i/>
              </w:rPr>
              <w:t>’</w:t>
            </w:r>
            <w:r w:rsidR="00DF051F" w:rsidRPr="00B16E3F">
              <w:t>-</w:t>
            </w:r>
            <w:r w:rsidR="00DF051F" w:rsidRPr="00B16E3F">
              <w:rPr>
                <w:rFonts w:eastAsiaTheme="minorEastAsia"/>
              </w:rPr>
              <w:t xml:space="preserve">DDT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B16E3F">
              <w:rPr>
                <w:rFonts w:eastAsiaTheme="minorEastAsia"/>
              </w:rPr>
              <w:t xml:space="preserve"> visit (ng/g-lipid)</w:t>
            </w:r>
          </w:p>
          <w:p w:rsidR="00DF051F" w:rsidRDefault="004C2869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c9y</m:t>
                  </m:r>
                </m:sub>
              </m:sSub>
            </m:oMath>
            <w:r w:rsidR="00DF051F" w:rsidRPr="00B16E3F">
              <w:rPr>
                <w:rFonts w:eastAsiaTheme="minorEastAsia"/>
              </w:rPr>
              <w:t xml:space="preserve"> = index child </w:t>
            </w:r>
            <w:proofErr w:type="spellStart"/>
            <w:r w:rsidR="00DF051F" w:rsidRPr="00B16E3F">
              <w:rPr>
                <w:i/>
              </w:rPr>
              <w:t>p,p</w:t>
            </w:r>
            <w:proofErr w:type="spellEnd"/>
            <w:r w:rsidR="00DF051F" w:rsidRPr="00B16E3F">
              <w:rPr>
                <w:i/>
              </w:rPr>
              <w:t>’</w:t>
            </w:r>
            <w:r w:rsidR="00DF051F" w:rsidRPr="00B16E3F">
              <w:t>-</w:t>
            </w:r>
            <w:r w:rsidR="00DF051F" w:rsidRPr="00B16E3F">
              <w:rPr>
                <w:rFonts w:eastAsiaTheme="minorEastAsia"/>
              </w:rPr>
              <w:t xml:space="preserve">DDE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B16E3F">
              <w:rPr>
                <w:rFonts w:eastAsiaTheme="minorEastAsia"/>
              </w:rPr>
              <w:t xml:space="preserve"> visit (ng/g-lipid)</w:t>
            </w:r>
          </w:p>
          <w:p w:rsidR="00DF051F" w:rsidRPr="00B16E3F" w:rsidRDefault="00DF051F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BM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c9y</m:t>
                  </m:r>
                </m:sub>
              </m:sSub>
            </m:oMath>
            <w:r w:rsidRPr="00B16E3F">
              <w:rPr>
                <w:rFonts w:eastAsiaTheme="minorEastAsia"/>
              </w:rPr>
              <w:t xml:space="preserve"> = index child BMI z-score at </w:t>
            </w:r>
            <w:r>
              <w:rPr>
                <w:rFonts w:eastAsiaTheme="minorEastAsia"/>
              </w:rPr>
              <w:t>9-year</w:t>
            </w:r>
            <w:r w:rsidRPr="00B16E3F">
              <w:rPr>
                <w:rFonts w:eastAsiaTheme="minorEastAsia"/>
              </w:rPr>
              <w:t xml:space="preserve"> visit (continuous)</w:t>
            </w:r>
          </w:p>
          <w:p w:rsidR="00DF051F" w:rsidRPr="00B16E3F" w:rsidRDefault="00DF051F" w:rsidP="0079086C">
            <w:pPr>
              <w:pStyle w:val="TCTableBody"/>
            </w:pPr>
            <m:oMath>
              <m:r>
                <w:rPr>
                  <w:rFonts w:ascii="Cambria Math" w:hAnsi="Cambria Math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usa</m:t>
                  </m:r>
                </m:sub>
              </m:sSub>
            </m:oMath>
            <w:r w:rsidRPr="00B16E3F">
              <w:rPr>
                <w:rFonts w:eastAsiaTheme="minorEastAsia"/>
              </w:rPr>
              <w:t xml:space="preserve"> = years in the United States prior to index child (years)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</w:tcPr>
          <w:p w:rsidR="00DF051F" w:rsidRPr="00B74D9D" w:rsidRDefault="003E639E" w:rsidP="0079086C">
            <w:pPr>
              <w:pStyle w:val="TCTableBody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 0.172+ 1.070*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c9y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+0.163*BM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c9y</m:t>
                    </m:r>
                  </m:sub>
                </m:sSub>
                <m:r>
                  <w:rPr>
                    <w:rFonts w:ascii="Cambria Math" w:hAnsi="Cambria Math"/>
                  </w:rPr>
                  <m:t>-0.076*M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pre</m:t>
                    </m:r>
                  </m:sub>
                </m:sSub>
                <m:r>
                  <w:rPr>
                    <w:rFonts w:ascii="Cambria Math" w:hAnsi="Cambria Math"/>
                  </w:rPr>
                  <m:t>-0.036*B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+0.020*M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m26</m:t>
                    </m:r>
                  </m:sub>
                </m:sSub>
                <m:r>
                  <w:rPr>
                    <w:rFonts w:ascii="Cambria Math" w:hAnsi="Cambria Math"/>
                  </w:rPr>
                  <m:t>+0.001*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vertAlign w:val="subscript"/>
                  </w:rPr>
                  <m:t>1.386*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vertAlign w:val="subscript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del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p>
              </m:oMath>
            </m:oMathPara>
          </w:p>
          <w:p w:rsidR="00DF051F" w:rsidRPr="00B74D9D" w:rsidRDefault="00DF051F" w:rsidP="0079086C">
            <w:pPr>
              <w:pStyle w:val="TCTableBody"/>
              <w:rPr>
                <w:rFonts w:eastAsiaTheme="minorEastAsia"/>
                <w:vertAlign w:val="subscript"/>
              </w:rPr>
            </w:pPr>
          </w:p>
        </w:tc>
        <w:tc>
          <w:tcPr>
            <w:tcW w:w="6390" w:type="dxa"/>
          </w:tcPr>
          <w:p w:rsidR="00DF051F" w:rsidRDefault="00801F93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B16E3F">
              <w:rPr>
                <w:rFonts w:eastAsiaTheme="minorEastAsia"/>
              </w:rPr>
              <w:t xml:space="preserve"> = maternal </w:t>
            </w:r>
            <w:proofErr w:type="spellStart"/>
            <w:r w:rsidR="00DF051F" w:rsidRPr="00B16E3F">
              <w:rPr>
                <w:i/>
              </w:rPr>
              <w:t>p,p</w:t>
            </w:r>
            <w:proofErr w:type="spellEnd"/>
            <w:r w:rsidR="00DF051F" w:rsidRPr="00B16E3F">
              <w:rPr>
                <w:i/>
              </w:rPr>
              <w:t>’</w:t>
            </w:r>
            <w:r w:rsidR="00DF051F" w:rsidRPr="00B16E3F">
              <w:t>-</w:t>
            </w:r>
            <w:r w:rsidR="00DF051F" w:rsidRPr="00B16E3F">
              <w:rPr>
                <w:rFonts w:eastAsiaTheme="minorEastAsia"/>
              </w:rPr>
              <w:t>DDE serum concentration at 26 weeks gestation (ng/g-lipid)</w:t>
            </w:r>
          </w:p>
          <w:p w:rsidR="00DF051F" w:rsidRDefault="002D779D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c9y</m:t>
                  </m:r>
                </m:sub>
              </m:sSub>
            </m:oMath>
            <w:r w:rsidR="00DF051F" w:rsidRPr="00B16E3F">
              <w:rPr>
                <w:rFonts w:eastAsiaTheme="minorEastAsia"/>
              </w:rPr>
              <w:t xml:space="preserve"> = index child </w:t>
            </w:r>
            <w:proofErr w:type="spellStart"/>
            <w:r w:rsidR="00DF051F" w:rsidRPr="00B16E3F">
              <w:rPr>
                <w:i/>
              </w:rPr>
              <w:t>p,p</w:t>
            </w:r>
            <w:proofErr w:type="spellEnd"/>
            <w:r w:rsidR="00DF051F" w:rsidRPr="00B16E3F">
              <w:rPr>
                <w:i/>
              </w:rPr>
              <w:t>’</w:t>
            </w:r>
            <w:r w:rsidR="00DF051F" w:rsidRPr="00B16E3F">
              <w:t>-</w:t>
            </w:r>
            <w:r w:rsidR="00DF051F" w:rsidRPr="00B16E3F">
              <w:rPr>
                <w:rFonts w:eastAsiaTheme="minorEastAsia"/>
              </w:rPr>
              <w:t xml:space="preserve">DDE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B16E3F">
              <w:rPr>
                <w:rFonts w:eastAsiaTheme="minorEastAsia"/>
              </w:rPr>
              <w:t xml:space="preserve"> visit (ng/g-lipid)</w:t>
            </w:r>
          </w:p>
          <w:p w:rsidR="00DF051F" w:rsidRDefault="00DF051F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BM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c9y</m:t>
                  </m:r>
                </m:sub>
              </m:sSub>
            </m:oMath>
            <w:r w:rsidRPr="00B16E3F">
              <w:rPr>
                <w:rFonts w:eastAsiaTheme="minorEastAsia"/>
              </w:rPr>
              <w:t xml:space="preserve"> = index child BMI z-score at </w:t>
            </w:r>
            <w:r>
              <w:rPr>
                <w:rFonts w:eastAsiaTheme="minorEastAsia"/>
              </w:rPr>
              <w:t>9-year</w:t>
            </w:r>
            <w:r w:rsidRPr="00B16E3F">
              <w:rPr>
                <w:rFonts w:eastAsiaTheme="minorEastAsia"/>
              </w:rPr>
              <w:t xml:space="preserve"> visit (continuous)</w:t>
            </w:r>
          </w:p>
          <w:p w:rsidR="00DF051F" w:rsidRPr="00B16E3F" w:rsidRDefault="00DF051F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pre</m:t>
                  </m:r>
                </m:sub>
              </m:sSub>
            </m:oMath>
            <w:r>
              <w:rPr>
                <w:rFonts w:eastAsiaTheme="minorEastAsia"/>
              </w:rPr>
              <w:t xml:space="preserve"> = m</w:t>
            </w:r>
            <w:r w:rsidRPr="00B16E3F">
              <w:rPr>
                <w:rFonts w:eastAsiaTheme="minorEastAsia"/>
              </w:rPr>
              <w:t>atern</w:t>
            </w:r>
            <w:r>
              <w:rPr>
                <w:rFonts w:eastAsiaTheme="minorEastAsia"/>
              </w:rPr>
              <w:t xml:space="preserve">al parity </w:t>
            </w:r>
            <w:r w:rsidR="00C36E3E">
              <w:rPr>
                <w:rFonts w:eastAsiaTheme="minorEastAsia"/>
              </w:rPr>
              <w:t xml:space="preserve">before </w:t>
            </w:r>
            <w:r>
              <w:rPr>
                <w:rFonts w:eastAsiaTheme="minorEastAsia"/>
              </w:rPr>
              <w:t>index child (#)</w:t>
            </w:r>
          </w:p>
          <w:p w:rsidR="00DF051F" w:rsidRDefault="00801F93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 xml:space="preserve"> </m:t>
              </m:r>
            </m:oMath>
            <w:r w:rsidR="00DF051F" w:rsidRPr="00B16E3F">
              <w:rPr>
                <w:rFonts w:eastAsiaTheme="minorEastAsia"/>
              </w:rPr>
              <w:t>= breastfeeding duration of index child (months)</w:t>
            </w:r>
          </w:p>
          <w:p w:rsidR="00DF051F" w:rsidRPr="00B74D9D" w:rsidRDefault="00DF051F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m26</m:t>
                  </m:r>
                </m:sub>
              </m:sSub>
            </m:oMath>
            <w:r>
              <w:rPr>
                <w:rFonts w:eastAsiaTheme="minorEastAsia"/>
              </w:rPr>
              <w:t xml:space="preserve"> = maternal age at delivery (years)</w:t>
            </w:r>
          </w:p>
          <w:p w:rsidR="00DF051F" w:rsidRPr="00B16E3F" w:rsidRDefault="00DF051F" w:rsidP="0079086C">
            <w:pPr>
              <w:pStyle w:val="TCTableBody"/>
            </w:pPr>
            <m:oMath>
              <m:r>
                <w:rPr>
                  <w:rFonts w:ascii="Cambria Math" w:hAnsi="Cambria Math"/>
                  <w:vertAlign w:val="subscript"/>
                </w:rPr>
                <m:t>WT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del</m:t>
                  </m:r>
                </m:sub>
              </m:sSub>
            </m:oMath>
            <w:r>
              <w:rPr>
                <w:rFonts w:eastAsiaTheme="minorEastAsia"/>
              </w:rPr>
              <w:t xml:space="preserve"> = maternal pregnancy weight gain (kg)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  <w:shd w:val="clear" w:color="auto" w:fill="F2F2F2" w:themeFill="background1" w:themeFillShade="F2"/>
          </w:tcPr>
          <w:p w:rsidR="00DF051F" w:rsidRPr="00A767D9" w:rsidRDefault="003E639E" w:rsidP="0092423F">
            <w:pPr>
              <w:pStyle w:val="TCTableBody"/>
              <w:rPr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BDE47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=1.159</m:t>
                </m:r>
              </m:oMath>
            </m:oMathPara>
          </w:p>
        </w:tc>
        <w:tc>
          <w:tcPr>
            <w:tcW w:w="6390" w:type="dxa"/>
            <w:shd w:val="clear" w:color="auto" w:fill="F2F2F2" w:themeFill="background1" w:themeFillShade="F2"/>
          </w:tcPr>
          <w:p w:rsidR="00DF051F" w:rsidRPr="00A767D9" w:rsidRDefault="003E639E" w:rsidP="0079086C">
            <w:pPr>
              <w:pStyle w:val="TCTableBody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BDE47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BDE-47 serum concentration at 26 weeks gestation (ng/g-lipid)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</w:tcPr>
          <w:p w:rsidR="00DF051F" w:rsidRPr="00A767D9" w:rsidRDefault="003E639E" w:rsidP="0079086C">
            <w:pPr>
              <w:pStyle w:val="TCTableBody"/>
              <w:rPr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BDE99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</w:rPr>
                  <m:t>=0.631</m:t>
                </m:r>
              </m:oMath>
            </m:oMathPara>
          </w:p>
        </w:tc>
        <w:tc>
          <w:tcPr>
            <w:tcW w:w="6390" w:type="dxa"/>
          </w:tcPr>
          <w:p w:rsidR="00DF051F" w:rsidRPr="00A767D9" w:rsidRDefault="003E639E" w:rsidP="0079086C">
            <w:pPr>
              <w:pStyle w:val="TCTableBody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BDE99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BDE-99 serum concentration at 26 weeks gestation (ng/g-lipid)</w:t>
            </w:r>
          </w:p>
        </w:tc>
      </w:tr>
      <w:tr w:rsidR="00DF051F" w:rsidRPr="002E4C63" w:rsidTr="0079086C">
        <w:trPr>
          <w:cantSplit/>
          <w:trHeight w:val="288"/>
        </w:trPr>
        <w:tc>
          <w:tcPr>
            <w:tcW w:w="6780" w:type="dxa"/>
            <w:shd w:val="clear" w:color="auto" w:fill="F2F2F2" w:themeFill="background1" w:themeFillShade="F2"/>
          </w:tcPr>
          <w:p w:rsidR="00DF051F" w:rsidRPr="00A767D9" w:rsidRDefault="003E639E" w:rsidP="000A7AAE">
            <w:pPr>
              <w:pStyle w:val="TCTableBody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BDE100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</w:rPr>
                  <m:t>=0.273+0.019*</m:t>
                </m:r>
                <m:r>
                  <w:rPr>
                    <w:rFonts w:ascii="Cambria Math" w:hAnsi="Cambria Math"/>
                  </w:rPr>
                  <m:t>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usa</m:t>
                    </m:r>
                  </m:sub>
                </m:sSub>
              </m:oMath>
            </m:oMathPara>
          </w:p>
        </w:tc>
        <w:tc>
          <w:tcPr>
            <w:tcW w:w="6390" w:type="dxa"/>
            <w:shd w:val="clear" w:color="auto" w:fill="F2F2F2" w:themeFill="background1" w:themeFillShade="F2"/>
          </w:tcPr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BDE100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BDE-100 serum concentration at 26 weeks gestation (ng/g-lipid)</w:t>
            </w:r>
          </w:p>
          <w:p w:rsidR="00DF051F" w:rsidRPr="00A767D9" w:rsidRDefault="00DF051F" w:rsidP="0079086C">
            <w:pPr>
              <w:pStyle w:val="TCTableBody"/>
            </w:pPr>
            <m:oMath>
              <m:r>
                <w:rPr>
                  <w:rFonts w:ascii="Cambria Math" w:hAnsi="Cambria Math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usa</m:t>
                  </m:r>
                </m:sub>
              </m:sSub>
            </m:oMath>
            <w:r w:rsidRPr="00B16E3F">
              <w:rPr>
                <w:rFonts w:eastAsiaTheme="minorEastAsia"/>
              </w:rPr>
              <w:t xml:space="preserve"> = years in the United States prior to index child (years)</w:t>
            </w:r>
          </w:p>
        </w:tc>
      </w:tr>
      <w:tr w:rsidR="00DF051F" w:rsidRPr="002E4C63" w:rsidTr="0079086C">
        <w:trPr>
          <w:cantSplit/>
          <w:trHeight w:val="288"/>
        </w:trPr>
        <w:tc>
          <w:tcPr>
            <w:tcW w:w="6780" w:type="dxa"/>
          </w:tcPr>
          <w:p w:rsidR="00DF051F" w:rsidRPr="00A767D9" w:rsidRDefault="003E639E" w:rsidP="0079086C">
            <w:pPr>
              <w:pStyle w:val="TCTableBody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BDE153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</w:rPr>
                  <m:t>=0.218+0.018*(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BDE153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c9y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*Y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usa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390" w:type="dxa"/>
          </w:tcPr>
          <w:p w:rsidR="00DF051F" w:rsidRPr="00A767D9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BDE153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BDE-153 serum concentration at 26 weeks gestation (ng/g-lipid)</w:t>
            </w:r>
          </w:p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BDE153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c9y</m:t>
                  </m:r>
                </m:sub>
              </m:sSub>
            </m:oMath>
            <w:r w:rsidR="00DF051F">
              <w:rPr>
                <w:rFonts w:eastAsiaTheme="minorEastAsia"/>
              </w:rPr>
              <w:t xml:space="preserve">= </w:t>
            </w:r>
            <w:r w:rsidR="00DF051F" w:rsidRPr="00A767D9">
              <w:rPr>
                <w:rFonts w:eastAsiaTheme="minorEastAsia"/>
              </w:rPr>
              <w:t xml:space="preserve">index child </w:t>
            </w:r>
            <w:r w:rsidR="00DF051F">
              <w:rPr>
                <w:rFonts w:eastAsiaTheme="minorEastAsia"/>
              </w:rPr>
              <w:t>BDE-153</w:t>
            </w:r>
            <w:r w:rsidR="00DF051F" w:rsidRPr="00A767D9">
              <w:rPr>
                <w:rFonts w:eastAsiaTheme="minorEastAsia"/>
              </w:rPr>
              <w:t xml:space="preserve">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DF051F" w:rsidRPr="00A767D9" w:rsidRDefault="00DF051F" w:rsidP="0079086C">
            <w:pPr>
              <w:pStyle w:val="TCTableBody"/>
            </w:pPr>
            <m:oMath>
              <m:r>
                <w:rPr>
                  <w:rFonts w:ascii="Cambria Math" w:hAnsi="Cambria Math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usa</m:t>
                  </m:r>
                </m:sub>
              </m:sSub>
            </m:oMath>
            <w:r w:rsidRPr="00B16E3F">
              <w:rPr>
                <w:rFonts w:eastAsiaTheme="minorEastAsia"/>
              </w:rPr>
              <w:t xml:space="preserve"> = years in the United States prior to index child (years)</w:t>
            </w:r>
          </w:p>
        </w:tc>
      </w:tr>
    </w:tbl>
    <w:p w:rsidR="00DF051F" w:rsidRDefault="00DF051F" w:rsidP="00DF051F">
      <w:pPr>
        <w:contextualSpacing/>
        <w:rPr>
          <w:b/>
          <w:lang w:val="en-CA"/>
        </w:rPr>
      </w:pPr>
    </w:p>
    <w:p w:rsidR="00DF051F" w:rsidRDefault="00DF051F" w:rsidP="00DF051F">
      <w:pPr>
        <w:sectPr w:rsidR="00DF051F" w:rsidSect="00DF051F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DF051F" w:rsidRPr="00842974" w:rsidRDefault="00DF051F" w:rsidP="00824CEB">
      <w:pPr>
        <w:pStyle w:val="TOCHeading"/>
        <w:spacing w:line="240" w:lineRule="auto"/>
      </w:pPr>
      <w:bookmarkStart w:id="5" w:name="_Toc377721829"/>
      <w:bookmarkStart w:id="6" w:name="_Toc408235694"/>
      <w:r w:rsidRPr="005C4497">
        <w:lastRenderedPageBreak/>
        <w:t>Table S</w:t>
      </w:r>
      <w:r w:rsidR="00671AE6">
        <w:fldChar w:fldCharType="begin"/>
      </w:r>
      <w:r w:rsidR="00671AE6">
        <w:instrText xml:space="preserve"> SEQ Table \* ARABIC </w:instrText>
      </w:r>
      <w:r w:rsidR="00671AE6">
        <w:fldChar w:fldCharType="separate"/>
      </w:r>
      <w:r w:rsidRPr="005C4497">
        <w:rPr>
          <w:noProof/>
        </w:rPr>
        <w:t>3</w:t>
      </w:r>
      <w:r w:rsidR="00671AE6">
        <w:rPr>
          <w:noProof/>
        </w:rPr>
        <w:fldChar w:fldCharType="end"/>
      </w:r>
      <w:r w:rsidRPr="005C4497">
        <w:t>.</w:t>
      </w:r>
      <w:r w:rsidRPr="00842974">
        <w:t xml:space="preserve"> </w:t>
      </w:r>
      <w:r w:rsidRPr="0079086C">
        <w:rPr>
          <w:b w:val="0"/>
        </w:rPr>
        <w:t xml:space="preserve">DSA prediction equations for </w:t>
      </w:r>
      <w:proofErr w:type="spellStart"/>
      <w:r w:rsidRPr="0079086C">
        <w:rPr>
          <w:b w:val="0"/>
          <w:i/>
        </w:rPr>
        <w:t>p</w:t>
      </w:r>
      <w:proofErr w:type="gramStart"/>
      <w:r w:rsidRPr="0079086C">
        <w:rPr>
          <w:b w:val="0"/>
          <w:i/>
        </w:rPr>
        <w:t>,p</w:t>
      </w:r>
      <w:proofErr w:type="spellEnd"/>
      <w:r w:rsidRPr="0079086C">
        <w:rPr>
          <w:b w:val="0"/>
          <w:i/>
        </w:rPr>
        <w:t>’</w:t>
      </w:r>
      <w:proofErr w:type="gramEnd"/>
      <w:r w:rsidRPr="0079086C">
        <w:rPr>
          <w:b w:val="0"/>
        </w:rPr>
        <w:t>-DDT/E and PBDEs using both maternal and child 9-year serum levels (n=89)</w:t>
      </w:r>
      <w:bookmarkEnd w:id="5"/>
      <w:bookmarkEnd w:id="6"/>
    </w:p>
    <w:tbl>
      <w:tblPr>
        <w:tblW w:w="1317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6390"/>
      </w:tblGrid>
      <w:tr w:rsidR="00DF051F" w:rsidRPr="0079086C" w:rsidTr="0079086C">
        <w:trPr>
          <w:cantSplit/>
          <w:trHeight w:val="288"/>
        </w:trPr>
        <w:tc>
          <w:tcPr>
            <w:tcW w:w="6780" w:type="dxa"/>
            <w:tcBorders>
              <w:top w:val="single" w:sz="8" w:space="0" w:color="auto"/>
              <w:bottom w:val="single" w:sz="12" w:space="0" w:color="auto"/>
            </w:tcBorders>
          </w:tcPr>
          <w:p w:rsidR="00DF051F" w:rsidRPr="0079086C" w:rsidRDefault="00DF051F" w:rsidP="0079086C">
            <w:pPr>
              <w:pStyle w:val="TCTableBody"/>
              <w:rPr>
                <w:b/>
              </w:rPr>
            </w:pPr>
            <w:r w:rsidRPr="0079086C">
              <w:rPr>
                <w:b/>
              </w:rPr>
              <w:t>Equation</w:t>
            </w:r>
          </w:p>
        </w:tc>
        <w:tc>
          <w:tcPr>
            <w:tcW w:w="6390" w:type="dxa"/>
            <w:tcBorders>
              <w:top w:val="single" w:sz="8" w:space="0" w:color="auto"/>
              <w:bottom w:val="single" w:sz="12" w:space="0" w:color="auto"/>
            </w:tcBorders>
          </w:tcPr>
          <w:p w:rsidR="00DF051F" w:rsidRPr="0079086C" w:rsidRDefault="00DF051F" w:rsidP="0079086C">
            <w:pPr>
              <w:pStyle w:val="TCTableBody"/>
              <w:rPr>
                <w:b/>
              </w:rPr>
            </w:pPr>
            <w:r w:rsidRPr="0079086C">
              <w:rPr>
                <w:b/>
              </w:rPr>
              <w:t>Description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051F" w:rsidRPr="00A767D9" w:rsidRDefault="003E639E" w:rsidP="0079086C">
            <w:pPr>
              <w:pStyle w:val="TCTableBody"/>
              <w:rPr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 -0.149 + 0.901*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m9y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+ 0.382*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c9y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63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051F" w:rsidRPr="00A767D9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</w:t>
            </w:r>
            <w:proofErr w:type="spellStart"/>
            <w:r w:rsidR="004C7455" w:rsidRPr="004C7455">
              <w:rPr>
                <w:rFonts w:eastAsiaTheme="minorEastAsia" w:cs="Times"/>
                <w:i/>
              </w:rPr>
              <w:t>p,p</w:t>
            </w:r>
            <w:proofErr w:type="spellEnd"/>
            <w:r w:rsidR="004C7455" w:rsidRPr="004C7455">
              <w:rPr>
                <w:rFonts w:eastAsiaTheme="minorEastAsia" w:cs="Times"/>
                <w:i/>
              </w:rPr>
              <w:t>’</w:t>
            </w:r>
            <w:r w:rsidR="004C7455" w:rsidRPr="004C7455">
              <w:rPr>
                <w:rFonts w:eastAsiaTheme="minorEastAsia" w:cs="Times"/>
              </w:rPr>
              <w:t>-</w:t>
            </w:r>
            <w:r w:rsidR="00DF051F" w:rsidRPr="00A767D9">
              <w:rPr>
                <w:rFonts w:eastAsiaTheme="minorEastAsia"/>
              </w:rPr>
              <w:t>DDT serum concentration at 26 weeks gestation (ng/g-lipid)</w:t>
            </w:r>
          </w:p>
          <w:p w:rsidR="00DF051F" w:rsidRPr="00A767D9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</w:t>
            </w:r>
            <w:proofErr w:type="spellStart"/>
            <w:r w:rsidR="004C7455" w:rsidRPr="004C7455">
              <w:rPr>
                <w:rFonts w:eastAsiaTheme="minorEastAsia" w:cs="Times"/>
                <w:i/>
              </w:rPr>
              <w:t>p,p</w:t>
            </w:r>
            <w:proofErr w:type="spellEnd"/>
            <w:r w:rsidR="004C7455" w:rsidRPr="004C7455">
              <w:rPr>
                <w:rFonts w:eastAsiaTheme="minorEastAsia" w:cs="Times"/>
                <w:i/>
              </w:rPr>
              <w:t>’</w:t>
            </w:r>
            <w:r w:rsidR="004C7455" w:rsidRPr="004C7455">
              <w:rPr>
                <w:rFonts w:eastAsiaTheme="minorEastAsia" w:cs="Times"/>
              </w:rPr>
              <w:t>-</w:t>
            </w:r>
            <w:r w:rsidR="00DF051F" w:rsidRPr="00A767D9">
              <w:rPr>
                <w:rFonts w:eastAsiaTheme="minorEastAsia"/>
              </w:rPr>
              <w:t xml:space="preserve">DDT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DF051F" w:rsidRPr="00A767D9" w:rsidRDefault="0064368A" w:rsidP="0079086C">
            <w:pPr>
              <w:pStyle w:val="TCTableBody"/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c9y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index child </w:t>
            </w:r>
            <w:proofErr w:type="spellStart"/>
            <w:r w:rsidR="004C7455" w:rsidRPr="004C7455">
              <w:rPr>
                <w:rFonts w:eastAsiaTheme="minorEastAsia" w:cs="Times"/>
                <w:i/>
              </w:rPr>
              <w:t>p,p</w:t>
            </w:r>
            <w:proofErr w:type="spellEnd"/>
            <w:r w:rsidR="004C7455" w:rsidRPr="004C7455">
              <w:rPr>
                <w:rFonts w:eastAsiaTheme="minorEastAsia" w:cs="Times"/>
                <w:i/>
              </w:rPr>
              <w:t>’</w:t>
            </w:r>
            <w:r w:rsidR="004C7455" w:rsidRPr="004C7455">
              <w:rPr>
                <w:rFonts w:eastAsiaTheme="minorEastAsia" w:cs="Times"/>
              </w:rPr>
              <w:t>-</w:t>
            </w:r>
            <w:r w:rsidR="00DF051F" w:rsidRPr="00A767D9">
              <w:rPr>
                <w:rFonts w:eastAsiaTheme="minorEastAsia"/>
              </w:rPr>
              <w:t xml:space="preserve">DDE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</w:tcPr>
          <w:p w:rsidR="00AC646C" w:rsidRPr="00911398" w:rsidRDefault="003E639E" w:rsidP="00AF6AAB">
            <w:pPr>
              <w:pStyle w:val="TCTableBody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 -0.087+ 1.568*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DD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m9y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- 0.141*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DDE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m9y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+0.074*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DDE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c9y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-0.021*</m:t>
                </m:r>
                <m:r>
                  <w:rPr>
                    <w:rFonts w:ascii="Cambria Math" w:hAnsi="Cambria Math"/>
                    <w:vertAlign w:val="subscript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pre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+0.007*</m:t>
                </m:r>
                <m:r>
                  <w:rPr>
                    <w:rFonts w:ascii="Cambria Math" w:hAnsi="Cambria Math"/>
                    <w:vertAlign w:val="subscript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post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+0.006*</m:t>
                </m:r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c9y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+0.006*</m:t>
                </m:r>
                <m:r>
                  <w:rPr>
                    <w:rFonts w:ascii="Cambria Math" w:hAnsi="Cambria Math"/>
                    <w:vertAlign w:val="subscript"/>
                  </w:rPr>
                  <m:t>W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m9y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-7.250</m:t>
                </m:r>
                <m:r>
                  <w:rPr>
                    <w:rFonts w:ascii="Cambria Math" w:hAnsi="Cambria Math"/>
                    <w:vertAlign w:val="subscript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-5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del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+6.666</m:t>
                </m:r>
                <m:r>
                  <w:rPr>
                    <w:rFonts w:ascii="Cambria Math" w:hAnsi="Cambria Math"/>
                    <w:vertAlign w:val="subscript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-5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pre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390" w:type="dxa"/>
          </w:tcPr>
          <w:p w:rsidR="00DF051F" w:rsidRPr="00A767D9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</w:t>
            </w:r>
            <w:proofErr w:type="spellStart"/>
            <w:r w:rsidR="004C7455" w:rsidRPr="004C7455">
              <w:rPr>
                <w:rFonts w:eastAsiaTheme="minorEastAsia" w:cs="Times"/>
                <w:i/>
              </w:rPr>
              <w:t>p,p</w:t>
            </w:r>
            <w:proofErr w:type="spellEnd"/>
            <w:r w:rsidR="004C7455" w:rsidRPr="004C7455">
              <w:rPr>
                <w:rFonts w:eastAsiaTheme="minorEastAsia" w:cs="Times"/>
                <w:i/>
              </w:rPr>
              <w:t>’</w:t>
            </w:r>
            <w:r w:rsidR="004C7455" w:rsidRPr="004C7455">
              <w:rPr>
                <w:rFonts w:eastAsiaTheme="minorEastAsia" w:cs="Times"/>
              </w:rPr>
              <w:t>-</w:t>
            </w:r>
            <w:r w:rsidR="00DF051F" w:rsidRPr="00A767D9">
              <w:rPr>
                <w:rFonts w:eastAsiaTheme="minorEastAsia"/>
              </w:rPr>
              <w:t>DDE serum concentration at 26 weeks gestation (ng/g-lipid)</w:t>
            </w:r>
          </w:p>
          <w:p w:rsidR="0064368A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</w:t>
            </w:r>
            <w:proofErr w:type="spellStart"/>
            <w:r w:rsidR="004C7455" w:rsidRPr="004C7455">
              <w:rPr>
                <w:rFonts w:eastAsiaTheme="minorEastAsia" w:cs="Times"/>
                <w:i/>
              </w:rPr>
              <w:t>p,p</w:t>
            </w:r>
            <w:proofErr w:type="spellEnd"/>
            <w:r w:rsidR="004C7455" w:rsidRPr="004C7455">
              <w:rPr>
                <w:rFonts w:eastAsiaTheme="minorEastAsia" w:cs="Times"/>
                <w:i/>
              </w:rPr>
              <w:t>’</w:t>
            </w:r>
            <w:r w:rsidR="004C7455" w:rsidRPr="004C7455">
              <w:rPr>
                <w:rFonts w:eastAsiaTheme="minorEastAsia" w:cs="Times"/>
              </w:rPr>
              <w:t>-</w:t>
            </w:r>
            <w:r w:rsidR="00DF051F" w:rsidRPr="00A767D9">
              <w:rPr>
                <w:rFonts w:eastAsiaTheme="minorEastAsia"/>
              </w:rPr>
              <w:t xml:space="preserve">DDE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2D779D" w:rsidRDefault="002D779D" w:rsidP="002D779D">
            <w:pPr>
              <w:pStyle w:val="TCTableBody"/>
              <w:rPr>
                <w:rFonts w:ascii="Cambria Math" w:eastAsiaTheme="minorEastAsia" w:hAnsi="Cambria Math"/>
              </w:rPr>
            </w:pPr>
            <m:oMath>
              <m:r>
                <w:rPr>
                  <w:rFonts w:ascii="Cambria Math" w:eastAsiaTheme="minorEastAsia" w:hAnsi="Cambria Math"/>
                </w:rPr>
                <m:t>DD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c9y</m:t>
                  </m:r>
                </m:sub>
              </m:sSub>
            </m:oMath>
            <w:r w:rsidRPr="002D779D">
              <w:rPr>
                <w:rFonts w:ascii="Cambria Math" w:eastAsiaTheme="minorEastAsia" w:hAnsi="Cambria Math"/>
                <w:i/>
              </w:rPr>
              <w:t xml:space="preserve"> </w:t>
            </w:r>
            <w:r w:rsidRPr="00911398">
              <w:rPr>
                <w:rFonts w:ascii="Cambria Math" w:eastAsiaTheme="minorEastAsia" w:hAnsi="Cambria Math" w:hint="eastAsia"/>
              </w:rPr>
              <w:t xml:space="preserve">= </w:t>
            </w:r>
            <w:r w:rsidRPr="004C7455">
              <w:rPr>
                <w:rFonts w:eastAsiaTheme="minorEastAsia" w:cs="Times"/>
              </w:rPr>
              <w:t xml:space="preserve">index child </w:t>
            </w:r>
            <w:proofErr w:type="spellStart"/>
            <w:r w:rsidR="004C7455" w:rsidRPr="004C7455">
              <w:rPr>
                <w:rFonts w:eastAsiaTheme="minorEastAsia" w:cs="Times"/>
                <w:i/>
              </w:rPr>
              <w:t>p,p</w:t>
            </w:r>
            <w:proofErr w:type="spellEnd"/>
            <w:r w:rsidR="004C7455" w:rsidRPr="004C7455">
              <w:rPr>
                <w:rFonts w:eastAsiaTheme="minorEastAsia" w:cs="Times"/>
                <w:i/>
              </w:rPr>
              <w:t>’</w:t>
            </w:r>
            <w:r w:rsidR="004C7455" w:rsidRPr="004C7455">
              <w:rPr>
                <w:rFonts w:eastAsiaTheme="minorEastAsia" w:cs="Times"/>
              </w:rPr>
              <w:t>-</w:t>
            </w:r>
            <w:r w:rsidRPr="004C7455">
              <w:rPr>
                <w:rFonts w:eastAsiaTheme="minorEastAsia" w:cs="Times"/>
              </w:rPr>
              <w:t>DDE serum concentration at 9-year visit (ng/g-lipid)</w:t>
            </w:r>
          </w:p>
          <w:p w:rsidR="00911398" w:rsidRDefault="002D779D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W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pre</m:t>
                  </m:r>
                </m:sub>
              </m:sSub>
            </m:oMath>
            <w:r>
              <w:rPr>
                <w:rFonts w:eastAsiaTheme="minorEastAsia"/>
              </w:rPr>
              <w:t>= maternal pre-pregnancy weight (kg)</w:t>
            </w:r>
          </w:p>
          <w:p w:rsidR="00DF051F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  <w:vertAlign w:val="subscript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post</m:t>
                  </m:r>
                </m:sub>
              </m:sSub>
              <m:r>
                <w:rPr>
                  <w:rFonts w:ascii="Cambria Math" w:hAnsi="Cambria Math"/>
                  <w:vertAlign w:val="subscript"/>
                </w:rPr>
                <m:t xml:space="preserve"> </m:t>
              </m:r>
            </m:oMath>
            <w:r w:rsidR="00DF051F" w:rsidRPr="00A767D9">
              <w:rPr>
                <w:rFonts w:eastAsiaTheme="minorEastAsia"/>
              </w:rPr>
              <w:t>= cumulative breastfeeding duration post-index child (months)</w:t>
            </w:r>
          </w:p>
          <w:p w:rsidR="0064368A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c9y</m:t>
                  </m:r>
                </m:sub>
              </m:sSub>
            </m:oMath>
            <w:r w:rsidRPr="0064368A">
              <w:rPr>
                <w:rFonts w:eastAsiaTheme="minorEastAsia"/>
              </w:rPr>
              <w:t xml:space="preserve"> = child fat</w:t>
            </w:r>
            <w:r>
              <w:rPr>
                <w:rFonts w:eastAsiaTheme="minorEastAsia"/>
              </w:rPr>
              <w:t xml:space="preserve"> percentage at 9-year visit (%)</w:t>
            </w:r>
          </w:p>
          <w:p w:rsidR="0064368A" w:rsidRDefault="0064368A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  <w:vertAlign w:val="subscript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m9y</m:t>
                  </m:r>
                </m:sub>
              </m:sSub>
            </m:oMath>
            <w:r w:rsidRPr="0064368A">
              <w:rPr>
                <w:rFonts w:eastAsiaTheme="minorEastAsia"/>
              </w:rPr>
              <w:t>= maternal weight at 9-year visit (kg)</w:t>
            </w:r>
          </w:p>
          <w:p w:rsidR="00DF051F" w:rsidRPr="00A767D9" w:rsidRDefault="00AC646C" w:rsidP="0079086C">
            <w:pPr>
              <w:pStyle w:val="TCTableBody"/>
            </w:pPr>
            <m:oMath>
              <m:r>
                <w:rPr>
                  <w:rFonts w:ascii="Cambria Math" w:hAnsi="Cambria Math"/>
                  <w:vertAlign w:val="subscript"/>
                </w:rPr>
                <m:t>WT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del</m:t>
                  </m:r>
                </m:sub>
              </m:sSub>
            </m:oMath>
            <w:r>
              <w:rPr>
                <w:rFonts w:eastAsiaTheme="minorEastAsia"/>
              </w:rPr>
              <w:t xml:space="preserve"> = maternal pregnancy weight gain (kg)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  <w:shd w:val="clear" w:color="auto" w:fill="F2F2F2" w:themeFill="background1" w:themeFillShade="F2"/>
          </w:tcPr>
          <w:p w:rsidR="00DF051F" w:rsidRPr="00A767D9" w:rsidRDefault="003E639E" w:rsidP="00AF6AAB">
            <w:pPr>
              <w:pStyle w:val="TCTableBody"/>
              <w:rPr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BDE47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 xml:space="preserve">=0.816+1.102*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BDE153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m9y</m:t>
                            </m:r>
                          </m:sub>
                        </m:sSub>
                      </m:e>
                    </m:fun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-1.119*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BDE153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m9y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+0.663*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BDE100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m9y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+0.207*P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9y</m:t>
                    </m:r>
                  </m:sub>
                </m:sSub>
                <m:r>
                  <w:rPr>
                    <w:rFonts w:ascii="Cambria Math" w:hAnsi="Cambria Math"/>
                  </w:rPr>
                  <m:t>+0.018*Y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usa</m:t>
                    </m:r>
                  </m:sub>
                </m:sSub>
              </m:oMath>
            </m:oMathPara>
          </w:p>
        </w:tc>
        <w:tc>
          <w:tcPr>
            <w:tcW w:w="6390" w:type="dxa"/>
            <w:shd w:val="clear" w:color="auto" w:fill="F2F2F2" w:themeFill="background1" w:themeFillShade="F2"/>
          </w:tcPr>
          <w:p w:rsidR="00DF051F" w:rsidRPr="00A767D9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BDE47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BDE-47 serum concentration at 26 weeks gestation (ng/g-lipid)</w:t>
            </w:r>
          </w:p>
          <w:p w:rsidR="00C53C1C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</w:rPr>
                    <m:t>BDE153</m:t>
                  </m:r>
                </m:e>
                <m:sub>
                  <m:r>
                    <w:rPr>
                      <w:rFonts w:ascii="Cambria Math" w:eastAsiaTheme="minorEastAsia" w:hAnsi="Cambria Math" w:hint="eastAsia"/>
                      <w:vertAlign w:val="subscript"/>
                    </w:rPr>
                    <m:t>m9y</m:t>
                  </m:r>
                </m:sub>
              </m:sSub>
            </m:oMath>
            <w:r w:rsidR="00C53C1C" w:rsidRPr="00C53C1C">
              <w:rPr>
                <w:rFonts w:eastAsiaTheme="minorEastAsia"/>
              </w:rPr>
              <w:t xml:space="preserve"> = maternal BDE-153 serum concentration at 9-year</w:t>
            </w:r>
            <w:r w:rsidR="00C53C1C">
              <w:rPr>
                <w:rFonts w:eastAsiaTheme="minorEastAsia"/>
              </w:rPr>
              <w:t xml:space="preserve"> visit (ng/g-lipid)</w:t>
            </w:r>
          </w:p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BDE100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BDE-100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C53C1C" w:rsidRPr="00A767D9" w:rsidRDefault="00C53C1C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9y</m:t>
                  </m:r>
                </m:sub>
              </m:sSub>
            </m:oMath>
            <w:r w:rsidRPr="00C53C1C">
              <w:rPr>
                <w:rFonts w:eastAsiaTheme="minorEastAsia"/>
              </w:rPr>
              <w:t xml:space="preserve"> = poverty at 9-year visit (categorical)</w:t>
            </w:r>
          </w:p>
          <w:p w:rsidR="00DF051F" w:rsidRPr="00A767D9" w:rsidRDefault="00DF051F" w:rsidP="0079086C">
            <w:pPr>
              <w:pStyle w:val="TCTableBody"/>
            </w:pPr>
            <m:oMath>
              <m:r>
                <w:rPr>
                  <w:rFonts w:ascii="Cambria Math" w:hAnsi="Cambria Math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usa</m:t>
                  </m:r>
                </m:sub>
              </m:sSub>
            </m:oMath>
            <w:r w:rsidRPr="00A767D9">
              <w:rPr>
                <w:rFonts w:eastAsiaTheme="minorEastAsia"/>
              </w:rPr>
              <w:t xml:space="preserve"> = years in the United States prior to index child (years)</w:t>
            </w:r>
          </w:p>
        </w:tc>
      </w:tr>
      <w:tr w:rsidR="00DF051F" w:rsidRPr="00335136" w:rsidTr="0079086C">
        <w:trPr>
          <w:cantSplit/>
          <w:trHeight w:val="288"/>
        </w:trPr>
        <w:tc>
          <w:tcPr>
            <w:tcW w:w="6780" w:type="dxa"/>
          </w:tcPr>
          <w:p w:rsidR="00DF051F" w:rsidRPr="00AF6AAB" w:rsidRDefault="003E639E" w:rsidP="00AF6AAB">
            <w:pPr>
              <w:pStyle w:val="TCTableBody"/>
              <w:rPr>
                <w:vertAlign w:val="sub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BDE99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</w:rPr>
                  <m:t>=0.335</m:t>
                </m:r>
                <m:r>
                  <w:rPr>
                    <w:rFonts w:ascii="Cambria Math" w:hAnsi="Cambria Math"/>
                  </w:rPr>
                  <m:t>+0.839*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BDE100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m9y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BDE153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m9y</m:t>
                            </m:r>
                          </m:sub>
                        </m:sSub>
                      </m:e>
                    </m:func>
                  </m:e>
                </m:d>
              </m:oMath>
            </m:oMathPara>
          </w:p>
        </w:tc>
        <w:tc>
          <w:tcPr>
            <w:tcW w:w="6390" w:type="dxa"/>
          </w:tcPr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BDE99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BDE-99 serum concentration at 26 weeks gestation (ng/g-lipid)</w:t>
            </w:r>
          </w:p>
          <w:p w:rsidR="00DF051F" w:rsidRPr="00A767D9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BDE-100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DF051F" w:rsidRPr="00AF6AAB" w:rsidRDefault="003E639E" w:rsidP="00AF6AAB">
            <w:pPr>
              <w:pStyle w:val="TCTableBody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BDE-153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</w:tc>
      </w:tr>
      <w:tr w:rsidR="00DF051F" w:rsidRPr="002E4C63" w:rsidTr="0079086C">
        <w:trPr>
          <w:cantSplit/>
          <w:trHeight w:val="288"/>
        </w:trPr>
        <w:tc>
          <w:tcPr>
            <w:tcW w:w="6780" w:type="dxa"/>
            <w:shd w:val="clear" w:color="auto" w:fill="F2F2F2" w:themeFill="background1" w:themeFillShade="F2"/>
          </w:tcPr>
          <w:p w:rsidR="003F5F99" w:rsidRPr="00911398" w:rsidRDefault="003E639E" w:rsidP="00AF6AAB">
            <w:pPr>
              <w:pStyle w:val="TCTableBody"/>
              <w:rPr>
                <w:rFonts w:ascii="Cambria Math" w:hAnsi="Cambria Math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BDE100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</w:rPr>
                  <m:t>=0.044</m:t>
                </m:r>
                <m:r>
                  <w:rPr>
                    <w:rFonts w:ascii="Cambria Math" w:hAnsi="Cambria Math"/>
                  </w:rPr>
                  <m:t>+1.338*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lo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BDE100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m9y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BDE153</m:t>
                            </m:r>
                            <m:ctrlPr>
                              <w:rPr>
                                <w:rFonts w:ascii="Cambria Math" w:hAnsi="Cambria Math" w:cs="Cambria Math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m9y</m:t>
                            </m:r>
                          </m:sub>
                        </m:sSub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-0.638*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BDE99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m9y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BDE100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m9y</m:t>
                            </m:r>
                          </m:sub>
                        </m:sSub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+0.018*(Y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usa</m:t>
                    </m:r>
                  </m:sub>
                </m:sSub>
                <m:r>
                  <w:rPr>
                    <w:rFonts w:ascii="Cambria Math" w:hAnsi="Cambria Math"/>
                  </w:rPr>
                  <m:t>*U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9y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390" w:type="dxa"/>
            <w:shd w:val="clear" w:color="auto" w:fill="F2F2F2" w:themeFill="background1" w:themeFillShade="F2"/>
          </w:tcPr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BDE100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BDE-100 serum concentration at 26 weeks gestation (ng/g-lipid)</w:t>
            </w:r>
          </w:p>
          <w:p w:rsidR="004C7455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4C7455" w:rsidRPr="00A767D9">
              <w:rPr>
                <w:rFonts w:eastAsiaTheme="minorEastAsia"/>
              </w:rPr>
              <w:t xml:space="preserve"> = maternal BDE-100 serum concentration at </w:t>
            </w:r>
            <w:r w:rsidR="004C7455">
              <w:rPr>
                <w:rFonts w:eastAsiaTheme="minorEastAsia"/>
              </w:rPr>
              <w:t>9-year</w:t>
            </w:r>
            <w:r w:rsidR="004C7455" w:rsidRPr="00A767D9">
              <w:rPr>
                <w:rFonts w:eastAsiaTheme="minorEastAsia"/>
              </w:rPr>
              <w:t xml:space="preserve"> visit (ng/g-lipid)</w:t>
            </w:r>
          </w:p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BDE-153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BDE99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>
              <w:rPr>
                <w:rFonts w:eastAsiaTheme="minorEastAsia"/>
              </w:rPr>
              <w:t xml:space="preserve"> = </w:t>
            </w:r>
            <w:r w:rsidR="0064368A">
              <w:rPr>
                <w:rFonts w:eastAsiaTheme="minorEastAsia"/>
              </w:rPr>
              <w:t>maternal</w:t>
            </w:r>
            <w:r w:rsidR="00DF051F" w:rsidRPr="00A767D9">
              <w:rPr>
                <w:rFonts w:eastAsiaTheme="minorEastAsia"/>
              </w:rPr>
              <w:t xml:space="preserve"> BDE-</w:t>
            </w:r>
            <w:r w:rsidR="00DF051F">
              <w:rPr>
                <w:rFonts w:eastAsiaTheme="minorEastAsia"/>
              </w:rPr>
              <w:t>99</w:t>
            </w:r>
            <w:r w:rsidR="00DF051F" w:rsidRPr="00A767D9">
              <w:rPr>
                <w:rFonts w:eastAsiaTheme="minorEastAsia"/>
              </w:rPr>
              <w:t xml:space="preserve">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64368A" w:rsidRDefault="002D779D" w:rsidP="0079086C">
            <w:pPr>
              <w:pStyle w:val="TCTableBody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Y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usa</m:t>
                  </m:r>
                </m:sub>
              </m:sSub>
            </m:oMath>
            <w:r w:rsidRPr="002D779D">
              <w:rPr>
                <w:rFonts w:eastAsiaTheme="minorEastAsia"/>
              </w:rPr>
              <w:t xml:space="preserve"> = years in the United Stat</w:t>
            </w:r>
            <w:r>
              <w:rPr>
                <w:rFonts w:eastAsiaTheme="minorEastAsia"/>
              </w:rPr>
              <w:t>es prior to index child (years)</w:t>
            </w:r>
          </w:p>
          <w:p w:rsidR="00DF051F" w:rsidRPr="00A767D9" w:rsidRDefault="003E639E" w:rsidP="0079086C">
            <w:pPr>
              <w:pStyle w:val="TCTableBody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9y</m:t>
                  </m:r>
                </m:sub>
              </m:sSub>
            </m:oMath>
            <w:r w:rsidR="00674EA4" w:rsidRPr="00674EA4">
              <w:rPr>
                <w:rFonts w:eastAsiaTheme="minorEastAsia"/>
              </w:rPr>
              <w:t xml:space="preserve"> = Upholstery furniture present in home at 9-year visit (yes/no)</w:t>
            </w:r>
          </w:p>
        </w:tc>
      </w:tr>
      <w:tr w:rsidR="00DF051F" w:rsidRPr="002E4C63" w:rsidTr="0079086C">
        <w:trPr>
          <w:cantSplit/>
          <w:trHeight w:val="288"/>
        </w:trPr>
        <w:tc>
          <w:tcPr>
            <w:tcW w:w="6780" w:type="dxa"/>
          </w:tcPr>
          <w:p w:rsidR="00DF051F" w:rsidRPr="00C72E27" w:rsidRDefault="003E639E" w:rsidP="00AF6AAB">
            <w:pPr>
              <w:pStyle w:val="TCTableBody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BDE153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m26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</w:rPr>
                  <m:t>= -0.059</m:t>
                </m:r>
                <m:r>
                  <w:rPr>
                    <w:rFonts w:ascii="Cambria Math" w:hAnsi="Cambria Math"/>
                  </w:rPr>
                  <m:t>+0.701*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sub>
                        </m:sSub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BDE153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m9y</m:t>
                            </m:r>
                          </m:sub>
                        </m:sSub>
                      </m:e>
                    </m:fun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+0.017*Y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usa</m:t>
                    </m:r>
                  </m:sub>
                </m:sSub>
              </m:oMath>
            </m:oMathPara>
          </w:p>
        </w:tc>
        <w:tc>
          <w:tcPr>
            <w:tcW w:w="6390" w:type="dxa"/>
          </w:tcPr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BDE153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m26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BDE-153 serum concentration at 26 weeks gestation (ng/g-lipid)</w:t>
            </w:r>
          </w:p>
          <w:p w:rsidR="00DF051F" w:rsidRDefault="003E639E" w:rsidP="0079086C">
            <w:pPr>
              <w:pStyle w:val="TCTableBody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BDE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m9y</m:t>
                  </m:r>
                </m:sub>
              </m:sSub>
            </m:oMath>
            <w:r w:rsidR="00DF051F" w:rsidRPr="00A767D9">
              <w:rPr>
                <w:rFonts w:eastAsiaTheme="minorEastAsia"/>
              </w:rPr>
              <w:t xml:space="preserve"> = maternal BDE-153 serum concentration at </w:t>
            </w:r>
            <w:r w:rsidR="00DF051F">
              <w:rPr>
                <w:rFonts w:eastAsiaTheme="minorEastAsia"/>
              </w:rPr>
              <w:t>9-year</w:t>
            </w:r>
            <w:r w:rsidR="00DF051F" w:rsidRPr="00A767D9">
              <w:rPr>
                <w:rFonts w:eastAsiaTheme="minorEastAsia"/>
              </w:rPr>
              <w:t xml:space="preserve"> visit (ng/g-lipid)</w:t>
            </w:r>
          </w:p>
          <w:p w:rsidR="00DF051F" w:rsidRPr="00A767D9" w:rsidRDefault="00DF051F" w:rsidP="0079086C">
            <w:pPr>
              <w:pStyle w:val="TCTableBody"/>
            </w:pPr>
            <m:oMath>
              <m:r>
                <w:rPr>
                  <w:rFonts w:ascii="Cambria Math" w:hAnsi="Cambria Math"/>
                </w:rPr>
                <m:t>Y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usa</m:t>
                  </m:r>
                </m:sub>
              </m:sSub>
            </m:oMath>
            <w:r w:rsidRPr="00A767D9">
              <w:rPr>
                <w:rFonts w:eastAsiaTheme="minorEastAsia"/>
              </w:rPr>
              <w:t xml:space="preserve"> = years in the United States prior to index child (years)</w:t>
            </w:r>
          </w:p>
        </w:tc>
      </w:tr>
    </w:tbl>
    <w:p w:rsidR="00DF051F" w:rsidRDefault="00DF051F" w:rsidP="00DF051F"/>
    <w:p w:rsidR="00DF051F" w:rsidRDefault="00DF051F" w:rsidP="00DF051F">
      <w:pPr>
        <w:sectPr w:rsidR="00DF051F" w:rsidSect="00DF051F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DF051F" w:rsidRDefault="00DF051F" w:rsidP="00DF051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5402766" cy="6233532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DSA_PK_pred_meas_c9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66" cy="623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51F" w:rsidRPr="00DF051F" w:rsidRDefault="00DF051F" w:rsidP="0079086C">
      <w:pPr>
        <w:pStyle w:val="TOCHeading"/>
      </w:pPr>
      <w:bookmarkStart w:id="7" w:name="_Toc377721830"/>
      <w:bookmarkStart w:id="8" w:name="_Toc408235695"/>
      <w:r w:rsidRPr="00DF051F">
        <w:rPr>
          <w:bCs/>
        </w:rPr>
        <w:t>Figure S1</w:t>
      </w:r>
      <w:bookmarkEnd w:id="7"/>
      <w:r w:rsidRPr="00DF051F">
        <w:rPr>
          <w:bCs/>
        </w:rPr>
        <w:t>.</w:t>
      </w:r>
      <w:r w:rsidRPr="00DF051F">
        <w:t xml:space="preserve"> </w:t>
      </w:r>
      <w:r w:rsidRPr="0079086C">
        <w:rPr>
          <w:b w:val="0"/>
        </w:rPr>
        <w:t xml:space="preserve">Scatterplots of back-extrapolated versus measured prenatal (~26 weeks gestation) serum concentrations of </w:t>
      </w:r>
      <w:proofErr w:type="spellStart"/>
      <w:r w:rsidRPr="0079086C">
        <w:rPr>
          <w:b w:val="0"/>
          <w:i/>
        </w:rPr>
        <w:t>p</w:t>
      </w:r>
      <w:proofErr w:type="gramStart"/>
      <w:r w:rsidRPr="0079086C">
        <w:rPr>
          <w:b w:val="0"/>
          <w:i/>
        </w:rPr>
        <w:t>,p</w:t>
      </w:r>
      <w:proofErr w:type="spellEnd"/>
      <w:r w:rsidRPr="0079086C">
        <w:rPr>
          <w:b w:val="0"/>
          <w:i/>
        </w:rPr>
        <w:t>’</w:t>
      </w:r>
      <w:proofErr w:type="gramEnd"/>
      <w:r w:rsidRPr="0079086C">
        <w:rPr>
          <w:b w:val="0"/>
        </w:rPr>
        <w:t xml:space="preserve">-DDT/E and PBDEs using </w:t>
      </w:r>
      <w:r w:rsidRPr="0079086C">
        <w:rPr>
          <w:b w:val="0"/>
          <w:u w:val="single"/>
        </w:rPr>
        <w:t>9-year child serum levels (n=161)</w:t>
      </w:r>
      <w:r w:rsidRPr="0079086C">
        <w:rPr>
          <w:b w:val="0"/>
        </w:rPr>
        <w:t>. Root mean squared errors (RMSEs) and correlation coefficients (R</w:t>
      </w:r>
      <w:r w:rsidRPr="0079086C">
        <w:rPr>
          <w:b w:val="0"/>
          <w:vertAlign w:val="superscript"/>
        </w:rPr>
        <w:t>2</w:t>
      </w:r>
      <w:r w:rsidRPr="0079086C">
        <w:rPr>
          <w:b w:val="0"/>
        </w:rPr>
        <w:t>s) were calculated comparing the linear fit of back-extrapolated and measured log</w:t>
      </w:r>
      <w:r w:rsidRPr="0079086C">
        <w:rPr>
          <w:b w:val="0"/>
          <w:vertAlign w:val="subscript"/>
        </w:rPr>
        <w:t>10</w:t>
      </w:r>
      <w:r w:rsidRPr="0079086C">
        <w:rPr>
          <w:b w:val="0"/>
        </w:rPr>
        <w:t xml:space="preserve"> serum levels (red line). Black line represents perfect back-extrapolation. SL = Super</w:t>
      </w:r>
      <w:r w:rsidR="00911398">
        <w:rPr>
          <w:b w:val="0"/>
        </w:rPr>
        <w:t xml:space="preserve"> </w:t>
      </w:r>
      <w:r w:rsidRPr="0079086C">
        <w:rPr>
          <w:b w:val="0"/>
        </w:rPr>
        <w:t>Learner, DSA = Deletion/ Substitution/ Addition, and PK = pharmacokinetic model.</w:t>
      </w:r>
      <w:bookmarkEnd w:id="8"/>
    </w:p>
    <w:p w:rsidR="00DF051F" w:rsidRDefault="00DF051F" w:rsidP="00DF051F">
      <w:pPr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4992235" cy="5760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DSA_pred_meas_m9y_c9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235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_Toc377721831"/>
    </w:p>
    <w:p w:rsidR="009246AD" w:rsidRPr="0079086C" w:rsidRDefault="00DF051F" w:rsidP="0079086C">
      <w:pPr>
        <w:pStyle w:val="TOCHeading"/>
      </w:pPr>
      <w:bookmarkStart w:id="10" w:name="_Toc408235696"/>
      <w:r w:rsidRPr="00DF051F">
        <w:t xml:space="preserve">Figure S2. </w:t>
      </w:r>
      <w:bookmarkEnd w:id="9"/>
      <w:r w:rsidRPr="0079086C">
        <w:rPr>
          <w:b w:val="0"/>
        </w:rPr>
        <w:t xml:space="preserve">Scatterplots of back-extrapolated versus measured prenatal (~26 weeks gestation) serum concentrations of </w:t>
      </w:r>
      <w:proofErr w:type="spellStart"/>
      <w:r w:rsidRPr="0079086C">
        <w:rPr>
          <w:b w:val="0"/>
          <w:i/>
        </w:rPr>
        <w:t>p</w:t>
      </w:r>
      <w:proofErr w:type="gramStart"/>
      <w:r w:rsidRPr="0079086C">
        <w:rPr>
          <w:b w:val="0"/>
          <w:i/>
        </w:rPr>
        <w:t>,p</w:t>
      </w:r>
      <w:proofErr w:type="spellEnd"/>
      <w:r w:rsidRPr="0079086C">
        <w:rPr>
          <w:b w:val="0"/>
          <w:i/>
        </w:rPr>
        <w:t>’</w:t>
      </w:r>
      <w:proofErr w:type="gramEnd"/>
      <w:r w:rsidRPr="0079086C">
        <w:rPr>
          <w:b w:val="0"/>
        </w:rPr>
        <w:t xml:space="preserve">-DDT/E and PBDEs using </w:t>
      </w:r>
      <w:r w:rsidRPr="0079086C">
        <w:rPr>
          <w:b w:val="0"/>
          <w:u w:val="single"/>
        </w:rPr>
        <w:t>both 9-year maternal and child serum levels (n=89)</w:t>
      </w:r>
      <w:r w:rsidRPr="0079086C">
        <w:rPr>
          <w:b w:val="0"/>
        </w:rPr>
        <w:t>. Root mean squared errors (RMSEs) and correlation coefficients (R</w:t>
      </w:r>
      <w:r w:rsidRPr="0079086C">
        <w:rPr>
          <w:b w:val="0"/>
          <w:vertAlign w:val="superscript"/>
        </w:rPr>
        <w:t>2</w:t>
      </w:r>
      <w:r w:rsidRPr="0079086C">
        <w:rPr>
          <w:b w:val="0"/>
        </w:rPr>
        <w:t>s) were calculated comparing the linear fit of back-extrapolated and measured log</w:t>
      </w:r>
      <w:r w:rsidRPr="0079086C">
        <w:rPr>
          <w:b w:val="0"/>
          <w:vertAlign w:val="subscript"/>
        </w:rPr>
        <w:t>10</w:t>
      </w:r>
      <w:r w:rsidRPr="0079086C">
        <w:rPr>
          <w:b w:val="0"/>
        </w:rPr>
        <w:t xml:space="preserve"> serum levels (red line). Black line represents perfect back-extrapolation. SL = Super</w:t>
      </w:r>
      <w:r w:rsidR="00911398">
        <w:rPr>
          <w:b w:val="0"/>
        </w:rPr>
        <w:t xml:space="preserve"> </w:t>
      </w:r>
      <w:r w:rsidRPr="0079086C">
        <w:rPr>
          <w:b w:val="0"/>
        </w:rPr>
        <w:t>Learner and DSA = Deletion/ Substitution/ Addition.</w:t>
      </w:r>
      <w:bookmarkEnd w:id="10"/>
    </w:p>
    <w:sectPr w:rsidR="009246AD" w:rsidRPr="0079086C" w:rsidSect="000B5610">
      <w:footerReference w:type="even" r:id="rId12"/>
      <w:footerReference w:type="default" r:id="rId13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C1" w:rsidRDefault="003858C1">
      <w:r>
        <w:separator/>
      </w:r>
    </w:p>
  </w:endnote>
  <w:endnote w:type="continuationSeparator" w:id="0">
    <w:p w:rsidR="003858C1" w:rsidRDefault="003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477028"/>
      <w:docPartObj>
        <w:docPartGallery w:val="Page Numbers (Bottom of Page)"/>
        <w:docPartUnique/>
      </w:docPartObj>
    </w:sdtPr>
    <w:sdtEndPr/>
    <w:sdtContent>
      <w:p w:rsidR="0092423F" w:rsidRDefault="0092423F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23F" w:rsidRDefault="00924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3F" w:rsidRDefault="00924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423F" w:rsidRDefault="0092423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3F" w:rsidRDefault="00924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39E">
      <w:rPr>
        <w:rStyle w:val="PageNumber"/>
        <w:noProof/>
      </w:rPr>
      <w:t>14</w:t>
    </w:r>
    <w:r>
      <w:rPr>
        <w:rStyle w:val="PageNumber"/>
      </w:rPr>
      <w:fldChar w:fldCharType="end"/>
    </w:r>
  </w:p>
  <w:p w:rsidR="0092423F" w:rsidRDefault="009242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C1" w:rsidRDefault="003858C1">
      <w:r>
        <w:separator/>
      </w:r>
    </w:p>
  </w:footnote>
  <w:footnote w:type="continuationSeparator" w:id="0">
    <w:p w:rsidR="003858C1" w:rsidRDefault="0038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7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4F"/>
    <w:rsid w:val="0004450F"/>
    <w:rsid w:val="0005660F"/>
    <w:rsid w:val="000702AD"/>
    <w:rsid w:val="000A7AAE"/>
    <w:rsid w:val="000B5610"/>
    <w:rsid w:val="000C05CC"/>
    <w:rsid w:val="00195ACA"/>
    <w:rsid w:val="001A7A90"/>
    <w:rsid w:val="001E3050"/>
    <w:rsid w:val="00212B1D"/>
    <w:rsid w:val="00237D10"/>
    <w:rsid w:val="002500F6"/>
    <w:rsid w:val="00271A02"/>
    <w:rsid w:val="002A7493"/>
    <w:rsid w:val="002C3431"/>
    <w:rsid w:val="002D0074"/>
    <w:rsid w:val="002D779D"/>
    <w:rsid w:val="002E41E4"/>
    <w:rsid w:val="003066DE"/>
    <w:rsid w:val="00307AA4"/>
    <w:rsid w:val="003168B3"/>
    <w:rsid w:val="00324128"/>
    <w:rsid w:val="0036554F"/>
    <w:rsid w:val="003664E9"/>
    <w:rsid w:val="003679A1"/>
    <w:rsid w:val="003858C1"/>
    <w:rsid w:val="003B2FFA"/>
    <w:rsid w:val="003B4AF3"/>
    <w:rsid w:val="003E1F76"/>
    <w:rsid w:val="003E639E"/>
    <w:rsid w:val="003F5F99"/>
    <w:rsid w:val="0041244A"/>
    <w:rsid w:val="00475FD2"/>
    <w:rsid w:val="004C2869"/>
    <w:rsid w:val="004C7455"/>
    <w:rsid w:val="004E7185"/>
    <w:rsid w:val="005553EF"/>
    <w:rsid w:val="005557CF"/>
    <w:rsid w:val="00591A57"/>
    <w:rsid w:val="005C4497"/>
    <w:rsid w:val="005C748D"/>
    <w:rsid w:val="005D0C10"/>
    <w:rsid w:val="005F006F"/>
    <w:rsid w:val="0064368A"/>
    <w:rsid w:val="006455A5"/>
    <w:rsid w:val="00657BC5"/>
    <w:rsid w:val="00671AE6"/>
    <w:rsid w:val="00674EA4"/>
    <w:rsid w:val="00687997"/>
    <w:rsid w:val="006B2581"/>
    <w:rsid w:val="007629D3"/>
    <w:rsid w:val="0079086C"/>
    <w:rsid w:val="0079217E"/>
    <w:rsid w:val="00794616"/>
    <w:rsid w:val="008012FA"/>
    <w:rsid w:val="00801F93"/>
    <w:rsid w:val="008047DE"/>
    <w:rsid w:val="00816C55"/>
    <w:rsid w:val="00824CEB"/>
    <w:rsid w:val="008655C0"/>
    <w:rsid w:val="00911398"/>
    <w:rsid w:val="00912169"/>
    <w:rsid w:val="0092037A"/>
    <w:rsid w:val="0092423F"/>
    <w:rsid w:val="009246AD"/>
    <w:rsid w:val="009F2E7E"/>
    <w:rsid w:val="00A02D62"/>
    <w:rsid w:val="00A20EB5"/>
    <w:rsid w:val="00A24B94"/>
    <w:rsid w:val="00A764EF"/>
    <w:rsid w:val="00AB34C5"/>
    <w:rsid w:val="00AC646C"/>
    <w:rsid w:val="00AF6AAB"/>
    <w:rsid w:val="00AF7F6A"/>
    <w:rsid w:val="00B05A88"/>
    <w:rsid w:val="00B325FD"/>
    <w:rsid w:val="00B7618D"/>
    <w:rsid w:val="00BA57BD"/>
    <w:rsid w:val="00BD2C44"/>
    <w:rsid w:val="00C10EE0"/>
    <w:rsid w:val="00C12556"/>
    <w:rsid w:val="00C36E3E"/>
    <w:rsid w:val="00C53C1C"/>
    <w:rsid w:val="00C6170A"/>
    <w:rsid w:val="00D32E24"/>
    <w:rsid w:val="00DD6DBB"/>
    <w:rsid w:val="00DF051F"/>
    <w:rsid w:val="00E074F2"/>
    <w:rsid w:val="00E16342"/>
    <w:rsid w:val="00E51AB7"/>
    <w:rsid w:val="00E91482"/>
    <w:rsid w:val="00E96302"/>
    <w:rsid w:val="00F134F5"/>
    <w:rsid w:val="00F47B85"/>
    <w:rsid w:val="00F520B2"/>
    <w:rsid w:val="00F5645C"/>
    <w:rsid w:val="00FD13BF"/>
    <w:rsid w:val="00FE621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51F"/>
    <w:pPr>
      <w:keepNext/>
      <w:keepLines/>
      <w:spacing w:before="480" w:after="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Cs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51F"/>
    <w:pPr>
      <w:keepNext/>
      <w:keepLines/>
      <w:spacing w:before="200" w:after="0" w:line="276" w:lineRule="auto"/>
      <w:jc w:val="left"/>
      <w:outlineLvl w:val="1"/>
    </w:pPr>
    <w:rPr>
      <w:rFonts w:ascii="Times New Roman" w:eastAsiaTheme="majorEastAsia" w:hAnsi="Times New Roman" w:cstheme="majorBidi"/>
      <w:b/>
      <w:bCs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51F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51F"/>
    <w:rPr>
      <w:rFonts w:ascii="Times" w:hAnsi="Times"/>
      <w:sz w:val="24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1F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051F"/>
    <w:rPr>
      <w:rFonts w:ascii="Times New Roman" w:eastAsiaTheme="majorEastAsia" w:hAnsi="Times New Roman" w:cstheme="majorBidi"/>
      <w:b/>
      <w:bCs/>
      <w:sz w:val="24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DF051F"/>
    <w:rPr>
      <w:rFonts w:ascii="Times New Roman" w:eastAsiaTheme="majorEastAsia" w:hAnsi="Times New Roman" w:cstheme="majorBidi"/>
      <w:b/>
      <w:bCs/>
      <w:sz w:val="24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DF0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DF051F"/>
    <w:rPr>
      <w:rFonts w:ascii="Times New Roman" w:eastAsiaTheme="minorHAnsi" w:hAnsi="Times New Roman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51F"/>
    <w:pPr>
      <w:tabs>
        <w:tab w:val="center" w:pos="4320"/>
        <w:tab w:val="right" w:pos="8640"/>
      </w:tabs>
      <w:spacing w:after="0"/>
      <w:jc w:val="left"/>
    </w:pPr>
    <w:rPr>
      <w:rFonts w:ascii="Times New Roman" w:eastAsiaTheme="minorHAnsi" w:hAnsi="Times New Roman" w:cs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51F"/>
    <w:rPr>
      <w:rFonts w:ascii="Times New Roman" w:eastAsiaTheme="minorHAnsi" w:hAnsi="Times New Roman" w:cstheme="minorHAnsi"/>
    </w:rPr>
  </w:style>
  <w:style w:type="paragraph" w:styleId="CommentText">
    <w:name w:val="annotation text"/>
    <w:basedOn w:val="Normal"/>
    <w:link w:val="CommentTextChar"/>
    <w:uiPriority w:val="99"/>
    <w:unhideWhenUsed/>
    <w:rsid w:val="00DF051F"/>
    <w:pPr>
      <w:jc w:val="left"/>
    </w:pPr>
    <w:rPr>
      <w:rFonts w:ascii="Times New Roman" w:eastAsiaTheme="minorHAnsi" w:hAnsi="Times New Roman" w:cstheme="minorHAnsi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051F"/>
    <w:rPr>
      <w:rFonts w:ascii="Times New Roman" w:eastAsiaTheme="minorHAnsi" w:hAnsi="Times New Roman" w:cstheme="minorHAns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051F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51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TOCHeading">
    <w:name w:val="TOC Heading"/>
    <w:basedOn w:val="VDTableTitle"/>
    <w:next w:val="Normal"/>
    <w:uiPriority w:val="39"/>
    <w:unhideWhenUsed/>
    <w:qFormat/>
    <w:rsid w:val="0079086C"/>
    <w:rPr>
      <w:b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F051F"/>
    <w:pPr>
      <w:spacing w:after="100" w:line="276" w:lineRule="auto"/>
      <w:jc w:val="left"/>
    </w:pPr>
    <w:rPr>
      <w:rFonts w:ascii="Times New Roman" w:eastAsiaTheme="minorHAnsi" w:hAnsi="Times New Roman" w:cstheme="minorHAnsi"/>
      <w:szCs w:val="24"/>
    </w:rPr>
  </w:style>
  <w:style w:type="paragraph" w:styleId="TableofFigures">
    <w:name w:val="table of figures"/>
    <w:basedOn w:val="Normal"/>
    <w:next w:val="Normal"/>
    <w:uiPriority w:val="99"/>
    <w:rsid w:val="003066DE"/>
    <w:pPr>
      <w:spacing w:after="0"/>
      <w:ind w:left="144" w:hanging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51F"/>
    <w:pPr>
      <w:keepNext/>
      <w:keepLines/>
      <w:spacing w:before="480" w:after="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Cs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51F"/>
    <w:pPr>
      <w:keepNext/>
      <w:keepLines/>
      <w:spacing w:before="200" w:after="0" w:line="276" w:lineRule="auto"/>
      <w:jc w:val="left"/>
      <w:outlineLvl w:val="1"/>
    </w:pPr>
    <w:rPr>
      <w:rFonts w:ascii="Times New Roman" w:eastAsiaTheme="majorEastAsia" w:hAnsi="Times New Roman" w:cstheme="majorBidi"/>
      <w:b/>
      <w:bCs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51F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51F"/>
    <w:rPr>
      <w:rFonts w:ascii="Times" w:hAnsi="Times"/>
      <w:sz w:val="24"/>
    </w:r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E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1F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051F"/>
    <w:rPr>
      <w:rFonts w:ascii="Times New Roman" w:eastAsiaTheme="majorEastAsia" w:hAnsi="Times New Roman" w:cstheme="majorBidi"/>
      <w:b/>
      <w:bCs/>
      <w:sz w:val="24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DF051F"/>
    <w:rPr>
      <w:rFonts w:ascii="Times New Roman" w:eastAsiaTheme="majorEastAsia" w:hAnsi="Times New Roman" w:cstheme="majorBidi"/>
      <w:b/>
      <w:bCs/>
      <w:sz w:val="24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DF05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DF051F"/>
    <w:rPr>
      <w:rFonts w:ascii="Times New Roman" w:eastAsiaTheme="minorHAnsi" w:hAnsi="Times New Roman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51F"/>
    <w:pPr>
      <w:tabs>
        <w:tab w:val="center" w:pos="4320"/>
        <w:tab w:val="right" w:pos="8640"/>
      </w:tabs>
      <w:spacing w:after="0"/>
      <w:jc w:val="left"/>
    </w:pPr>
    <w:rPr>
      <w:rFonts w:ascii="Times New Roman" w:eastAsiaTheme="minorHAnsi" w:hAnsi="Times New Roman" w:cs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51F"/>
    <w:rPr>
      <w:rFonts w:ascii="Times New Roman" w:eastAsiaTheme="minorHAnsi" w:hAnsi="Times New Roman" w:cstheme="minorHAnsi"/>
    </w:rPr>
  </w:style>
  <w:style w:type="paragraph" w:styleId="CommentText">
    <w:name w:val="annotation text"/>
    <w:basedOn w:val="Normal"/>
    <w:link w:val="CommentTextChar"/>
    <w:uiPriority w:val="99"/>
    <w:unhideWhenUsed/>
    <w:rsid w:val="00DF051F"/>
    <w:pPr>
      <w:jc w:val="left"/>
    </w:pPr>
    <w:rPr>
      <w:rFonts w:ascii="Times New Roman" w:eastAsiaTheme="minorHAnsi" w:hAnsi="Times New Roman" w:cstheme="minorHAnsi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051F"/>
    <w:rPr>
      <w:rFonts w:ascii="Times New Roman" w:eastAsiaTheme="minorHAnsi" w:hAnsi="Times New Roman" w:cstheme="minorHAns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051F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51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TOCHeading">
    <w:name w:val="TOC Heading"/>
    <w:basedOn w:val="VDTableTitle"/>
    <w:next w:val="Normal"/>
    <w:uiPriority w:val="39"/>
    <w:unhideWhenUsed/>
    <w:qFormat/>
    <w:rsid w:val="0079086C"/>
    <w:rPr>
      <w:b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F051F"/>
    <w:pPr>
      <w:spacing w:after="100" w:line="276" w:lineRule="auto"/>
      <w:jc w:val="left"/>
    </w:pPr>
    <w:rPr>
      <w:rFonts w:ascii="Times New Roman" w:eastAsiaTheme="minorHAnsi" w:hAnsi="Times New Roman" w:cstheme="minorHAnsi"/>
      <w:szCs w:val="24"/>
    </w:rPr>
  </w:style>
  <w:style w:type="paragraph" w:styleId="TableofFigures">
    <w:name w:val="table of figures"/>
    <w:basedOn w:val="Normal"/>
    <w:next w:val="Normal"/>
    <w:uiPriority w:val="99"/>
    <w:rsid w:val="003066DE"/>
    <w:pPr>
      <w:spacing w:after="0"/>
      <w:ind w:left="144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!FRASE~1\AppData\Local\Temp\acstemplate_msw201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F958-64E5-4EC7-81BD-58AEC5BF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acstemplate_msw2010-1.dotx</Template>
  <TotalTime>0</TotalTime>
  <Pages>14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14102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Fraser Gaspar</dc:creator>
  <cp:lastModifiedBy>Shya Castillo</cp:lastModifiedBy>
  <cp:revision>2</cp:revision>
  <cp:lastPrinted>2008-06-11T21:33:00Z</cp:lastPrinted>
  <dcterms:created xsi:type="dcterms:W3CDTF">2015-04-21T22:00:00Z</dcterms:created>
  <dcterms:modified xsi:type="dcterms:W3CDTF">2015-04-21T22:00:00Z</dcterms:modified>
</cp:coreProperties>
</file>