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6" w:type="dxa"/>
        <w:tblInd w:w="92" w:type="dxa"/>
        <w:tblLook w:val="0000" w:firstRow="0" w:lastRow="0" w:firstColumn="0" w:lastColumn="0" w:noHBand="0" w:noVBand="0"/>
      </w:tblPr>
      <w:tblGrid>
        <w:gridCol w:w="1276"/>
        <w:gridCol w:w="1350"/>
        <w:gridCol w:w="1530"/>
        <w:gridCol w:w="1620"/>
        <w:gridCol w:w="1800"/>
        <w:gridCol w:w="1710"/>
      </w:tblGrid>
      <w:tr w:rsidR="00C0505A" w:rsidRPr="00945FA7">
        <w:trPr>
          <w:trHeight w:val="260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05A" w:rsidRPr="00945FA7" w:rsidRDefault="00C832F3" w:rsidP="00595A37">
            <w:pPr>
              <w:spacing w:before="2" w:after="2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S6</w:t>
            </w:r>
            <w:bookmarkStart w:id="0" w:name="_GoBack"/>
            <w:bookmarkEnd w:id="0"/>
            <w:r w:rsidR="00C0505A">
              <w:rPr>
                <w:rFonts w:ascii="Times New Roman" w:hAnsi="Times New Roman"/>
                <w:sz w:val="22"/>
                <w:szCs w:val="20"/>
                <w:lang w:eastAsia="en-US"/>
              </w:rPr>
              <w:t xml:space="preserve"> Table. Proportion of each PI SDRM According to </w:t>
            </w:r>
            <w:proofErr w:type="spellStart"/>
            <w:r w:rsidR="00C0505A">
              <w:rPr>
                <w:rFonts w:ascii="Times New Roman" w:hAnsi="Times New Roman"/>
                <w:sz w:val="22"/>
                <w:szCs w:val="20"/>
                <w:lang w:eastAsia="en-US"/>
              </w:rPr>
              <w:t>Region</w:t>
            </w:r>
            <w:r w:rsidR="00C0505A" w:rsidRPr="00E27442">
              <w:rPr>
                <w:rFonts w:ascii="Times New Roman" w:hAnsi="Times New Roman"/>
                <w:i/>
                <w:sz w:val="22"/>
                <w:vertAlign w:val="superscript"/>
              </w:rPr>
              <w:t>a</w:t>
            </w:r>
            <w:proofErr w:type="spellEnd"/>
          </w:p>
        </w:tc>
      </w:tr>
      <w:tr w:rsidR="00C0505A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5A" w:rsidRPr="00945FA7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945FA7">
              <w:rPr>
                <w:rFonts w:ascii="Times New Roman" w:hAnsi="Times New Roman"/>
                <w:sz w:val="22"/>
                <w:szCs w:val="20"/>
                <w:lang w:eastAsia="en-US"/>
              </w:rPr>
              <w:t>SDRM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5A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</w:rPr>
            </w:pPr>
            <w:r w:rsidRPr="00D560AE">
              <w:rPr>
                <w:rFonts w:ascii="Times New Roman" w:hAnsi="Times New Roman"/>
                <w:sz w:val="22"/>
              </w:rPr>
              <w:t>Sub-Saharan Africa</w:t>
            </w:r>
          </w:p>
          <w:p w:rsidR="008253D9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(n=117)</w:t>
            </w:r>
          </w:p>
          <w:p w:rsidR="00C0505A" w:rsidRPr="00D560AE" w:rsidRDefault="008253D9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5A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</w:rPr>
            </w:pPr>
            <w:r w:rsidRPr="006B331C">
              <w:rPr>
                <w:rFonts w:ascii="Times New Roman" w:hAnsi="Times New Roman"/>
                <w:sz w:val="22"/>
              </w:rPr>
              <w:t>South/ Southeast Asia</w:t>
            </w:r>
          </w:p>
          <w:p w:rsidR="008253D9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(n=79)</w:t>
            </w:r>
          </w:p>
          <w:p w:rsidR="00C0505A" w:rsidRPr="00D560AE" w:rsidRDefault="008253D9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5A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D560AE">
              <w:rPr>
                <w:rFonts w:ascii="Times New Roman" w:hAnsi="Times New Roman"/>
                <w:sz w:val="22"/>
                <w:szCs w:val="20"/>
                <w:lang w:eastAsia="en-US"/>
              </w:rPr>
              <w:t>Latin America</w:t>
            </w:r>
          </w:p>
          <w:p w:rsidR="00C0505A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</w:p>
          <w:p w:rsidR="008253D9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(n=156)</w:t>
            </w:r>
          </w:p>
          <w:p w:rsidR="00C0505A" w:rsidRPr="00D560AE" w:rsidRDefault="008253D9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5A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D560AE">
              <w:rPr>
                <w:rFonts w:ascii="Times New Roman" w:hAnsi="Times New Roman"/>
                <w:sz w:val="22"/>
                <w:szCs w:val="20"/>
                <w:lang w:eastAsia="en-US"/>
              </w:rPr>
              <w:t>Upper-Income Country Regions</w:t>
            </w:r>
          </w:p>
          <w:p w:rsidR="008253D9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(n=986)</w:t>
            </w:r>
          </w:p>
          <w:p w:rsidR="00C0505A" w:rsidRPr="00D560AE" w:rsidRDefault="008253D9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5A" w:rsidRPr="00D560AE" w:rsidRDefault="008253D9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All</w:t>
            </w:r>
          </w:p>
          <w:p w:rsidR="00C0505A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Regions</w:t>
            </w:r>
          </w:p>
          <w:p w:rsidR="008253D9" w:rsidRDefault="00C0505A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(n=1,338)</w:t>
            </w:r>
          </w:p>
          <w:p w:rsidR="00C0505A" w:rsidRPr="00D560AE" w:rsidRDefault="008253D9" w:rsidP="00773D2A">
            <w:pPr>
              <w:spacing w:before="2" w:after="2"/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L90M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(16)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8.9 (7)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 (36)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(184)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(243)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M46I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(16)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(26)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(19)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(159)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(220)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M46L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 (24)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(14)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(16)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(114)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(168)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V82A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 (4)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(14)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7.5 (74)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(93)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I85V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(15)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 (5)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7.8 (12)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(59)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6.8 (91)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I54V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 (4)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6.4 (10)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6.8 (67)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 (82)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N88D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 (4)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3.8 (3)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6.4 (10)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4.9 (48)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4.9 (65)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I84V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3.8 (3)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3.9 (6)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4.8 (47)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4.3 (58)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D30N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 (8)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4.4 (43)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(54)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G73S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 (4)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2.5 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(20)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 (28)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F53L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 (23)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 (26)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L24I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 (21)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 (25)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I54L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1.8 (18)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 (20)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V32I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 (15)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 (18)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I50V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 (18)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I47V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 (15)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(17)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L23I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 (3)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 (8)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(12)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F53Y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4.3 (5)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3.8 (3)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 (3)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 (11)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V82T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 (3)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 (7)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 (11)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N88S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 (11)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L76V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 (4)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(8)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V82L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2.5 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0.5 (5)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(8)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N83D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 (3)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2.5 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(8)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G48V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0.5 (5)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0.5 (7)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I54T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 (3)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 (1)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0.5 (6)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I50L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 (5)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G73A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 (4)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 (5)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G73C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 (4)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 (5)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V82F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 (4)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I54M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 (3)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(3)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G73T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 (3)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(3)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I54S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 (1)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(2)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V82S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(2)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I54A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 (1)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 (1)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I47A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G48M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V82C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V82M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I84A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</w:tr>
      <w:tr w:rsidR="008253D9" w:rsidRPr="00945FA7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Pr="008B008D" w:rsidRDefault="008253D9" w:rsidP="008B008D">
            <w:pPr>
              <w:jc w:val="center"/>
              <w:rPr>
                <w:rFonts w:ascii="Times New Roman" w:hAnsi="Times New Roman"/>
                <w:sz w:val="22"/>
              </w:rPr>
            </w:pPr>
            <w:r w:rsidRPr="008B008D">
              <w:rPr>
                <w:rFonts w:ascii="Times New Roman" w:hAnsi="Times New Roman"/>
                <w:sz w:val="22"/>
              </w:rPr>
              <w:t>I84C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D9" w:rsidRDefault="008253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</w:tr>
      <w:tr w:rsidR="00C0505A" w:rsidRPr="00945FA7">
        <w:trPr>
          <w:trHeight w:val="260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05A" w:rsidRPr="00945FA7" w:rsidRDefault="00C0505A" w:rsidP="00773D2A">
            <w:pPr>
              <w:spacing w:before="2" w:after="2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proofErr w:type="spellStart"/>
            <w:proofErr w:type="gramStart"/>
            <w:r w:rsidRPr="008B49EC">
              <w:rPr>
                <w:rFonts w:ascii="Times New Roman" w:hAnsi="Times New Roman"/>
                <w:sz w:val="22"/>
                <w:vertAlign w:val="superscript"/>
              </w:rPr>
              <w:t>a</w:t>
            </w:r>
            <w:r w:rsidRPr="008B49EC">
              <w:rPr>
                <w:rFonts w:ascii="Times New Roman" w:hAnsi="Times New Roman"/>
                <w:sz w:val="22"/>
              </w:rPr>
              <w:t>The</w:t>
            </w:r>
            <w:proofErr w:type="spellEnd"/>
            <w:proofErr w:type="gramEnd"/>
            <w:r w:rsidRPr="008B49EC">
              <w:rPr>
                <w:rFonts w:ascii="Times New Roman" w:hAnsi="Times New Roman"/>
                <w:sz w:val="22"/>
              </w:rPr>
              <w:t xml:space="preserve"> region “Latin America” includes three st</w:t>
            </w:r>
            <w:r>
              <w:rPr>
                <w:rFonts w:ascii="Times New Roman" w:hAnsi="Times New Roman"/>
                <w:sz w:val="22"/>
              </w:rPr>
              <w:t>udies from Caribbean countries. The region “</w:t>
            </w: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 xml:space="preserve">Upper-Income Country Regions” includes Europe, North America and upper-income Asian </w:t>
            </w:r>
            <w:r w:rsidR="008253D9">
              <w:rPr>
                <w:rFonts w:ascii="Times New Roman" w:hAnsi="Times New Roman"/>
                <w:sz w:val="22"/>
                <w:szCs w:val="20"/>
                <w:lang w:eastAsia="en-US"/>
              </w:rPr>
              <w:t>countries. “All</w:t>
            </w: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 xml:space="preserve"> Regions” includes pooled viruses with one or more PI SDRMs from all regions. SDRMs are shown in </w:t>
            </w: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lastRenderedPageBreak/>
              <w:t>the ord</w:t>
            </w:r>
            <w:r w:rsidR="008253D9">
              <w:rPr>
                <w:rFonts w:ascii="Times New Roman" w:hAnsi="Times New Roman"/>
                <w:sz w:val="22"/>
                <w:szCs w:val="20"/>
                <w:lang w:eastAsia="en-US"/>
              </w:rPr>
              <w:t>er of the proportion in the “All</w:t>
            </w: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 xml:space="preserve"> Regions”; the number of PI SDRMs is indicated in each region (n).</w:t>
            </w:r>
          </w:p>
        </w:tc>
      </w:tr>
    </w:tbl>
    <w:p w:rsidR="003122CD" w:rsidRDefault="00C832F3"/>
    <w:sectPr w:rsidR="003122CD" w:rsidSect="003122C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146C7"/>
    <w:multiLevelType w:val="hybridMultilevel"/>
    <w:tmpl w:val="E33A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A105B"/>
    <w:multiLevelType w:val="hybridMultilevel"/>
    <w:tmpl w:val="58F0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D4482"/>
    <w:multiLevelType w:val="hybridMultilevel"/>
    <w:tmpl w:val="BF74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C697C"/>
    <w:multiLevelType w:val="hybridMultilevel"/>
    <w:tmpl w:val="01B8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53D90"/>
    <w:multiLevelType w:val="hybridMultilevel"/>
    <w:tmpl w:val="E43EE4A8"/>
    <w:lvl w:ilvl="0" w:tplc="9220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2AB9"/>
    <w:multiLevelType w:val="hybridMultilevel"/>
    <w:tmpl w:val="6E9E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45EB7"/>
    <w:multiLevelType w:val="hybridMultilevel"/>
    <w:tmpl w:val="BB1A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0505A"/>
    <w:rsid w:val="006118E4"/>
    <w:rsid w:val="008253D9"/>
    <w:rsid w:val="00C0505A"/>
    <w:rsid w:val="00C832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3E2D5-AB4C-4F5D-B2B1-8852E561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5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0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05A"/>
    <w:rPr>
      <w:rFonts w:ascii="Lucida Grande" w:eastAsiaTheme="minorEastAsia" w:hAnsi="Lucida Grande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rsid w:val="00C0505A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C0505A"/>
    <w:rPr>
      <w:color w:val="993366"/>
      <w:u w:val="single"/>
    </w:rPr>
  </w:style>
  <w:style w:type="paragraph" w:customStyle="1" w:styleId="font5">
    <w:name w:val="font5"/>
    <w:basedOn w:val="Normal"/>
    <w:rsid w:val="00C0505A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C0505A"/>
    <w:pPr>
      <w:shd w:val="clear" w:color="auto" w:fill="FFFF99"/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rsid w:val="00C050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05A"/>
    <w:rPr>
      <w:rFonts w:eastAsiaTheme="minorEastAsia"/>
      <w:lang w:eastAsia="ja-JP"/>
    </w:rPr>
  </w:style>
  <w:style w:type="character" w:styleId="PageNumber">
    <w:name w:val="page number"/>
    <w:basedOn w:val="DefaultParagraphFont"/>
    <w:rsid w:val="00C0505A"/>
  </w:style>
  <w:style w:type="character" w:styleId="CommentReference">
    <w:name w:val="annotation reference"/>
    <w:basedOn w:val="DefaultParagraphFont"/>
    <w:rsid w:val="00C0505A"/>
    <w:rPr>
      <w:sz w:val="18"/>
      <w:szCs w:val="18"/>
    </w:rPr>
  </w:style>
  <w:style w:type="paragraph" w:styleId="CommentText">
    <w:name w:val="annotation text"/>
    <w:basedOn w:val="Normal"/>
    <w:link w:val="CommentTextChar"/>
    <w:rsid w:val="00C0505A"/>
  </w:style>
  <w:style w:type="character" w:customStyle="1" w:styleId="CommentTextChar">
    <w:name w:val="Comment Text Char"/>
    <w:basedOn w:val="DefaultParagraphFont"/>
    <w:link w:val="CommentText"/>
    <w:rsid w:val="00C0505A"/>
    <w:rPr>
      <w:rFonts w:eastAsiaTheme="minorEastAs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050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0505A"/>
    <w:rPr>
      <w:rFonts w:eastAsiaTheme="minorEastAsia"/>
      <w:b/>
      <w:bCs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C050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05A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C0505A"/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Title">
    <w:name w:val="EndNote Bibliography Title"/>
    <w:basedOn w:val="Normal"/>
    <w:rsid w:val="00C0505A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C0505A"/>
    <w:rPr>
      <w:rFonts w:ascii="Cambria" w:hAnsi="Cambria"/>
    </w:rPr>
  </w:style>
  <w:style w:type="paragraph" w:styleId="HTMLPreformatted">
    <w:name w:val="HTML Preformatted"/>
    <w:basedOn w:val="Normal"/>
    <w:link w:val="HTMLPreformattedChar"/>
    <w:uiPriority w:val="99"/>
    <w:rsid w:val="00C05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05A"/>
    <w:rPr>
      <w:rFonts w:ascii="Courier" w:hAnsi="Courier" w:cs="Courier"/>
      <w:sz w:val="20"/>
      <w:szCs w:val="20"/>
    </w:rPr>
  </w:style>
  <w:style w:type="paragraph" w:styleId="Revision">
    <w:name w:val="Revision"/>
    <w:hidden/>
    <w:rsid w:val="00C0505A"/>
    <w:rPr>
      <w:rFonts w:eastAsiaTheme="minorEastAsia"/>
      <w:lang w:eastAsia="ja-JP"/>
    </w:rPr>
  </w:style>
  <w:style w:type="character" w:customStyle="1" w:styleId="zmsearchresult">
    <w:name w:val="zmsearchresult"/>
    <w:basedOn w:val="DefaultParagraphFont"/>
    <w:rsid w:val="00C0505A"/>
  </w:style>
  <w:style w:type="character" w:customStyle="1" w:styleId="object">
    <w:name w:val="object"/>
    <w:basedOn w:val="DefaultParagraphFont"/>
    <w:rsid w:val="00C0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>stanford university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soo-yon rhee</dc:creator>
  <cp:keywords/>
  <cp:lastModifiedBy>Maya Sandler</cp:lastModifiedBy>
  <cp:revision>3</cp:revision>
  <dcterms:created xsi:type="dcterms:W3CDTF">2015-02-20T00:12:00Z</dcterms:created>
  <dcterms:modified xsi:type="dcterms:W3CDTF">2015-02-27T00:20:00Z</dcterms:modified>
</cp:coreProperties>
</file>