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56"/>
        <w:gridCol w:w="1616"/>
        <w:gridCol w:w="2238"/>
        <w:gridCol w:w="2646"/>
      </w:tblGrid>
      <w:tr w:rsidR="004C0E7C" w:rsidRPr="00534753">
        <w:trPr>
          <w:trHeight w:val="510"/>
        </w:trPr>
        <w:tc>
          <w:tcPr>
            <w:tcW w:w="9468" w:type="dxa"/>
            <w:gridSpan w:val="4"/>
            <w:tcBorders>
              <w:bottom w:val="single" w:sz="4" w:space="0" w:color="000000" w:themeColor="text1"/>
            </w:tcBorders>
          </w:tcPr>
          <w:p w:rsidR="004C0E7C" w:rsidRPr="00D244D0" w:rsidRDefault="004C0E7C" w:rsidP="00F83E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w:r w:rsidR="00F83E42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Table. Yearly Change in Odds of Transmitted Drug Resistance (TDR) in Generalized Linear Mixed Regression Models in Regions with and without ARV Scale-</w:t>
            </w:r>
            <w:proofErr w:type="spellStart"/>
            <w:r>
              <w:rPr>
                <w:rFonts w:ascii="Times New Roman" w:hAnsi="Times New Roman"/>
                <w:sz w:val="22"/>
              </w:rPr>
              <w:t>up</w:t>
            </w:r>
            <w:r w:rsidRPr="00E27442">
              <w:rPr>
                <w:rFonts w:ascii="Times New Roman" w:hAnsi="Times New Roman"/>
                <w:i/>
                <w:sz w:val="22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/>
                <w:sz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using Samples Containing &lt;0.5% Mixed Positions</w:t>
            </w:r>
          </w:p>
        </w:tc>
      </w:tr>
      <w:tr w:rsidR="004C0E7C" w:rsidRPr="00534753">
        <w:trPr>
          <w:trHeight w:val="510"/>
        </w:trPr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Region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Drug class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4C0E7C" w:rsidRPr="008C6ED8" w:rsidRDefault="004C0E7C" w:rsidP="000E3FB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OR</w:t>
            </w:r>
            <w:r>
              <w:rPr>
                <w:rFonts w:ascii="Times New Roman" w:hAnsi="Times New Roman"/>
                <w:i/>
                <w:sz w:val="22"/>
                <w:vertAlign w:val="superscript"/>
              </w:rPr>
              <w:t>b</w:t>
            </w:r>
            <w:proofErr w:type="spellEnd"/>
          </w:p>
          <w:p w:rsidR="004C0E7C" w:rsidRPr="00534753" w:rsidRDefault="004C0E7C" w:rsidP="00F55E2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(95% CI)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4C0E7C" w:rsidRPr="00534753" w:rsidRDefault="004C0E7C" w:rsidP="000E3FB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p-</w:t>
            </w:r>
            <w:proofErr w:type="spellStart"/>
            <w:r>
              <w:rPr>
                <w:rFonts w:ascii="Times New Roman" w:hAnsi="Times New Roman"/>
                <w:sz w:val="22"/>
              </w:rPr>
              <w:t>value</w:t>
            </w:r>
            <w:r>
              <w:rPr>
                <w:rFonts w:ascii="Times New Roman" w:hAnsi="Times New Roman"/>
                <w:i/>
                <w:sz w:val="22"/>
                <w:vertAlign w:val="superscript"/>
              </w:rPr>
              <w:t>b</w:t>
            </w:r>
            <w:proofErr w:type="spellEnd"/>
          </w:p>
        </w:tc>
      </w:tr>
      <w:tr w:rsidR="004C0E7C" w:rsidRPr="00534753">
        <w:trPr>
          <w:trHeight w:val="510"/>
        </w:trPr>
        <w:tc>
          <w:tcPr>
            <w:tcW w:w="9468" w:type="dxa"/>
            <w:gridSpan w:val="4"/>
            <w:tcBorders>
              <w:bottom w:val="single" w:sz="4" w:space="0" w:color="000000" w:themeColor="text1"/>
            </w:tcBorders>
          </w:tcPr>
          <w:p w:rsidR="004C0E7C" w:rsidRDefault="004C0E7C" w:rsidP="00AC5A43">
            <w:pPr>
              <w:rPr>
                <w:rFonts w:ascii="Times New Roman" w:hAnsi="Times New Roman"/>
                <w:sz w:val="22"/>
              </w:rPr>
            </w:pPr>
          </w:p>
          <w:p w:rsidR="004C0E7C" w:rsidRDefault="004C0E7C" w:rsidP="00AC5A43">
            <w:pPr>
              <w:rPr>
                <w:rFonts w:ascii="Times New Roman" w:hAnsi="Times New Roman"/>
                <w:sz w:val="22"/>
              </w:rPr>
            </w:pPr>
            <w:r w:rsidRPr="00F55E2A">
              <w:rPr>
                <w:rFonts w:ascii="Times New Roman" w:hAnsi="Times New Roman"/>
                <w:i/>
                <w:sz w:val="22"/>
              </w:rPr>
              <w:t>OR for years since ARV scale-</w:t>
            </w:r>
            <w:proofErr w:type="spellStart"/>
            <w:r w:rsidRPr="00F55E2A">
              <w:rPr>
                <w:rFonts w:ascii="Times New Roman" w:hAnsi="Times New Roman"/>
                <w:i/>
                <w:sz w:val="22"/>
              </w:rPr>
              <w:t>up</w:t>
            </w:r>
            <w:r>
              <w:rPr>
                <w:rFonts w:ascii="Times New Roman" w:hAnsi="Times New Roman"/>
                <w:i/>
                <w:sz w:val="22"/>
                <w:vertAlign w:val="superscript"/>
              </w:rPr>
              <w:t>c</w:t>
            </w:r>
            <w:proofErr w:type="spellEnd"/>
          </w:p>
        </w:tc>
      </w:tr>
      <w:tr w:rsidR="004C0E7C" w:rsidRPr="00534753">
        <w:tc>
          <w:tcPr>
            <w:tcW w:w="2448" w:type="dxa"/>
            <w:vMerge w:val="restart"/>
          </w:tcPr>
          <w:p w:rsidR="004C0E7C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Sub-Saharan Africa</w:t>
            </w:r>
          </w:p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(n=6,766)</w:t>
            </w: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Overall</w:t>
            </w:r>
          </w:p>
        </w:tc>
        <w:tc>
          <w:tcPr>
            <w:tcW w:w="2430" w:type="dxa"/>
          </w:tcPr>
          <w:p w:rsidR="004C0E7C" w:rsidRPr="00281D19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1.11 (1.10-1.11</w:t>
            </w:r>
            <w:r w:rsidRPr="00281D19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NRTI</w:t>
            </w:r>
          </w:p>
        </w:tc>
        <w:tc>
          <w:tcPr>
            <w:tcW w:w="2430" w:type="dxa"/>
          </w:tcPr>
          <w:p w:rsidR="004C0E7C" w:rsidRPr="00281D19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1.11 (1.03-1.20</w:t>
            </w:r>
            <w:r w:rsidRPr="00281D19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0.007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NNRTI</w:t>
            </w:r>
          </w:p>
        </w:tc>
        <w:tc>
          <w:tcPr>
            <w:tcW w:w="2430" w:type="dxa"/>
          </w:tcPr>
          <w:p w:rsidR="004C0E7C" w:rsidRPr="00281D19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1.14 (1.08-1.21</w:t>
            </w:r>
            <w:r w:rsidRPr="00281D19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</w:t>
            </w:r>
          </w:p>
        </w:tc>
        <w:tc>
          <w:tcPr>
            <w:tcW w:w="2430" w:type="dxa"/>
          </w:tcPr>
          <w:p w:rsidR="004C0E7C" w:rsidRPr="00281D19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1.03 (0.96-1.10</w:t>
            </w:r>
            <w:r w:rsidRPr="00281D19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0.5</w:t>
            </w:r>
          </w:p>
        </w:tc>
      </w:tr>
      <w:tr w:rsidR="004C0E7C" w:rsidRPr="00534753">
        <w:tc>
          <w:tcPr>
            <w:tcW w:w="2448" w:type="dxa"/>
            <w:vMerge w:val="restart"/>
          </w:tcPr>
          <w:p w:rsidR="004C0E7C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South/Southeast Asia</w:t>
            </w:r>
          </w:p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(n=4,576)</w:t>
            </w: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Overall</w:t>
            </w:r>
          </w:p>
        </w:tc>
        <w:tc>
          <w:tcPr>
            <w:tcW w:w="2430" w:type="dxa"/>
          </w:tcPr>
          <w:p w:rsidR="004C0E7C" w:rsidRPr="00281D19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0.98 (0.92-1.05</w:t>
            </w:r>
            <w:r w:rsidRPr="00281D19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0.5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NRTI</w:t>
            </w:r>
          </w:p>
        </w:tc>
        <w:tc>
          <w:tcPr>
            <w:tcW w:w="2430" w:type="dxa"/>
          </w:tcPr>
          <w:p w:rsidR="004C0E7C" w:rsidRPr="00281D19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0.95 (0.85-1.05</w:t>
            </w:r>
            <w:r w:rsidRPr="00281D19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0.3</w:t>
            </w:r>
          </w:p>
        </w:tc>
      </w:tr>
      <w:tr w:rsidR="004C0E7C" w:rsidRPr="00534753">
        <w:trPr>
          <w:trHeight w:val="233"/>
        </w:trPr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NNRTI</w:t>
            </w:r>
          </w:p>
        </w:tc>
        <w:tc>
          <w:tcPr>
            <w:tcW w:w="2430" w:type="dxa"/>
          </w:tcPr>
          <w:p w:rsidR="004C0E7C" w:rsidRPr="00281D19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1.09 (0.96-1.23</w:t>
            </w:r>
            <w:r w:rsidRPr="00281D19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0.2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</w:t>
            </w:r>
          </w:p>
        </w:tc>
        <w:tc>
          <w:tcPr>
            <w:tcW w:w="2430" w:type="dxa"/>
          </w:tcPr>
          <w:p w:rsidR="004C0E7C" w:rsidRPr="00281D19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0.98 (0.89-1.08</w:t>
            </w:r>
            <w:r w:rsidRPr="00281D19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0.6</w:t>
            </w:r>
          </w:p>
        </w:tc>
      </w:tr>
      <w:tr w:rsidR="004C0E7C" w:rsidRPr="00534753">
        <w:tc>
          <w:tcPr>
            <w:tcW w:w="9468" w:type="dxa"/>
            <w:gridSpan w:val="4"/>
          </w:tcPr>
          <w:p w:rsidR="004C0E7C" w:rsidRDefault="004C0E7C" w:rsidP="005D779A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  <w:p w:rsidR="004C0E7C" w:rsidRDefault="004C0E7C" w:rsidP="00AC5A43">
            <w:pPr>
              <w:rPr>
                <w:rFonts w:ascii="Times New Roman" w:hAnsi="Times New Roman"/>
                <w:sz w:val="22"/>
              </w:rPr>
            </w:pPr>
            <w:r w:rsidRPr="00F55E2A">
              <w:rPr>
                <w:rFonts w:ascii="Times New Roman" w:hAnsi="Times New Roman"/>
                <w:i/>
                <w:sz w:val="22"/>
              </w:rPr>
              <w:t xml:space="preserve">OR for sample </w:t>
            </w:r>
            <w:proofErr w:type="spellStart"/>
            <w:r w:rsidRPr="00F55E2A">
              <w:rPr>
                <w:rFonts w:ascii="Times New Roman" w:hAnsi="Times New Roman"/>
                <w:i/>
                <w:sz w:val="22"/>
              </w:rPr>
              <w:t>year</w:t>
            </w:r>
            <w:r>
              <w:rPr>
                <w:rFonts w:ascii="Times New Roman" w:hAnsi="Times New Roman"/>
                <w:i/>
                <w:sz w:val="22"/>
                <w:vertAlign w:val="superscript"/>
              </w:rPr>
              <w:t>c</w:t>
            </w:r>
            <w:proofErr w:type="spellEnd"/>
          </w:p>
        </w:tc>
        <w:bookmarkStart w:id="0" w:name="_GoBack"/>
        <w:bookmarkEnd w:id="0"/>
      </w:tr>
      <w:tr w:rsidR="004C0E7C" w:rsidRPr="00534753">
        <w:tc>
          <w:tcPr>
            <w:tcW w:w="2448" w:type="dxa"/>
            <w:vMerge w:val="restart"/>
          </w:tcPr>
          <w:p w:rsidR="004C0E7C" w:rsidRDefault="004C0E7C" w:rsidP="000E3FB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Latin America</w:t>
            </w:r>
          </w:p>
          <w:p w:rsidR="004C0E7C" w:rsidRPr="00534753" w:rsidRDefault="004C0E7C" w:rsidP="000E3FB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(n=3,614)</w:t>
            </w: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Overall</w:t>
            </w:r>
          </w:p>
        </w:tc>
        <w:tc>
          <w:tcPr>
            <w:tcW w:w="2430" w:type="dxa"/>
          </w:tcPr>
          <w:p w:rsidR="004C0E7C" w:rsidRPr="00F638D7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1.05 (0.99</w:t>
            </w:r>
            <w:r w:rsidRPr="00F638D7">
              <w:rPr>
                <w:rFonts w:ascii="Times New Roman" w:hAnsi="Times New Roman"/>
                <w:sz w:val="22"/>
              </w:rPr>
              <w:t>-1.11)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0.07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NRTI</w:t>
            </w:r>
          </w:p>
        </w:tc>
        <w:tc>
          <w:tcPr>
            <w:tcW w:w="2430" w:type="dxa"/>
          </w:tcPr>
          <w:p w:rsidR="004C0E7C" w:rsidRPr="00F638D7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0.99 (0.92-1.06</w:t>
            </w:r>
            <w:r w:rsidRPr="00F638D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0.7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NNRTI</w:t>
            </w:r>
          </w:p>
        </w:tc>
        <w:tc>
          <w:tcPr>
            <w:tcW w:w="2430" w:type="dxa"/>
          </w:tcPr>
          <w:p w:rsidR="004C0E7C" w:rsidRPr="00F638D7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1.17 (1.17-1.18</w:t>
            </w:r>
            <w:r w:rsidRPr="00F638D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</w:t>
            </w:r>
          </w:p>
        </w:tc>
        <w:tc>
          <w:tcPr>
            <w:tcW w:w="2430" w:type="dxa"/>
          </w:tcPr>
          <w:p w:rsidR="004C0E7C" w:rsidRPr="00F638D7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1.01 (0.94-1.09</w:t>
            </w:r>
            <w:r w:rsidRPr="00F638D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0.8</w:t>
            </w:r>
          </w:p>
        </w:tc>
      </w:tr>
      <w:tr w:rsidR="004C0E7C" w:rsidRPr="00534753">
        <w:tc>
          <w:tcPr>
            <w:tcW w:w="2448" w:type="dxa"/>
            <w:vMerge w:val="restart"/>
          </w:tcPr>
          <w:p w:rsidR="004C0E7C" w:rsidRDefault="004C0E7C" w:rsidP="000E3FB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Europe</w:t>
            </w:r>
          </w:p>
          <w:p w:rsidR="004C0E7C" w:rsidRPr="00534753" w:rsidRDefault="004C0E7C" w:rsidP="000E3FB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(n=6,312)</w:t>
            </w: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Overall</w:t>
            </w:r>
          </w:p>
        </w:tc>
        <w:tc>
          <w:tcPr>
            <w:tcW w:w="2430" w:type="dxa"/>
          </w:tcPr>
          <w:p w:rsidR="004C0E7C" w:rsidRPr="009F6123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0.96 (0.93-1.00</w:t>
            </w:r>
            <w:r w:rsidRPr="009F612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0.05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NRTI</w:t>
            </w:r>
          </w:p>
        </w:tc>
        <w:tc>
          <w:tcPr>
            <w:tcW w:w="2430" w:type="dxa"/>
          </w:tcPr>
          <w:p w:rsidR="004C0E7C" w:rsidRPr="009F6123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0.92 (0.88-0.96</w:t>
            </w:r>
            <w:r w:rsidRPr="009F612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NNRTI</w:t>
            </w:r>
          </w:p>
        </w:tc>
        <w:tc>
          <w:tcPr>
            <w:tcW w:w="2430" w:type="dxa"/>
          </w:tcPr>
          <w:p w:rsidR="004C0E7C" w:rsidRPr="009F6123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1.07 (1.00-1.13</w:t>
            </w:r>
            <w:r w:rsidRPr="009F612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0.04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</w:t>
            </w:r>
          </w:p>
        </w:tc>
        <w:tc>
          <w:tcPr>
            <w:tcW w:w="2430" w:type="dxa"/>
          </w:tcPr>
          <w:p w:rsidR="004C0E7C" w:rsidRPr="009F6123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0.99 (0.93-1.08</w:t>
            </w:r>
            <w:r w:rsidRPr="009F612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0.99</w:t>
            </w:r>
          </w:p>
        </w:tc>
      </w:tr>
      <w:tr w:rsidR="004C0E7C" w:rsidRPr="00534753">
        <w:tc>
          <w:tcPr>
            <w:tcW w:w="2448" w:type="dxa"/>
            <w:vMerge w:val="restart"/>
          </w:tcPr>
          <w:p w:rsidR="004C0E7C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North America</w:t>
            </w:r>
          </w:p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(n=4,853)</w:t>
            </w: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Overall</w:t>
            </w:r>
          </w:p>
        </w:tc>
        <w:tc>
          <w:tcPr>
            <w:tcW w:w="2430" w:type="dxa"/>
          </w:tcPr>
          <w:p w:rsidR="004C0E7C" w:rsidRPr="009F6123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1.05 (1.01-1.10</w:t>
            </w:r>
            <w:r w:rsidRPr="009F612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0.01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NRTI</w:t>
            </w:r>
          </w:p>
        </w:tc>
        <w:tc>
          <w:tcPr>
            <w:tcW w:w="2430" w:type="dxa"/>
          </w:tcPr>
          <w:p w:rsidR="004C0E7C" w:rsidRPr="009F6123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0.98 (0.93-1.04</w:t>
            </w:r>
            <w:r w:rsidRPr="009F612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0.6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NNRTI</w:t>
            </w:r>
          </w:p>
        </w:tc>
        <w:tc>
          <w:tcPr>
            <w:tcW w:w="2430" w:type="dxa"/>
          </w:tcPr>
          <w:p w:rsidR="004C0E7C" w:rsidRPr="009F6123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1.19 (1.12-1.28</w:t>
            </w:r>
            <w:r w:rsidRPr="009F612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4C0E7C" w:rsidRPr="00534753">
        <w:trPr>
          <w:trHeight w:val="251"/>
        </w:trPr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</w:t>
            </w:r>
          </w:p>
        </w:tc>
        <w:tc>
          <w:tcPr>
            <w:tcW w:w="2430" w:type="dxa"/>
          </w:tcPr>
          <w:p w:rsidR="004C0E7C" w:rsidRPr="009F6123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0.98 (0.93</w:t>
            </w:r>
            <w:r w:rsidRPr="009F6123">
              <w:rPr>
                <w:rFonts w:ascii="Times New Roman" w:hAnsi="Times New Roman"/>
                <w:sz w:val="22"/>
              </w:rPr>
              <w:t>-1.04)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0.6</w:t>
            </w:r>
          </w:p>
        </w:tc>
      </w:tr>
      <w:tr w:rsidR="004C0E7C" w:rsidRPr="00534753">
        <w:tc>
          <w:tcPr>
            <w:tcW w:w="2448" w:type="dxa"/>
            <w:vMerge w:val="restart"/>
          </w:tcPr>
          <w:p w:rsidR="000875CE" w:rsidRDefault="000875C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Upper-Income Asian Countries </w:t>
            </w:r>
          </w:p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(n=3,546)</w:t>
            </w:r>
          </w:p>
        </w:tc>
        <w:tc>
          <w:tcPr>
            <w:tcW w:w="1710" w:type="dxa"/>
          </w:tcPr>
          <w:p w:rsidR="004C0E7C" w:rsidRPr="00534753" w:rsidRDefault="004C0E7C" w:rsidP="00755D0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Overall</w:t>
            </w:r>
          </w:p>
        </w:tc>
        <w:tc>
          <w:tcPr>
            <w:tcW w:w="2430" w:type="dxa"/>
          </w:tcPr>
          <w:p w:rsidR="004C0E7C" w:rsidRPr="009F6123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1.13 (1.03-1.23</w:t>
            </w:r>
            <w:r w:rsidRPr="009F612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0.007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 w:rsidP="00755D0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NRTI</w:t>
            </w:r>
          </w:p>
        </w:tc>
        <w:tc>
          <w:tcPr>
            <w:tcW w:w="2430" w:type="dxa"/>
          </w:tcPr>
          <w:p w:rsidR="004C0E7C" w:rsidRPr="009F6123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0.97 (0.91-1.04</w:t>
            </w:r>
            <w:r w:rsidRPr="009F612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0.4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 w:rsidP="00755D0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NNRTI</w:t>
            </w:r>
          </w:p>
        </w:tc>
        <w:tc>
          <w:tcPr>
            <w:tcW w:w="2430" w:type="dxa"/>
          </w:tcPr>
          <w:p w:rsidR="004C0E7C" w:rsidRPr="009F6123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1.40 (1.15-1.70</w:t>
            </w:r>
            <w:r w:rsidRPr="009F612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4C0E7C" w:rsidRPr="00534753">
        <w:tc>
          <w:tcPr>
            <w:tcW w:w="2448" w:type="dxa"/>
            <w:vMerge/>
          </w:tcPr>
          <w:p w:rsidR="004C0E7C" w:rsidRPr="00534753" w:rsidRDefault="004C0E7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</w:tcPr>
          <w:p w:rsidR="004C0E7C" w:rsidRPr="00534753" w:rsidRDefault="004C0E7C" w:rsidP="00755D0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</w:t>
            </w:r>
          </w:p>
        </w:tc>
        <w:tc>
          <w:tcPr>
            <w:tcW w:w="2430" w:type="dxa"/>
          </w:tcPr>
          <w:p w:rsidR="004C0E7C" w:rsidRPr="009F6123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1.22 (1.05</w:t>
            </w:r>
            <w:r w:rsidRPr="009F6123">
              <w:rPr>
                <w:rFonts w:ascii="Times New Roman" w:hAnsi="Times New Roman"/>
                <w:sz w:val="22"/>
              </w:rPr>
              <w:t>-1.41)</w:t>
            </w:r>
          </w:p>
        </w:tc>
        <w:tc>
          <w:tcPr>
            <w:tcW w:w="2880" w:type="dxa"/>
          </w:tcPr>
          <w:p w:rsidR="004C0E7C" w:rsidRDefault="004C0E7C" w:rsidP="00C763EA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0.01</w:t>
            </w:r>
          </w:p>
        </w:tc>
      </w:tr>
      <w:tr w:rsidR="004C0E7C" w:rsidRPr="00534753">
        <w:tc>
          <w:tcPr>
            <w:tcW w:w="9468" w:type="dxa"/>
            <w:gridSpan w:val="4"/>
          </w:tcPr>
          <w:p w:rsidR="004C0E7C" w:rsidRPr="008B49EC" w:rsidRDefault="004C0E7C" w:rsidP="00AC5A43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8B49EC">
              <w:rPr>
                <w:rFonts w:ascii="Times New Roman" w:hAnsi="Times New Roman"/>
                <w:sz w:val="22"/>
                <w:vertAlign w:val="superscript"/>
              </w:rPr>
              <w:t>a</w:t>
            </w:r>
            <w:r w:rsidRPr="008B49EC">
              <w:rPr>
                <w:rFonts w:ascii="Times New Roman" w:hAnsi="Times New Roman"/>
                <w:sz w:val="22"/>
              </w:rPr>
              <w:t>Three</w:t>
            </w:r>
            <w:proofErr w:type="spellEnd"/>
            <w:proofErr w:type="gramEnd"/>
            <w:r w:rsidRPr="008B49EC">
              <w:rPr>
                <w:rFonts w:ascii="Times New Roman" w:hAnsi="Times New Roman"/>
                <w:sz w:val="22"/>
              </w:rPr>
              <w:t xml:space="preserve"> studies from North Africa and two studies from Australia excluded. The region “Latin America” includes three studies from Caribbean countries. </w:t>
            </w:r>
          </w:p>
          <w:p w:rsidR="004C0E7C" w:rsidRDefault="004C0E7C" w:rsidP="00AC5A43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8B49EC">
              <w:rPr>
                <w:rFonts w:ascii="Times New Roman" w:hAnsi="Times New Roman"/>
                <w:sz w:val="22"/>
                <w:vertAlign w:val="superscript"/>
              </w:rPr>
              <w:t>b</w:t>
            </w:r>
            <w:r w:rsidRPr="008B49EC">
              <w:rPr>
                <w:rFonts w:ascii="Times New Roman" w:hAnsi="Times New Roman"/>
                <w:sz w:val="22"/>
              </w:rPr>
              <w:t>For</w:t>
            </w:r>
            <w:proofErr w:type="spellEnd"/>
            <w:proofErr w:type="gramEnd"/>
            <w:r w:rsidRPr="008B49EC">
              <w:rPr>
                <w:rFonts w:ascii="Times New Roman" w:hAnsi="Times New Roman"/>
                <w:sz w:val="22"/>
              </w:rPr>
              <w:t xml:space="preserve"> each region, a generalized linear mixed model was used to assess the yearly change in the </w:t>
            </w:r>
            <w:r>
              <w:rPr>
                <w:rFonts w:ascii="Times New Roman" w:hAnsi="Times New Roman"/>
                <w:sz w:val="22"/>
              </w:rPr>
              <w:t xml:space="preserve">odds (OR) of </w:t>
            </w:r>
            <w:r w:rsidRPr="008B49EC">
              <w:rPr>
                <w:rFonts w:ascii="Times New Roman" w:hAnsi="Times New Roman"/>
                <w:sz w:val="22"/>
              </w:rPr>
              <w:t>TDR accounting for study heterogeneity using the R package lme4. The model included the categorical outcome variable indicating the presence or absence of TDR and the two explanatory variables years since scale-up (or the sample year) as a fixed-effect term and the study as a random-effect term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4C0E7C" w:rsidRPr="00773D2A" w:rsidRDefault="004C0E7C" w:rsidP="000D1BD6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proofErr w:type="gramStart"/>
            <w:r w:rsidRPr="008B49EC">
              <w:rPr>
                <w:rFonts w:ascii="Times New Roman" w:hAnsi="Times New Roman"/>
                <w:sz w:val="22"/>
                <w:vertAlign w:val="superscript"/>
              </w:rPr>
              <w:t>c</w:t>
            </w:r>
            <w:r w:rsidRPr="00185C74"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z w:val="22"/>
              </w:rPr>
              <w:t>early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change in the odds</w:t>
            </w:r>
            <w:r w:rsidRPr="008B49E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of </w:t>
            </w:r>
            <w:r w:rsidRPr="008B49EC">
              <w:rPr>
                <w:rFonts w:ascii="Times New Roman" w:hAnsi="Times New Roman"/>
                <w:sz w:val="22"/>
              </w:rPr>
              <w:t>TDR since ARV scale-up in regions with national ARV scale-up programs and each sample year in regions without national ARV scale-up</w:t>
            </w:r>
            <w:r>
              <w:rPr>
                <w:rFonts w:ascii="Times New Roman" w:hAnsi="Times New Roman"/>
                <w:sz w:val="22"/>
              </w:rPr>
              <w:t>; the number of individuals is indicated in each region (n).</w:t>
            </w:r>
          </w:p>
        </w:tc>
      </w:tr>
    </w:tbl>
    <w:p w:rsidR="003122CD" w:rsidRDefault="00F83E42"/>
    <w:sectPr w:rsidR="003122CD" w:rsidSect="003122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C0E7C"/>
    <w:rsid w:val="000875CE"/>
    <w:rsid w:val="004C0E7C"/>
    <w:rsid w:val="00844ADF"/>
    <w:rsid w:val="00F83E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3DDA1-BBC4-4237-AC7A-6E0E2B0B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E7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E7C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>stanford university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 rhee</dc:creator>
  <cp:keywords/>
  <cp:lastModifiedBy>Hugh O'Brien</cp:lastModifiedBy>
  <cp:revision>3</cp:revision>
  <dcterms:created xsi:type="dcterms:W3CDTF">2015-02-20T00:05:00Z</dcterms:created>
  <dcterms:modified xsi:type="dcterms:W3CDTF">2015-02-24T12:54:00Z</dcterms:modified>
</cp:coreProperties>
</file>