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7CE16C" w14:textId="77777777" w:rsidR="00D73714" w:rsidRDefault="00D73714" w:rsidP="00D73714">
      <w:pPr>
        <w:pStyle w:val="SOMHead"/>
      </w:pPr>
      <w:r>
        <w:t>Supplementary Materials:</w:t>
      </w:r>
    </w:p>
    <w:p w14:paraId="0FCBC369" w14:textId="77777777" w:rsidR="006A0EF9" w:rsidRPr="006A0EF9" w:rsidRDefault="006A0EF9" w:rsidP="006A0EF9">
      <w:pPr>
        <w:spacing w:before="120"/>
        <w:rPr>
          <w:b/>
          <w:sz w:val="24"/>
          <w:szCs w:val="24"/>
        </w:rPr>
      </w:pPr>
      <w:r w:rsidRPr="006A0EF9">
        <w:rPr>
          <w:b/>
          <w:sz w:val="24"/>
          <w:szCs w:val="24"/>
        </w:rPr>
        <w:t>Materials and Methods</w:t>
      </w:r>
    </w:p>
    <w:p w14:paraId="17144A85" w14:textId="76C0B9CC" w:rsidR="006A0EF9" w:rsidRPr="006A0EF9" w:rsidRDefault="006A0EF9" w:rsidP="006A0EF9">
      <w:pPr>
        <w:spacing w:before="120"/>
        <w:rPr>
          <w:sz w:val="24"/>
          <w:szCs w:val="24"/>
        </w:rPr>
      </w:pPr>
      <w:r w:rsidRPr="006A0EF9">
        <w:rPr>
          <w:sz w:val="24"/>
          <w:szCs w:val="24"/>
        </w:rPr>
        <w:t xml:space="preserve">A complete list of chemicals and supplier catalog numbers used can be found in </w:t>
      </w:r>
      <w:r w:rsidRPr="006A0EF9">
        <w:rPr>
          <w:b/>
          <w:sz w:val="24"/>
          <w:szCs w:val="24"/>
        </w:rPr>
        <w:t xml:space="preserve">Table </w:t>
      </w:r>
      <w:r w:rsidR="002A5EEE">
        <w:rPr>
          <w:b/>
          <w:sz w:val="24"/>
          <w:szCs w:val="24"/>
        </w:rPr>
        <w:t>S</w:t>
      </w:r>
      <w:r w:rsidRPr="006A0EF9">
        <w:rPr>
          <w:b/>
          <w:sz w:val="24"/>
          <w:szCs w:val="24"/>
        </w:rPr>
        <w:t>2</w:t>
      </w:r>
      <w:r w:rsidRPr="006A0EF9">
        <w:rPr>
          <w:sz w:val="24"/>
          <w:szCs w:val="24"/>
        </w:rPr>
        <w:t xml:space="preserve">. </w:t>
      </w:r>
    </w:p>
    <w:p w14:paraId="007B8CB6" w14:textId="18D408E5" w:rsidR="006A0EF9" w:rsidRPr="006A0EF9" w:rsidRDefault="006A0EF9" w:rsidP="006A0EF9">
      <w:pPr>
        <w:spacing w:before="120"/>
        <w:rPr>
          <w:sz w:val="24"/>
          <w:szCs w:val="24"/>
        </w:rPr>
      </w:pPr>
      <w:r w:rsidRPr="006A0EF9">
        <w:rPr>
          <w:b/>
          <w:sz w:val="24"/>
          <w:szCs w:val="24"/>
        </w:rPr>
        <w:t xml:space="preserve">Labels for </w:t>
      </w:r>
      <w:proofErr w:type="spellStart"/>
      <w:r w:rsidRPr="006A0EF9">
        <w:rPr>
          <w:b/>
          <w:sz w:val="24"/>
          <w:szCs w:val="24"/>
        </w:rPr>
        <w:t>ExM</w:t>
      </w:r>
      <w:proofErr w:type="spellEnd"/>
      <w:r w:rsidRPr="006A0EF9">
        <w:rPr>
          <w:b/>
          <w:sz w:val="24"/>
          <w:szCs w:val="24"/>
        </w:rPr>
        <w:t xml:space="preserve">: </w:t>
      </w:r>
      <w:r w:rsidRPr="006A0EF9">
        <w:rPr>
          <w:sz w:val="24"/>
          <w:szCs w:val="24"/>
        </w:rPr>
        <w:t xml:space="preserve"> DNA sequences on secondary antibodies were synthesized with 5’ amine modification (Integrated DNA Technologies) and conjugated to the antibodies (Jackson </w:t>
      </w:r>
      <w:proofErr w:type="spellStart"/>
      <w:r w:rsidRPr="006A0EF9">
        <w:rPr>
          <w:sz w:val="24"/>
          <w:szCs w:val="24"/>
        </w:rPr>
        <w:t>ImmunoResearch</w:t>
      </w:r>
      <w:proofErr w:type="spellEnd"/>
      <w:r w:rsidRPr="006A0EF9">
        <w:rPr>
          <w:sz w:val="24"/>
          <w:szCs w:val="24"/>
        </w:rPr>
        <w:t xml:space="preserve">, </w:t>
      </w:r>
      <w:proofErr w:type="spellStart"/>
      <w:r w:rsidRPr="006A0EF9">
        <w:rPr>
          <w:sz w:val="24"/>
          <w:szCs w:val="24"/>
        </w:rPr>
        <w:t>Affinipure</w:t>
      </w:r>
      <w:proofErr w:type="spellEnd"/>
      <w:r w:rsidRPr="006A0EF9">
        <w:rPr>
          <w:sz w:val="24"/>
          <w:szCs w:val="24"/>
        </w:rPr>
        <w:t xml:space="preserve"> donkey antibodies) using a commercial kit (</w:t>
      </w:r>
      <w:proofErr w:type="spellStart"/>
      <w:r w:rsidRPr="006A0EF9">
        <w:rPr>
          <w:sz w:val="24"/>
          <w:szCs w:val="24"/>
        </w:rPr>
        <w:t>Solulink</w:t>
      </w:r>
      <w:proofErr w:type="spellEnd"/>
      <w:r w:rsidRPr="006A0EF9">
        <w:rPr>
          <w:sz w:val="24"/>
          <w:szCs w:val="24"/>
        </w:rPr>
        <w:t xml:space="preserve">, Antibody-Oligonucleotide All-in-One Conjugation Kit). For the tri-functional label, the oligonucleotides were synthesized with a 3’ amine modification and a 5’ Acrydite modification (Integrated DNA Technologies), then conjugated to dyes (Alexa 488, </w:t>
      </w:r>
      <w:proofErr w:type="spellStart"/>
      <w:r w:rsidRPr="006A0EF9">
        <w:rPr>
          <w:sz w:val="24"/>
          <w:szCs w:val="24"/>
        </w:rPr>
        <w:t>Atto</w:t>
      </w:r>
      <w:proofErr w:type="spellEnd"/>
      <w:r w:rsidRPr="006A0EF9">
        <w:rPr>
          <w:sz w:val="24"/>
          <w:szCs w:val="24"/>
        </w:rPr>
        <w:t xml:space="preserve"> 565 and </w:t>
      </w:r>
      <w:proofErr w:type="spellStart"/>
      <w:r w:rsidRPr="006A0EF9">
        <w:rPr>
          <w:sz w:val="24"/>
          <w:szCs w:val="24"/>
        </w:rPr>
        <w:t>Atto</w:t>
      </w:r>
      <w:proofErr w:type="spellEnd"/>
      <w:r w:rsidRPr="006A0EF9">
        <w:rPr>
          <w:sz w:val="24"/>
          <w:szCs w:val="24"/>
        </w:rPr>
        <w:t xml:space="preserve"> 647N) modified with NHS-ester chemistry per the dye manufacturer’s directions (see</w:t>
      </w:r>
      <w:r w:rsidRPr="006A0EF9">
        <w:rPr>
          <w:b/>
          <w:sz w:val="24"/>
          <w:szCs w:val="24"/>
        </w:rPr>
        <w:t xml:space="preserve"> Table </w:t>
      </w:r>
      <w:r w:rsidR="002A5EEE">
        <w:rPr>
          <w:b/>
          <w:sz w:val="24"/>
          <w:szCs w:val="24"/>
        </w:rPr>
        <w:t>S</w:t>
      </w:r>
      <w:r w:rsidRPr="006A0EF9">
        <w:rPr>
          <w:b/>
          <w:sz w:val="24"/>
          <w:szCs w:val="24"/>
        </w:rPr>
        <w:t>3</w:t>
      </w:r>
      <w:r w:rsidRPr="006A0EF9">
        <w:rPr>
          <w:sz w:val="24"/>
          <w:szCs w:val="24"/>
        </w:rPr>
        <w:t xml:space="preserve"> for sequences). We found that Cy5 undergoes strong bleaching during polymerization, most likely due to the radical reactivity of its simple linear conjugated backbone, while other fluorophores tested retained at least 50% of their brightness (</w:t>
      </w:r>
      <w:r w:rsidRPr="006A0EF9">
        <w:rPr>
          <w:b/>
          <w:sz w:val="24"/>
          <w:szCs w:val="24"/>
        </w:rPr>
        <w:t xml:space="preserve">Table </w:t>
      </w:r>
      <w:r w:rsidR="002A5EEE">
        <w:rPr>
          <w:b/>
          <w:sz w:val="24"/>
          <w:szCs w:val="24"/>
        </w:rPr>
        <w:t>S</w:t>
      </w:r>
      <w:r w:rsidRPr="006A0EF9">
        <w:rPr>
          <w:b/>
          <w:sz w:val="24"/>
          <w:szCs w:val="24"/>
        </w:rPr>
        <w:t>1</w:t>
      </w:r>
      <w:r w:rsidRPr="006A0EF9">
        <w:rPr>
          <w:sz w:val="24"/>
          <w:szCs w:val="24"/>
        </w:rPr>
        <w:t>). Tri-functional labels were purified via reverse-phase HPLC, lyophilized, and re-suspended in ddH</w:t>
      </w:r>
      <w:r w:rsidRPr="006A0EF9">
        <w:rPr>
          <w:sz w:val="24"/>
          <w:szCs w:val="24"/>
          <w:vertAlign w:val="subscript"/>
        </w:rPr>
        <w:t>2</w:t>
      </w:r>
      <w:r w:rsidRPr="006A0EF9">
        <w:rPr>
          <w:sz w:val="24"/>
          <w:szCs w:val="24"/>
        </w:rPr>
        <w:t>O.</w:t>
      </w:r>
    </w:p>
    <w:p w14:paraId="1ED1E508" w14:textId="28D6F52F" w:rsidR="006A0EF9" w:rsidRPr="006A0EF9" w:rsidRDefault="006A0EF9" w:rsidP="006A0EF9">
      <w:pPr>
        <w:spacing w:before="120"/>
        <w:rPr>
          <w:sz w:val="24"/>
          <w:szCs w:val="24"/>
        </w:rPr>
      </w:pPr>
      <w:r w:rsidRPr="006A0EF9">
        <w:rPr>
          <w:b/>
          <w:sz w:val="24"/>
          <w:szCs w:val="24"/>
        </w:rPr>
        <w:t xml:space="preserve">Cultured cell preparation and staining: </w:t>
      </w:r>
      <w:r w:rsidRPr="006A0EF9">
        <w:rPr>
          <w:sz w:val="24"/>
          <w:szCs w:val="24"/>
        </w:rPr>
        <w:t xml:space="preserve"> HEK293-FT cells (Invitrogen) were cultured in </w:t>
      </w:r>
      <w:proofErr w:type="spellStart"/>
      <w:r w:rsidRPr="006A0EF9">
        <w:rPr>
          <w:sz w:val="24"/>
          <w:szCs w:val="24"/>
        </w:rPr>
        <w:t>Culturewell</w:t>
      </w:r>
      <w:proofErr w:type="spellEnd"/>
      <w:r w:rsidRPr="006A0EF9">
        <w:rPr>
          <w:sz w:val="24"/>
          <w:szCs w:val="24"/>
        </w:rPr>
        <w:t xml:space="preserve"> Chambered </w:t>
      </w:r>
      <w:proofErr w:type="spellStart"/>
      <w:r w:rsidRPr="006A0EF9">
        <w:rPr>
          <w:sz w:val="24"/>
          <w:szCs w:val="24"/>
        </w:rPr>
        <w:t>Coverglasses</w:t>
      </w:r>
      <w:proofErr w:type="spellEnd"/>
      <w:r w:rsidRPr="006A0EF9">
        <w:rPr>
          <w:sz w:val="24"/>
          <w:szCs w:val="24"/>
        </w:rPr>
        <w:t xml:space="preserve"> (Invitrogen) per manufacturer’s instructions. All solutions below were made up in 1x phosphate buffered saline (PBS), and incubations carried out at room temperature. To preserve microtubule ultrastructure, cells were fixed, as in </w:t>
      </w:r>
      <w:r w:rsidRPr="006A0EF9">
        <w:rPr>
          <w:sz w:val="24"/>
          <w:szCs w:val="24"/>
        </w:rPr>
        <w:fldChar w:fldCharType="begin" w:fldLock="1"/>
      </w:r>
      <w:r w:rsidR="00A9334F">
        <w:rPr>
          <w:sz w:val="24"/>
          <w:szCs w:val="24"/>
        </w:rPr>
        <w:instrText>ADDIN CSL_CITATION { "citationItems" : [ { "id" : "ITEM-1", "itemData" : { "DOI" : "10.1126/science.1146598", "ISBN" : "1095-9203 (Electronic)\\n0036-8075 (Linking)", "ISSN" : "0036-8075", "PMID" : "17702910", "abstract" : "Recent advances in far-field optical nanoscopy have enabled fluorescence imaging with a spatial resolution of 20 to 50 nanometers. Multicolor super-resolution imaging, however, remains a challenging task. Here, we introduce a family of photo-switchable fluorescent probes and demonstrate multicolor stochastic optical reconstruction microscopy (STORM). Each probe consists of a photo-switchable \"reporter\" fluorophore that can be cycled between fluorescent and dark states, and an \"activator\" that facilitates photo-activation of the reporter. Combinatorial pairing of reporters and activators allows the creation of probes with many distinct colors. Iterative, color-specific activation of sparse subsets of these probes allows their localization with nanometer accuracy, enabling the construction of a super-resolution STORM image. Using this approach, we demonstrate multicolor imaging of DNA model samples and mammalian cells with 20- to 30-nanometer resolution. This technique will facilitate direct visualization of molecular interactions at the nanometer scale.", "author" : [ { "dropping-particle" : "", "family" : "Bates", "given" : "Mark", "non-dropping-particle" : "", "parse-names" : false, "suffix" : "" }, { "dropping-particle" : "", "family" : "Huang", "given" : "Bo", "non-dropping-particle" : "", "parse-names" : false, "suffix" : "" }, { "dropping-particle" : "", "family" : "Dempsey", "given" : "Graham T", "non-dropping-particle" : "", "parse-names" : false, "suffix" : "" }, { "dropping-particle" : "", "family" : "Zhuang", "given" : "Xiaowei", "non-dropping-particle" : "", "parse-names" : false, "suffix" : "" } ], "container-title" : "Science (New York, N.Y.)", "id" : "ITEM-1", "issued" : { "date-parts" : [ [ "2007" ] ] }, "page" : "1749-1753", "title" : "Multicolor super-resolution imaging with photo-switchable fluorescent probes.", "type" : "article-journal", "volume" : "317" }, "uris" : [ "http://www.mendeley.com/documents/?uuid=8eae1281-9ea1-4db1-a0aa-04d157b8631d" ] } ], "mendeley" : { "previouslyFormattedCitation" : "(&lt;i&gt;6&lt;/i&gt;)"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6</w:t>
      </w:r>
      <w:r w:rsidR="00A9334F" w:rsidRPr="00A9334F">
        <w:rPr>
          <w:noProof/>
          <w:sz w:val="24"/>
          <w:szCs w:val="24"/>
        </w:rPr>
        <w:t>)</w:t>
      </w:r>
      <w:r w:rsidRPr="006A0EF9">
        <w:rPr>
          <w:sz w:val="24"/>
          <w:szCs w:val="24"/>
        </w:rPr>
        <w:fldChar w:fldCharType="end"/>
      </w:r>
      <w:r w:rsidRPr="006A0EF9">
        <w:rPr>
          <w:sz w:val="24"/>
          <w:szCs w:val="24"/>
        </w:rPr>
        <w:t>, in 3% formaldehyde/0.1% glutaraldehyde for 10 minutes, followed by reduction with 0.1% NaBH</w:t>
      </w:r>
      <w:r w:rsidRPr="006A0EF9">
        <w:rPr>
          <w:sz w:val="24"/>
          <w:szCs w:val="24"/>
          <w:vertAlign w:val="subscript"/>
        </w:rPr>
        <w:t>4</w:t>
      </w:r>
      <w:r w:rsidRPr="006A0EF9">
        <w:rPr>
          <w:sz w:val="24"/>
          <w:szCs w:val="24"/>
        </w:rPr>
        <w:t xml:space="preserve"> for 7 minutes, and quenching in 100 mM glycine for 10 minutes. For </w:t>
      </w:r>
      <w:proofErr w:type="spellStart"/>
      <w:r w:rsidRPr="006A0EF9">
        <w:rPr>
          <w:sz w:val="24"/>
          <w:szCs w:val="24"/>
        </w:rPr>
        <w:t>clathrin</w:t>
      </w:r>
      <w:proofErr w:type="spellEnd"/>
      <w:r w:rsidRPr="006A0EF9">
        <w:rPr>
          <w:sz w:val="24"/>
          <w:szCs w:val="24"/>
        </w:rPr>
        <w:t>, cells were fixed in 4% formaldehyde for 10 minutes followed by quenching in 100 mM glycine for 10 minutes. Cells were permeabilized with 0.2% Triton X-100 for 15 minutes at room temperature and blocked with 5% normal donkey serum for one hour. Specimens were incubated with primary antibodies (Sheep anti-Tubulin, Cytoskeleton ATN02; Rabbit anti-</w:t>
      </w:r>
      <w:proofErr w:type="spellStart"/>
      <w:r w:rsidRPr="006A0EF9">
        <w:rPr>
          <w:sz w:val="24"/>
          <w:szCs w:val="24"/>
        </w:rPr>
        <w:t>Clathrin</w:t>
      </w:r>
      <w:proofErr w:type="spellEnd"/>
      <w:r w:rsidRPr="006A0EF9">
        <w:rPr>
          <w:sz w:val="24"/>
          <w:szCs w:val="24"/>
        </w:rPr>
        <w:t xml:space="preserve">, </w:t>
      </w:r>
      <w:proofErr w:type="spellStart"/>
      <w:r w:rsidRPr="006A0EF9">
        <w:rPr>
          <w:sz w:val="24"/>
          <w:szCs w:val="24"/>
        </w:rPr>
        <w:t>Abcam</w:t>
      </w:r>
      <w:proofErr w:type="spellEnd"/>
      <w:r w:rsidRPr="006A0EF9">
        <w:rPr>
          <w:sz w:val="24"/>
          <w:szCs w:val="24"/>
        </w:rPr>
        <w:t xml:space="preserve"> AB21679) in blocking buffer at a concentration of 10 </w:t>
      </w:r>
      <w:r w:rsidRPr="006A0EF9">
        <w:rPr>
          <w:rFonts w:ascii="Symbol" w:hAnsi="Symbol"/>
          <w:sz w:val="24"/>
          <w:szCs w:val="24"/>
        </w:rPr>
        <w:t></w:t>
      </w:r>
      <w:r w:rsidRPr="006A0EF9">
        <w:rPr>
          <w:sz w:val="24"/>
          <w:szCs w:val="24"/>
        </w:rPr>
        <w:t xml:space="preserve">g/mL for 1-4 hours, and then washed in PBS three times for 5 minutes each. Specimens were incubated with DNA-labeled secondary antibodies in DNA hybridization buffer (2x saline-sodium citrate (SSC) buffer, 10% dextran sulfate, 1 mg/mL yeast tRNA, 5% normal donkey serum) at a concentration of approximately 10 </w:t>
      </w:r>
      <w:r w:rsidRPr="006A0EF9">
        <w:rPr>
          <w:rFonts w:ascii="Symbol" w:hAnsi="Symbol"/>
          <w:sz w:val="24"/>
          <w:szCs w:val="24"/>
        </w:rPr>
        <w:t></w:t>
      </w:r>
      <w:r w:rsidRPr="006A0EF9">
        <w:rPr>
          <w:sz w:val="24"/>
          <w:szCs w:val="24"/>
        </w:rPr>
        <w:t>g/mL for 1-4 hours, then washed in PBS as for primary. Specimens were incubated with tri-functional labels in hybridization buffer at a concentration of 0.5 ng/</w:t>
      </w:r>
      <w:r w:rsidRPr="006A0EF9">
        <w:rPr>
          <w:rFonts w:ascii="Symbol" w:hAnsi="Symbol"/>
          <w:sz w:val="24"/>
          <w:szCs w:val="24"/>
        </w:rPr>
        <w:t></w:t>
      </w:r>
      <w:r w:rsidRPr="006A0EF9">
        <w:rPr>
          <w:sz w:val="24"/>
          <w:szCs w:val="24"/>
        </w:rPr>
        <w:t xml:space="preserve">L for each oligonucleotide overnight, then washed three times in 1x PBS. </w:t>
      </w:r>
    </w:p>
    <w:p w14:paraId="754C1F3F" w14:textId="260D2E39" w:rsidR="006A0EF9" w:rsidRPr="006A0EF9" w:rsidRDefault="006A0EF9" w:rsidP="006A0EF9">
      <w:pPr>
        <w:spacing w:before="120"/>
        <w:rPr>
          <w:b/>
          <w:sz w:val="24"/>
          <w:szCs w:val="24"/>
        </w:rPr>
      </w:pPr>
      <w:r w:rsidRPr="006A0EF9">
        <w:rPr>
          <w:b/>
          <w:sz w:val="24"/>
          <w:szCs w:val="24"/>
        </w:rPr>
        <w:t>Brain tissue preparation and staining:</w:t>
      </w:r>
      <w:r w:rsidRPr="006A0EF9">
        <w:rPr>
          <w:sz w:val="24"/>
          <w:szCs w:val="24"/>
        </w:rPr>
        <w:t xml:space="preserve"> All procedures involving animals were in accordance with the US National Institutes of Health Guide for the Care and Use of Laboratory Animals and approved by the Massachusetts Institute of Technology Committee on Animal Care. All solutions below were made up in 1x phosphate buffered saline (PBS), and incubations carried out at room temperature unless otherwise noted. Mice, </w:t>
      </w:r>
      <w:proofErr w:type="spellStart"/>
      <w:r w:rsidRPr="006A0EF9">
        <w:rPr>
          <w:sz w:val="24"/>
          <w:szCs w:val="24"/>
        </w:rPr>
        <w:t>wildtype</w:t>
      </w:r>
      <w:proofErr w:type="spellEnd"/>
      <w:r w:rsidRPr="006A0EF9">
        <w:rPr>
          <w:sz w:val="24"/>
          <w:szCs w:val="24"/>
        </w:rPr>
        <w:t xml:space="preserve"> (C57BL/6, obtained from Taconic) and transgenic expressing cytosolic YFP under the Thy1 promoter (Thy1-YFP-H strain on C57BL/6, obtained from </w:t>
      </w:r>
      <w:proofErr w:type="spellStart"/>
      <w:r w:rsidRPr="006A0EF9">
        <w:rPr>
          <w:sz w:val="24"/>
          <w:szCs w:val="24"/>
        </w:rPr>
        <w:t>Jax</w:t>
      </w:r>
      <w:proofErr w:type="spellEnd"/>
      <w:r w:rsidRPr="006A0EF9">
        <w:rPr>
          <w:sz w:val="24"/>
          <w:szCs w:val="24"/>
        </w:rPr>
        <w:t xml:space="preserve">), were anesthetized with </w:t>
      </w:r>
      <w:proofErr w:type="spellStart"/>
      <w:r w:rsidRPr="006A0EF9">
        <w:rPr>
          <w:sz w:val="24"/>
          <w:szCs w:val="24"/>
        </w:rPr>
        <w:t>isoflurane</w:t>
      </w:r>
      <w:proofErr w:type="spellEnd"/>
      <w:r w:rsidRPr="006A0EF9">
        <w:rPr>
          <w:sz w:val="24"/>
          <w:szCs w:val="24"/>
        </w:rPr>
        <w:t xml:space="preserve"> and perfused </w:t>
      </w:r>
      <w:proofErr w:type="spellStart"/>
      <w:r w:rsidRPr="006A0EF9">
        <w:rPr>
          <w:sz w:val="24"/>
          <w:szCs w:val="24"/>
        </w:rPr>
        <w:t>transcardially</w:t>
      </w:r>
      <w:proofErr w:type="spellEnd"/>
      <w:r w:rsidRPr="006A0EF9">
        <w:rPr>
          <w:sz w:val="24"/>
          <w:szCs w:val="24"/>
        </w:rPr>
        <w:t xml:space="preserve"> with ice cold 4% paraformaldehyde. Brains were dissected out, left in 4% paraformaldehyde at 4</w:t>
      </w:r>
      <w:r w:rsidRPr="006A0EF9">
        <w:rPr>
          <w:sz w:val="24"/>
          <w:szCs w:val="24"/>
          <w:vertAlign w:val="superscript"/>
        </w:rPr>
        <w:t>o</w:t>
      </w:r>
      <w:r w:rsidRPr="006A0EF9">
        <w:rPr>
          <w:sz w:val="24"/>
          <w:szCs w:val="24"/>
        </w:rPr>
        <w:t xml:space="preserve">C for one day, and then sunk in 30% sucrose with 100 mM glycine for one day. Slices greater than 30 µm thick were sliced on a </w:t>
      </w:r>
      <w:proofErr w:type="spellStart"/>
      <w:r w:rsidRPr="006A0EF9">
        <w:rPr>
          <w:sz w:val="24"/>
          <w:szCs w:val="24"/>
        </w:rPr>
        <w:t>vibratome</w:t>
      </w:r>
      <w:proofErr w:type="spellEnd"/>
      <w:r w:rsidRPr="006A0EF9">
        <w:rPr>
          <w:sz w:val="24"/>
          <w:szCs w:val="24"/>
        </w:rPr>
        <w:t xml:space="preserve"> (Leica VT1000S); slices 30 µm thick were frozen in -40</w:t>
      </w:r>
      <w:r w:rsidRPr="006A0EF9">
        <w:rPr>
          <w:sz w:val="24"/>
          <w:szCs w:val="24"/>
          <w:vertAlign w:val="superscript"/>
        </w:rPr>
        <w:t xml:space="preserve">o </w:t>
      </w:r>
      <w:r w:rsidRPr="006A0EF9">
        <w:rPr>
          <w:sz w:val="24"/>
          <w:szCs w:val="24"/>
        </w:rPr>
        <w:t xml:space="preserve">C </w:t>
      </w:r>
      <w:proofErr w:type="spellStart"/>
      <w:r w:rsidRPr="006A0EF9">
        <w:rPr>
          <w:sz w:val="24"/>
          <w:szCs w:val="24"/>
        </w:rPr>
        <w:t>isopentane</w:t>
      </w:r>
      <w:proofErr w:type="spellEnd"/>
      <w:r w:rsidRPr="006A0EF9">
        <w:rPr>
          <w:sz w:val="24"/>
          <w:szCs w:val="24"/>
        </w:rPr>
        <w:t xml:space="preserve"> cooled with dry ice, embedded in M-1 embedding matrix (Thermo Scientific) and sliced on a </w:t>
      </w:r>
      <w:proofErr w:type="spellStart"/>
      <w:r w:rsidRPr="006A0EF9">
        <w:rPr>
          <w:sz w:val="24"/>
          <w:szCs w:val="24"/>
        </w:rPr>
        <w:t>cryotome</w:t>
      </w:r>
      <w:proofErr w:type="spellEnd"/>
      <w:r w:rsidRPr="006A0EF9">
        <w:rPr>
          <w:sz w:val="24"/>
          <w:szCs w:val="24"/>
        </w:rPr>
        <w:t xml:space="preserve"> (Leica CM1850UV). Slices were permeabilized and blocked </w:t>
      </w:r>
      <w:r w:rsidRPr="006A0EF9">
        <w:rPr>
          <w:sz w:val="24"/>
          <w:szCs w:val="24"/>
        </w:rPr>
        <w:lastRenderedPageBreak/>
        <w:t xml:space="preserve">with 0.1% Triton X-100 and 2% normal donkey serum (slice blocking buffer) for at least six hours. Slices were incubated with primary antibodies in slice blocking buffer at a concentration of 10 </w:t>
      </w:r>
      <w:r w:rsidRPr="006A0EF9">
        <w:rPr>
          <w:rFonts w:ascii="Symbol" w:hAnsi="Symbol"/>
          <w:sz w:val="24"/>
          <w:szCs w:val="24"/>
        </w:rPr>
        <w:t></w:t>
      </w:r>
      <w:r w:rsidRPr="006A0EF9">
        <w:rPr>
          <w:sz w:val="24"/>
          <w:szCs w:val="24"/>
        </w:rPr>
        <w:t xml:space="preserve">g/mL for 6-24 hours depending on slice thickness and antibody, and then washed in slice blocking buffer four times, for thirty minutes each time, changing solutions in between. Slices were incubated with DNA-labeled secondary antibodies in hybridization buffer plus 0.1% Triton X-100 at a concentration of approximately 10 </w:t>
      </w:r>
      <w:r w:rsidRPr="006A0EF9">
        <w:rPr>
          <w:rFonts w:ascii="Symbol" w:hAnsi="Symbol"/>
          <w:sz w:val="24"/>
          <w:szCs w:val="24"/>
        </w:rPr>
        <w:t></w:t>
      </w:r>
      <w:r w:rsidRPr="006A0EF9">
        <w:rPr>
          <w:sz w:val="24"/>
          <w:szCs w:val="24"/>
        </w:rPr>
        <w:t>g/mL for 6-24 hours depending on slice thickness and antibody, then washed in slice blocking buffer as for primary. Specimens were incubated with tri-functional labels in hybridization buffer plus 0.1% Triton X-100 at a concentration of 0.5 ng/</w:t>
      </w:r>
      <w:r w:rsidRPr="006A0EF9">
        <w:rPr>
          <w:rFonts w:ascii="Symbol" w:hAnsi="Symbol"/>
          <w:sz w:val="24"/>
          <w:szCs w:val="24"/>
        </w:rPr>
        <w:t></w:t>
      </w:r>
      <w:r w:rsidRPr="006A0EF9">
        <w:rPr>
          <w:sz w:val="24"/>
          <w:szCs w:val="24"/>
        </w:rPr>
        <w:t xml:space="preserve">L per oligonucleotide for 6-12 hours, then washed in slice blocking buffer as for primary.  Slices used were 30 </w:t>
      </w:r>
      <w:r w:rsidRPr="006A0EF9">
        <w:rPr>
          <w:rFonts w:ascii="Symbol" w:hAnsi="Symbol"/>
          <w:sz w:val="24"/>
          <w:szCs w:val="24"/>
        </w:rPr>
        <w:t></w:t>
      </w:r>
      <w:r w:rsidRPr="006A0EF9">
        <w:rPr>
          <w:sz w:val="24"/>
          <w:szCs w:val="24"/>
        </w:rPr>
        <w:t>m (for the bleaching experiments of</w:t>
      </w:r>
      <w:r w:rsidRPr="006A0EF9">
        <w:rPr>
          <w:b/>
          <w:sz w:val="24"/>
          <w:szCs w:val="24"/>
        </w:rPr>
        <w:t xml:space="preserve"> Table </w:t>
      </w:r>
      <w:r w:rsidR="002A5EEE">
        <w:rPr>
          <w:b/>
          <w:sz w:val="24"/>
          <w:szCs w:val="24"/>
        </w:rPr>
        <w:t>S</w:t>
      </w:r>
      <w:r w:rsidRPr="006A0EF9">
        <w:rPr>
          <w:b/>
          <w:sz w:val="24"/>
          <w:szCs w:val="24"/>
        </w:rPr>
        <w:t>1</w:t>
      </w:r>
      <w:r w:rsidRPr="006A0EF9">
        <w:rPr>
          <w:sz w:val="24"/>
          <w:szCs w:val="24"/>
        </w:rPr>
        <w:t xml:space="preserve">), 200 </w:t>
      </w:r>
      <w:r w:rsidRPr="006A0EF9">
        <w:rPr>
          <w:rFonts w:ascii="Symbol" w:hAnsi="Symbol"/>
          <w:sz w:val="24"/>
          <w:szCs w:val="24"/>
        </w:rPr>
        <w:t></w:t>
      </w:r>
      <w:r w:rsidRPr="006A0EF9">
        <w:rPr>
          <w:sz w:val="24"/>
          <w:szCs w:val="24"/>
        </w:rPr>
        <w:t>m (</w:t>
      </w:r>
      <w:r w:rsidRPr="006A0EF9">
        <w:rPr>
          <w:b/>
          <w:sz w:val="24"/>
          <w:szCs w:val="24"/>
        </w:rPr>
        <w:t xml:space="preserve">Fig. 1, </w:t>
      </w:r>
      <w:r w:rsidR="00546737">
        <w:rPr>
          <w:b/>
          <w:sz w:val="24"/>
          <w:szCs w:val="24"/>
        </w:rPr>
        <w:t>Fig. S</w:t>
      </w:r>
      <w:r w:rsidRPr="006A0EF9">
        <w:rPr>
          <w:b/>
          <w:sz w:val="24"/>
          <w:szCs w:val="24"/>
        </w:rPr>
        <w:t>2</w:t>
      </w:r>
      <w:r w:rsidRPr="006A0EF9">
        <w:rPr>
          <w:sz w:val="24"/>
          <w:szCs w:val="24"/>
        </w:rPr>
        <w:t xml:space="preserve">), or 100 </w:t>
      </w:r>
      <w:r w:rsidRPr="006A0EF9">
        <w:rPr>
          <w:rFonts w:ascii="Symbol" w:hAnsi="Symbol"/>
          <w:sz w:val="24"/>
          <w:szCs w:val="24"/>
        </w:rPr>
        <w:t></w:t>
      </w:r>
      <w:r w:rsidRPr="006A0EF9">
        <w:rPr>
          <w:sz w:val="24"/>
          <w:szCs w:val="24"/>
        </w:rPr>
        <w:t>m (all other figures with slices) thick.</w:t>
      </w:r>
    </w:p>
    <w:p w14:paraId="0457BA33" w14:textId="07627456" w:rsidR="006A0EF9" w:rsidRPr="006A0EF9" w:rsidRDefault="006A0EF9" w:rsidP="006A0EF9">
      <w:pPr>
        <w:spacing w:before="120"/>
        <w:rPr>
          <w:rFonts w:ascii="Calibri" w:eastAsia="Times New Roman" w:hAnsi="Calibri"/>
          <w:color w:val="000000"/>
          <w:sz w:val="24"/>
          <w:szCs w:val="24"/>
        </w:rPr>
      </w:pPr>
      <w:r w:rsidRPr="006A0EF9">
        <w:rPr>
          <w:sz w:val="24"/>
          <w:szCs w:val="24"/>
        </w:rPr>
        <w:t xml:space="preserve">For </w:t>
      </w:r>
      <w:r w:rsidRPr="006A0EF9">
        <w:rPr>
          <w:b/>
          <w:sz w:val="24"/>
          <w:szCs w:val="24"/>
        </w:rPr>
        <w:t xml:space="preserve">Figs. 3 </w:t>
      </w:r>
      <w:r w:rsidRPr="006A0EF9">
        <w:rPr>
          <w:sz w:val="24"/>
          <w:szCs w:val="24"/>
        </w:rPr>
        <w:t>and</w:t>
      </w:r>
      <w:r w:rsidRPr="006A0EF9">
        <w:rPr>
          <w:b/>
          <w:sz w:val="24"/>
          <w:szCs w:val="24"/>
        </w:rPr>
        <w:t xml:space="preserve"> 4</w:t>
      </w:r>
      <w:r w:rsidRPr="006A0EF9">
        <w:rPr>
          <w:sz w:val="24"/>
          <w:szCs w:val="24"/>
        </w:rPr>
        <w:t xml:space="preserve">, slices were stained with primary antibodies Chicken anti-GFP, Millipore AB16901; Rabbit anti-Homer1, Synaptic Systems 160003; Mouse anti-Bassoon, </w:t>
      </w:r>
      <w:proofErr w:type="spellStart"/>
      <w:r w:rsidRPr="006A0EF9">
        <w:rPr>
          <w:sz w:val="24"/>
          <w:szCs w:val="24"/>
        </w:rPr>
        <w:t>Abcam</w:t>
      </w:r>
      <w:proofErr w:type="spellEnd"/>
      <w:r w:rsidRPr="006A0EF9">
        <w:rPr>
          <w:sz w:val="24"/>
          <w:szCs w:val="24"/>
        </w:rPr>
        <w:t xml:space="preserve"> AB82958. For </w:t>
      </w:r>
      <w:r w:rsidRPr="006A0EF9">
        <w:rPr>
          <w:b/>
          <w:sz w:val="24"/>
          <w:szCs w:val="24"/>
        </w:rPr>
        <w:t xml:space="preserve">Fig. </w:t>
      </w:r>
      <w:r w:rsidR="00546737">
        <w:rPr>
          <w:b/>
          <w:sz w:val="24"/>
          <w:szCs w:val="24"/>
        </w:rPr>
        <w:t>S</w:t>
      </w:r>
      <w:r w:rsidRPr="006A0EF9">
        <w:rPr>
          <w:b/>
          <w:sz w:val="24"/>
          <w:szCs w:val="24"/>
        </w:rPr>
        <w:t>4</w:t>
      </w:r>
      <w:r w:rsidRPr="006A0EF9">
        <w:rPr>
          <w:sz w:val="24"/>
          <w:szCs w:val="24"/>
        </w:rPr>
        <w:t xml:space="preserve">, antibodies used were Rabbit anti-GAD65/67, </w:t>
      </w:r>
      <w:proofErr w:type="spellStart"/>
      <w:r w:rsidRPr="006A0EF9">
        <w:rPr>
          <w:sz w:val="24"/>
          <w:szCs w:val="24"/>
        </w:rPr>
        <w:t>Chemicon</w:t>
      </w:r>
      <w:proofErr w:type="spellEnd"/>
      <w:r w:rsidRPr="006A0EF9">
        <w:rPr>
          <w:sz w:val="24"/>
          <w:szCs w:val="24"/>
        </w:rPr>
        <w:t xml:space="preserve"> AB1511; Rabbit anti-</w:t>
      </w:r>
      <w:proofErr w:type="spellStart"/>
      <w:r w:rsidRPr="006A0EF9">
        <w:rPr>
          <w:sz w:val="24"/>
          <w:szCs w:val="24"/>
        </w:rPr>
        <w:t>ChAT</w:t>
      </w:r>
      <w:proofErr w:type="spellEnd"/>
      <w:r w:rsidRPr="006A0EF9">
        <w:rPr>
          <w:sz w:val="24"/>
          <w:szCs w:val="24"/>
        </w:rPr>
        <w:t>, Millipore AB143; Rabbit anti-</w:t>
      </w:r>
      <w:proofErr w:type="spellStart"/>
      <w:r w:rsidRPr="006A0EF9">
        <w:rPr>
          <w:sz w:val="24"/>
          <w:szCs w:val="24"/>
        </w:rPr>
        <w:t>CaMKII</w:t>
      </w:r>
      <w:proofErr w:type="spellEnd"/>
      <w:r w:rsidRPr="006A0EF9">
        <w:rPr>
          <w:sz w:val="24"/>
          <w:szCs w:val="24"/>
        </w:rPr>
        <w:t xml:space="preserve">, </w:t>
      </w:r>
      <w:proofErr w:type="spellStart"/>
      <w:r w:rsidRPr="006A0EF9">
        <w:rPr>
          <w:sz w:val="24"/>
          <w:szCs w:val="24"/>
        </w:rPr>
        <w:t>Epitomics</w:t>
      </w:r>
      <w:proofErr w:type="spellEnd"/>
      <w:r w:rsidRPr="006A0EF9">
        <w:rPr>
          <w:sz w:val="24"/>
          <w:szCs w:val="24"/>
        </w:rPr>
        <w:t xml:space="preserve"> 2048-1; Rabbit anti-GABA, Sigma A2052; Mouse anti-</w:t>
      </w:r>
      <w:proofErr w:type="spellStart"/>
      <w:r w:rsidRPr="006A0EF9">
        <w:rPr>
          <w:sz w:val="24"/>
          <w:szCs w:val="24"/>
        </w:rPr>
        <w:t>Lamin</w:t>
      </w:r>
      <w:proofErr w:type="spellEnd"/>
      <w:r w:rsidRPr="006A0EF9">
        <w:rPr>
          <w:sz w:val="24"/>
          <w:szCs w:val="24"/>
        </w:rPr>
        <w:t xml:space="preserve"> A/C, Cell Signaling Technology #4777; Rabbit anti-NMDAR2a/b, Millipore AB1548.  </w:t>
      </w:r>
    </w:p>
    <w:p w14:paraId="46275A7A" w14:textId="0C08A95A" w:rsidR="00B74EBC" w:rsidRDefault="006A0EF9" w:rsidP="006A0EF9">
      <w:pPr>
        <w:spacing w:before="120"/>
        <w:rPr>
          <w:sz w:val="24"/>
          <w:szCs w:val="24"/>
        </w:rPr>
      </w:pPr>
      <w:r w:rsidRPr="006A0EF9">
        <w:rPr>
          <w:b/>
          <w:sz w:val="24"/>
          <w:szCs w:val="24"/>
        </w:rPr>
        <w:t xml:space="preserve">In situ polymer synthesis: </w:t>
      </w:r>
      <w:r w:rsidRPr="006A0EF9">
        <w:rPr>
          <w:sz w:val="24"/>
          <w:szCs w:val="24"/>
        </w:rPr>
        <w:t xml:space="preserve"> Monomer solution (1x PBS, 2 M NaCl, 8.625% (w/w) sodium acrylate, 2.5% (w/w) acrylamide, 0.15% (w/w) N,N'-</w:t>
      </w:r>
      <w:proofErr w:type="spellStart"/>
      <w:r w:rsidRPr="006A0EF9">
        <w:rPr>
          <w:sz w:val="24"/>
          <w:szCs w:val="24"/>
        </w:rPr>
        <w:t>methylenebisacrylamide</w:t>
      </w:r>
      <w:proofErr w:type="spellEnd"/>
      <w:r w:rsidRPr="006A0EF9">
        <w:rPr>
          <w:sz w:val="24"/>
          <w:szCs w:val="24"/>
        </w:rPr>
        <w:t>) was mixed (see</w:t>
      </w:r>
      <w:r w:rsidRPr="006A0EF9">
        <w:rPr>
          <w:b/>
          <w:sz w:val="24"/>
          <w:szCs w:val="24"/>
        </w:rPr>
        <w:t xml:space="preserve"> Table </w:t>
      </w:r>
      <w:r w:rsidR="002A5EEE">
        <w:rPr>
          <w:b/>
          <w:sz w:val="24"/>
          <w:szCs w:val="24"/>
        </w:rPr>
        <w:t>S</w:t>
      </w:r>
      <w:r w:rsidRPr="006A0EF9">
        <w:rPr>
          <w:b/>
          <w:sz w:val="24"/>
          <w:szCs w:val="24"/>
        </w:rPr>
        <w:t>4</w:t>
      </w:r>
      <w:r w:rsidRPr="006A0EF9">
        <w:rPr>
          <w:sz w:val="24"/>
          <w:szCs w:val="24"/>
        </w:rPr>
        <w:t xml:space="preserve">), frozen in aliquots, and thawed before use. Prior to embedding, monomer solution was cooled to 4°C to prevent premature gelation. Concentrated stocks (10% w/w) of ammonium </w:t>
      </w:r>
      <w:proofErr w:type="spellStart"/>
      <w:r w:rsidRPr="006A0EF9">
        <w:rPr>
          <w:sz w:val="24"/>
          <w:szCs w:val="24"/>
        </w:rPr>
        <w:t>persulfate</w:t>
      </w:r>
      <w:proofErr w:type="spellEnd"/>
      <w:r w:rsidRPr="006A0EF9">
        <w:rPr>
          <w:sz w:val="24"/>
          <w:szCs w:val="24"/>
        </w:rPr>
        <w:t xml:space="preserve"> (APS) initiator and </w:t>
      </w:r>
      <w:proofErr w:type="spellStart"/>
      <w:r w:rsidRPr="006A0EF9">
        <w:rPr>
          <w:sz w:val="24"/>
          <w:szCs w:val="24"/>
        </w:rPr>
        <w:t>tetramethylethylenediamine</w:t>
      </w:r>
      <w:proofErr w:type="spellEnd"/>
      <w:r w:rsidRPr="006A0EF9">
        <w:rPr>
          <w:sz w:val="24"/>
          <w:szCs w:val="24"/>
        </w:rPr>
        <w:t xml:space="preserve"> (TEMED) accelerator were added to the monomer solution up to 0.2% (w/w) each. For slices, the inhibitor 4-hydroxy-2</w:t>
      </w:r>
      <w:proofErr w:type="gramStart"/>
      <w:r w:rsidRPr="006A0EF9">
        <w:rPr>
          <w:sz w:val="24"/>
          <w:szCs w:val="24"/>
        </w:rPr>
        <w:t>,2,6,6</w:t>
      </w:r>
      <w:proofErr w:type="gramEnd"/>
      <w:r w:rsidRPr="006A0EF9">
        <w:rPr>
          <w:sz w:val="24"/>
          <w:szCs w:val="24"/>
        </w:rPr>
        <w:t>-tetramethylpiperidin-1-oxyl (4-hydroxy-TEMPO) was added up to 0.01% (w/w) from a 1% (w/w) stock to inhibit gelation during diffusion of the monomer solution into tissue sections. Stained cells or tissue slices were incubated with the monomer solution plus APS/TEMED (and 4-hydroxy-TEMPO for slices) at 4°C for one minute, 30 minutes or 45 minutes for cultured cells, 30 µm/100 µm slices and 200 µm slices respectively</w:t>
      </w:r>
      <w:r w:rsidR="00C77E20">
        <w:rPr>
          <w:sz w:val="24"/>
          <w:szCs w:val="24"/>
        </w:rPr>
        <w:t>.</w:t>
      </w:r>
      <w:r w:rsidR="00B74EBC">
        <w:rPr>
          <w:sz w:val="24"/>
          <w:szCs w:val="24"/>
        </w:rPr>
        <w:t xml:space="preserve"> </w:t>
      </w:r>
      <w:r w:rsidR="00B74EBC" w:rsidRPr="006A0EF9">
        <w:rPr>
          <w:sz w:val="24"/>
          <w:szCs w:val="24"/>
        </w:rPr>
        <w:t xml:space="preserve">Slices were incubated with at least 100-fold excess volume of monomer solution. </w:t>
      </w:r>
    </w:p>
    <w:p w14:paraId="348EED9A" w14:textId="07780E50" w:rsidR="006A0EF9" w:rsidRPr="006A0EF9" w:rsidRDefault="00C77E20" w:rsidP="006A0EF9">
      <w:pPr>
        <w:spacing w:before="120"/>
        <w:rPr>
          <w:sz w:val="24"/>
          <w:szCs w:val="24"/>
        </w:rPr>
      </w:pPr>
      <w:r w:rsidRPr="006A0EF9">
        <w:rPr>
          <w:sz w:val="24"/>
          <w:szCs w:val="24"/>
        </w:rPr>
        <w:t>For cells, gels were formed</w:t>
      </w:r>
      <w:r w:rsidR="00F52254">
        <w:rPr>
          <w:sz w:val="24"/>
          <w:szCs w:val="24"/>
        </w:rPr>
        <w:t xml:space="preserve"> directly</w:t>
      </w:r>
      <w:r w:rsidRPr="006A0EF9">
        <w:rPr>
          <w:sz w:val="24"/>
          <w:szCs w:val="24"/>
        </w:rPr>
        <w:t xml:space="preserve"> in a </w:t>
      </w:r>
      <w:proofErr w:type="spellStart"/>
      <w:r w:rsidRPr="006A0EF9">
        <w:rPr>
          <w:sz w:val="24"/>
          <w:szCs w:val="24"/>
        </w:rPr>
        <w:t>Culturewell</w:t>
      </w:r>
      <w:proofErr w:type="spellEnd"/>
      <w:r w:rsidRPr="006A0EF9">
        <w:rPr>
          <w:sz w:val="24"/>
          <w:szCs w:val="24"/>
        </w:rPr>
        <w:t xml:space="preserve"> Chambered </w:t>
      </w:r>
      <w:proofErr w:type="spellStart"/>
      <w:r w:rsidRPr="006A0EF9">
        <w:rPr>
          <w:sz w:val="24"/>
          <w:szCs w:val="24"/>
        </w:rPr>
        <w:t>Coverglass</w:t>
      </w:r>
      <w:proofErr w:type="spellEnd"/>
      <w:r w:rsidRPr="006A0EF9">
        <w:rPr>
          <w:sz w:val="24"/>
          <w:szCs w:val="24"/>
        </w:rPr>
        <w:t xml:space="preserve"> (Invitrogen), </w:t>
      </w:r>
      <w:r w:rsidR="00B74EBC">
        <w:rPr>
          <w:sz w:val="24"/>
          <w:szCs w:val="24"/>
        </w:rPr>
        <w:t xml:space="preserve">with monomer solution plus APS/TEMED added to a depth of about 2mm. </w:t>
      </w:r>
      <w:r w:rsidRPr="006A0EF9">
        <w:rPr>
          <w:sz w:val="24"/>
          <w:szCs w:val="24"/>
        </w:rPr>
        <w:t>For tissue slices, gel</w:t>
      </w:r>
      <w:r w:rsidR="00577D9B">
        <w:rPr>
          <w:sz w:val="24"/>
          <w:szCs w:val="24"/>
        </w:rPr>
        <w:t>ation</w:t>
      </w:r>
      <w:r w:rsidRPr="006A0EF9">
        <w:rPr>
          <w:sz w:val="24"/>
          <w:szCs w:val="24"/>
        </w:rPr>
        <w:t xml:space="preserve"> chambers were constructed with two pieces of </w:t>
      </w:r>
      <w:proofErr w:type="spellStart"/>
      <w:r w:rsidRPr="006A0EF9">
        <w:rPr>
          <w:sz w:val="24"/>
          <w:szCs w:val="24"/>
        </w:rPr>
        <w:t>coverglass</w:t>
      </w:r>
      <w:proofErr w:type="spellEnd"/>
      <w:r w:rsidRPr="006A0EF9">
        <w:rPr>
          <w:sz w:val="24"/>
          <w:szCs w:val="24"/>
        </w:rPr>
        <w:t xml:space="preserve"> separated by spacers </w:t>
      </w:r>
      <w:r w:rsidR="00B74EBC">
        <w:rPr>
          <w:sz w:val="24"/>
          <w:szCs w:val="24"/>
        </w:rPr>
        <w:t xml:space="preserve">placed </w:t>
      </w:r>
      <w:r w:rsidRPr="006A0EF9">
        <w:rPr>
          <w:sz w:val="24"/>
          <w:szCs w:val="24"/>
        </w:rPr>
        <w:t xml:space="preserve">on either side of the tissue section (for 30 and 100 µm sections, #1 </w:t>
      </w:r>
      <w:proofErr w:type="spellStart"/>
      <w:r w:rsidRPr="006A0EF9">
        <w:rPr>
          <w:sz w:val="24"/>
          <w:szCs w:val="24"/>
        </w:rPr>
        <w:t>coverglasses</w:t>
      </w:r>
      <w:proofErr w:type="spellEnd"/>
      <w:r w:rsidRPr="006A0EF9">
        <w:rPr>
          <w:sz w:val="24"/>
          <w:szCs w:val="24"/>
        </w:rPr>
        <w:t xml:space="preserve"> were used for spacers and for 200 µm sections, </w:t>
      </w:r>
      <w:r w:rsidR="00F52254">
        <w:rPr>
          <w:sz w:val="24"/>
          <w:szCs w:val="24"/>
        </w:rPr>
        <w:t xml:space="preserve">a stack of </w:t>
      </w:r>
      <w:r w:rsidRPr="006A0EF9">
        <w:rPr>
          <w:sz w:val="24"/>
          <w:szCs w:val="24"/>
        </w:rPr>
        <w:t xml:space="preserve">two # 1 </w:t>
      </w:r>
      <w:proofErr w:type="spellStart"/>
      <w:r w:rsidRPr="006A0EF9">
        <w:rPr>
          <w:sz w:val="24"/>
          <w:szCs w:val="24"/>
        </w:rPr>
        <w:t>coverglasses</w:t>
      </w:r>
      <w:proofErr w:type="spellEnd"/>
      <w:r w:rsidRPr="006A0EF9">
        <w:rPr>
          <w:sz w:val="24"/>
          <w:szCs w:val="24"/>
        </w:rPr>
        <w:t xml:space="preserve"> w</w:t>
      </w:r>
      <w:r w:rsidR="00F52254">
        <w:rPr>
          <w:sz w:val="24"/>
          <w:szCs w:val="24"/>
        </w:rPr>
        <w:t>as</w:t>
      </w:r>
      <w:r w:rsidRPr="006A0EF9">
        <w:rPr>
          <w:sz w:val="24"/>
          <w:szCs w:val="24"/>
        </w:rPr>
        <w:t xml:space="preserve"> used for </w:t>
      </w:r>
      <w:r w:rsidR="00F52254">
        <w:rPr>
          <w:sz w:val="24"/>
          <w:szCs w:val="24"/>
        </w:rPr>
        <w:t xml:space="preserve">each </w:t>
      </w:r>
      <w:r w:rsidRPr="006A0EF9">
        <w:rPr>
          <w:sz w:val="24"/>
          <w:szCs w:val="24"/>
        </w:rPr>
        <w:t>spacer).</w:t>
      </w:r>
      <w:r>
        <w:rPr>
          <w:sz w:val="24"/>
          <w:szCs w:val="24"/>
        </w:rPr>
        <w:t xml:space="preserve"> Slices were </w:t>
      </w:r>
      <w:r w:rsidR="00B74EBC">
        <w:rPr>
          <w:sz w:val="24"/>
          <w:szCs w:val="24"/>
        </w:rPr>
        <w:t xml:space="preserve">not </w:t>
      </w:r>
      <w:r>
        <w:rPr>
          <w:sz w:val="24"/>
          <w:szCs w:val="24"/>
        </w:rPr>
        <w:t xml:space="preserve">placed into </w:t>
      </w:r>
      <w:proofErr w:type="spellStart"/>
      <w:r>
        <w:rPr>
          <w:sz w:val="24"/>
          <w:szCs w:val="24"/>
        </w:rPr>
        <w:t>coverglass</w:t>
      </w:r>
      <w:proofErr w:type="spellEnd"/>
      <w:r>
        <w:rPr>
          <w:sz w:val="24"/>
          <w:szCs w:val="24"/>
        </w:rPr>
        <w:t xml:space="preserve"> </w:t>
      </w:r>
      <w:r w:rsidR="00B74EBC">
        <w:rPr>
          <w:sz w:val="24"/>
          <w:szCs w:val="24"/>
        </w:rPr>
        <w:t xml:space="preserve">gelation </w:t>
      </w:r>
      <w:r>
        <w:rPr>
          <w:sz w:val="24"/>
          <w:szCs w:val="24"/>
        </w:rPr>
        <w:t xml:space="preserve">chambers </w:t>
      </w:r>
      <w:r w:rsidR="00B74EBC">
        <w:rPr>
          <w:sz w:val="24"/>
          <w:szCs w:val="24"/>
        </w:rPr>
        <w:t>until</w:t>
      </w:r>
      <w:r>
        <w:rPr>
          <w:sz w:val="24"/>
          <w:szCs w:val="24"/>
        </w:rPr>
        <w:t xml:space="preserve"> the end of the monomer incubation period</w:t>
      </w:r>
      <w:r w:rsidR="00B74EBC">
        <w:rPr>
          <w:sz w:val="24"/>
          <w:szCs w:val="24"/>
        </w:rPr>
        <w:t xml:space="preserve">, to ensure adequate access of the </w:t>
      </w:r>
      <w:r w:rsidR="00577D9B">
        <w:rPr>
          <w:sz w:val="24"/>
          <w:szCs w:val="24"/>
        </w:rPr>
        <w:t xml:space="preserve">monomer </w:t>
      </w:r>
      <w:r w:rsidR="00B74EBC">
        <w:rPr>
          <w:sz w:val="24"/>
          <w:szCs w:val="24"/>
        </w:rPr>
        <w:t>solution to the slice</w:t>
      </w:r>
      <w:r w:rsidR="00A1070E">
        <w:rPr>
          <w:sz w:val="24"/>
          <w:szCs w:val="24"/>
        </w:rPr>
        <w:t>. After incubation in monomer solution (and chamber construction, for slices), specimens were</w:t>
      </w:r>
      <w:r w:rsidR="006A0EF9" w:rsidRPr="006A0EF9">
        <w:rPr>
          <w:sz w:val="24"/>
          <w:szCs w:val="24"/>
        </w:rPr>
        <w:t xml:space="preserve"> transferred to a humidified 37° C incubator for two hours. </w:t>
      </w:r>
    </w:p>
    <w:p w14:paraId="6A3DF3D3" w14:textId="45CBCBFC" w:rsidR="006A0EF9" w:rsidRPr="006A0EF9" w:rsidRDefault="006A0EF9" w:rsidP="006A0EF9">
      <w:pPr>
        <w:spacing w:before="120"/>
        <w:rPr>
          <w:sz w:val="24"/>
          <w:szCs w:val="24"/>
        </w:rPr>
      </w:pPr>
      <w:r w:rsidRPr="006A0EF9">
        <w:rPr>
          <w:sz w:val="24"/>
          <w:szCs w:val="24"/>
        </w:rPr>
        <w:t xml:space="preserve">Specimen-free gels of </w:t>
      </w:r>
      <w:r w:rsidRPr="006A0EF9">
        <w:rPr>
          <w:b/>
          <w:sz w:val="24"/>
          <w:szCs w:val="24"/>
        </w:rPr>
        <w:t xml:space="preserve">Fig. </w:t>
      </w:r>
      <w:r w:rsidR="00546737">
        <w:rPr>
          <w:b/>
          <w:sz w:val="24"/>
          <w:szCs w:val="24"/>
        </w:rPr>
        <w:t>S</w:t>
      </w:r>
      <w:r w:rsidRPr="006A0EF9">
        <w:rPr>
          <w:b/>
          <w:sz w:val="24"/>
          <w:szCs w:val="24"/>
        </w:rPr>
        <w:t xml:space="preserve">5 </w:t>
      </w:r>
      <w:r w:rsidRPr="006A0EF9">
        <w:rPr>
          <w:sz w:val="24"/>
          <w:szCs w:val="24"/>
        </w:rPr>
        <w:t xml:space="preserve">were cast with the same recipe as for cultured cells except with a variable amount of cross-linker, in forms constructed from two coverslips separated by a silicone gasket 1 mm thick, with circular holes 5.2 mm in diameter. Gels were expanded as with cultured cells, but without needing digestion. Diameters of expanded gels were measured using Vernier calipers to find the linear expansion factor. </w:t>
      </w:r>
    </w:p>
    <w:p w14:paraId="65BFDF69" w14:textId="134C1C64" w:rsidR="006A0EF9" w:rsidRPr="006A0EF9" w:rsidRDefault="006A0EF9" w:rsidP="006A0EF9">
      <w:pPr>
        <w:spacing w:before="120"/>
        <w:rPr>
          <w:sz w:val="24"/>
          <w:szCs w:val="24"/>
        </w:rPr>
      </w:pPr>
      <w:r w:rsidRPr="006A0EF9">
        <w:rPr>
          <w:b/>
          <w:sz w:val="24"/>
          <w:szCs w:val="24"/>
        </w:rPr>
        <w:lastRenderedPageBreak/>
        <w:t xml:space="preserve">Digestion and expansion: </w:t>
      </w:r>
      <w:r w:rsidRPr="006A0EF9">
        <w:rPr>
          <w:sz w:val="24"/>
          <w:szCs w:val="24"/>
        </w:rPr>
        <w:t xml:space="preserve">Proteinase K (New England </w:t>
      </w:r>
      <w:proofErr w:type="spellStart"/>
      <w:r w:rsidRPr="006A0EF9">
        <w:rPr>
          <w:sz w:val="24"/>
          <w:szCs w:val="24"/>
        </w:rPr>
        <w:t>Biolabs</w:t>
      </w:r>
      <w:proofErr w:type="spellEnd"/>
      <w:r w:rsidRPr="006A0EF9">
        <w:rPr>
          <w:sz w:val="24"/>
          <w:szCs w:val="24"/>
        </w:rPr>
        <w:t xml:space="preserve">) was diluted 1:100 to 8 units/mL in digestion buffer (50 </w:t>
      </w:r>
      <w:proofErr w:type="spellStart"/>
      <w:r w:rsidRPr="006A0EF9">
        <w:rPr>
          <w:sz w:val="24"/>
          <w:szCs w:val="24"/>
        </w:rPr>
        <w:t>mM</w:t>
      </w:r>
      <w:proofErr w:type="spellEnd"/>
      <w:r w:rsidRPr="006A0EF9">
        <w:rPr>
          <w:sz w:val="24"/>
          <w:szCs w:val="24"/>
        </w:rPr>
        <w:t xml:space="preserve"> </w:t>
      </w:r>
      <w:proofErr w:type="spellStart"/>
      <w:r w:rsidRPr="006A0EF9">
        <w:rPr>
          <w:sz w:val="24"/>
          <w:szCs w:val="24"/>
        </w:rPr>
        <w:t>Tris</w:t>
      </w:r>
      <w:proofErr w:type="spellEnd"/>
      <w:r w:rsidRPr="006A0EF9">
        <w:rPr>
          <w:sz w:val="24"/>
          <w:szCs w:val="24"/>
        </w:rPr>
        <w:t xml:space="preserve"> (pH 8), 1 mM EDTA, 0.5% Triton X-100, 0.8 M guanidine </w:t>
      </w:r>
      <w:proofErr w:type="spellStart"/>
      <w:r w:rsidRPr="006A0EF9">
        <w:rPr>
          <w:sz w:val="24"/>
          <w:szCs w:val="24"/>
        </w:rPr>
        <w:t>HCl</w:t>
      </w:r>
      <w:proofErr w:type="spellEnd"/>
      <w:r w:rsidRPr="006A0EF9">
        <w:rPr>
          <w:sz w:val="24"/>
          <w:szCs w:val="24"/>
        </w:rPr>
        <w:t xml:space="preserve">) and applied directly to gels in at least ten times volume excess. </w:t>
      </w:r>
      <w:bookmarkStart w:id="0" w:name="_GoBack"/>
      <w:r w:rsidR="00577D9B">
        <w:rPr>
          <w:sz w:val="24"/>
          <w:szCs w:val="24"/>
        </w:rPr>
        <w:t xml:space="preserve">Before adding digestion buffer, </w:t>
      </w:r>
      <w:r w:rsidR="00B74EBC" w:rsidRPr="006A0EF9">
        <w:rPr>
          <w:sz w:val="24"/>
          <w:szCs w:val="24"/>
        </w:rPr>
        <w:t xml:space="preserve">the </w:t>
      </w:r>
      <w:proofErr w:type="spellStart"/>
      <w:r w:rsidR="00577D9B">
        <w:rPr>
          <w:sz w:val="24"/>
          <w:szCs w:val="24"/>
        </w:rPr>
        <w:t>coverglass</w:t>
      </w:r>
      <w:proofErr w:type="spellEnd"/>
      <w:r w:rsidR="00577D9B">
        <w:rPr>
          <w:sz w:val="24"/>
          <w:szCs w:val="24"/>
        </w:rPr>
        <w:t xml:space="preserve"> </w:t>
      </w:r>
      <w:r w:rsidR="00B74EBC" w:rsidRPr="006A0EF9">
        <w:rPr>
          <w:sz w:val="24"/>
          <w:szCs w:val="24"/>
        </w:rPr>
        <w:t xml:space="preserve">chamber walls </w:t>
      </w:r>
      <w:r w:rsidR="00577D9B">
        <w:rPr>
          <w:sz w:val="24"/>
          <w:szCs w:val="24"/>
        </w:rPr>
        <w:t xml:space="preserve">(for cultured cells) or the top </w:t>
      </w:r>
      <w:proofErr w:type="spellStart"/>
      <w:r w:rsidR="00577D9B">
        <w:rPr>
          <w:sz w:val="24"/>
          <w:szCs w:val="24"/>
        </w:rPr>
        <w:t>coverglass</w:t>
      </w:r>
      <w:proofErr w:type="spellEnd"/>
      <w:r w:rsidR="00577D9B">
        <w:rPr>
          <w:sz w:val="24"/>
          <w:szCs w:val="24"/>
        </w:rPr>
        <w:t xml:space="preserve"> of the gelation </w:t>
      </w:r>
      <w:proofErr w:type="spellStart"/>
      <w:r w:rsidR="00577D9B">
        <w:rPr>
          <w:sz w:val="24"/>
          <w:szCs w:val="24"/>
        </w:rPr>
        <w:t>shmber</w:t>
      </w:r>
      <w:proofErr w:type="spellEnd"/>
      <w:r w:rsidR="00577D9B">
        <w:rPr>
          <w:sz w:val="24"/>
          <w:szCs w:val="24"/>
        </w:rPr>
        <w:t xml:space="preserve"> (for tissue slices) was carefully </w:t>
      </w:r>
      <w:r w:rsidR="00B74EBC" w:rsidRPr="006A0EF9">
        <w:rPr>
          <w:sz w:val="24"/>
          <w:szCs w:val="24"/>
        </w:rPr>
        <w:t>removed</w:t>
      </w:r>
      <w:r w:rsidR="00577D9B">
        <w:rPr>
          <w:sz w:val="24"/>
          <w:szCs w:val="24"/>
        </w:rPr>
        <w:t xml:space="preserve"> </w:t>
      </w:r>
      <w:r w:rsidR="00B74EBC" w:rsidRPr="006A0EF9">
        <w:rPr>
          <w:sz w:val="24"/>
          <w:szCs w:val="24"/>
        </w:rPr>
        <w:t>in order to improve access of enzyme to the embedded cells.</w:t>
      </w:r>
      <w:r w:rsidR="00577D9B">
        <w:rPr>
          <w:sz w:val="24"/>
          <w:szCs w:val="24"/>
        </w:rPr>
        <w:t xml:space="preserve"> </w:t>
      </w:r>
      <w:bookmarkEnd w:id="0"/>
      <w:r w:rsidRPr="006A0EF9">
        <w:rPr>
          <w:sz w:val="24"/>
          <w:szCs w:val="24"/>
        </w:rPr>
        <w:t xml:space="preserve">The gels were then incubated in digestion buffer for at least 12 hours. Digested gels were next placed in excess volumes of doubly de-ionized water for 0.25-2 hours to expand, with longer times for thicker gels. This step was repeated 3-5 times in fresh water, until the size of the expanding sample plateaued. </w:t>
      </w:r>
    </w:p>
    <w:p w14:paraId="0CEA9F5B" w14:textId="69A2A662" w:rsidR="006A0EF9" w:rsidRPr="006A0EF9" w:rsidRDefault="006A0EF9" w:rsidP="006A0EF9">
      <w:pPr>
        <w:spacing w:before="120"/>
        <w:rPr>
          <w:sz w:val="24"/>
          <w:szCs w:val="24"/>
        </w:rPr>
      </w:pPr>
      <w:r w:rsidRPr="006A0EF9">
        <w:rPr>
          <w:b/>
          <w:sz w:val="24"/>
          <w:szCs w:val="24"/>
        </w:rPr>
        <w:t xml:space="preserve">Acrydite covalent anchoring efficiency: </w:t>
      </w:r>
      <w:r w:rsidRPr="006A0EF9">
        <w:rPr>
          <w:sz w:val="24"/>
          <w:szCs w:val="24"/>
        </w:rPr>
        <w:t xml:space="preserve">Label DNA oligonucleotides (A1 and A2, in </w:t>
      </w:r>
      <w:r w:rsidRPr="006A0EF9">
        <w:rPr>
          <w:b/>
          <w:sz w:val="24"/>
          <w:szCs w:val="24"/>
        </w:rPr>
        <w:t xml:space="preserve">Table </w:t>
      </w:r>
      <w:r w:rsidR="002A5EEE">
        <w:rPr>
          <w:b/>
          <w:sz w:val="24"/>
          <w:szCs w:val="24"/>
        </w:rPr>
        <w:t>S</w:t>
      </w:r>
      <w:r w:rsidRPr="006A0EF9">
        <w:rPr>
          <w:b/>
          <w:sz w:val="24"/>
          <w:szCs w:val="24"/>
        </w:rPr>
        <w:t>3</w:t>
      </w:r>
      <w:r w:rsidRPr="006A0EF9">
        <w:rPr>
          <w:sz w:val="24"/>
          <w:szCs w:val="24"/>
        </w:rPr>
        <w:t xml:space="preserve">) were ordered from IDT without the 5’ </w:t>
      </w:r>
      <w:proofErr w:type="spellStart"/>
      <w:r w:rsidRPr="006A0EF9">
        <w:rPr>
          <w:sz w:val="24"/>
          <w:szCs w:val="24"/>
        </w:rPr>
        <w:t>acrydite</w:t>
      </w:r>
      <w:proofErr w:type="spellEnd"/>
      <w:r w:rsidRPr="006A0EF9">
        <w:rPr>
          <w:sz w:val="24"/>
          <w:szCs w:val="24"/>
        </w:rPr>
        <w:t xml:space="preserve"> modification, for the anchoring efficiency experiments of </w:t>
      </w:r>
      <w:r w:rsidRPr="006A0EF9">
        <w:rPr>
          <w:b/>
          <w:sz w:val="24"/>
          <w:szCs w:val="24"/>
        </w:rPr>
        <w:t xml:space="preserve">Table </w:t>
      </w:r>
      <w:r w:rsidR="002A5EEE">
        <w:rPr>
          <w:b/>
          <w:sz w:val="24"/>
          <w:szCs w:val="24"/>
        </w:rPr>
        <w:t>S</w:t>
      </w:r>
      <w:r w:rsidRPr="006A0EF9">
        <w:rPr>
          <w:b/>
          <w:sz w:val="24"/>
          <w:szCs w:val="24"/>
        </w:rPr>
        <w:t>1</w:t>
      </w:r>
      <w:r w:rsidRPr="006A0EF9">
        <w:rPr>
          <w:sz w:val="24"/>
          <w:szCs w:val="24"/>
        </w:rPr>
        <w:t xml:space="preserve">.  Specimen-free gels (n = 4 gels) were cast with the same recipe as for cultured cells with addition of DNA labels with and without </w:t>
      </w:r>
      <w:proofErr w:type="spellStart"/>
      <w:r w:rsidRPr="006A0EF9">
        <w:rPr>
          <w:sz w:val="24"/>
          <w:szCs w:val="24"/>
        </w:rPr>
        <w:t>acrydite</w:t>
      </w:r>
      <w:proofErr w:type="spellEnd"/>
      <w:r w:rsidRPr="006A0EF9">
        <w:rPr>
          <w:sz w:val="24"/>
          <w:szCs w:val="24"/>
        </w:rPr>
        <w:t xml:space="preserve"> modification (0.25 ng/µL of each strand). Following gelation, gels were dialyzed in 20x volume of 10x PBS for 1 day to allow unincorporated DNA labels to equilibrate in concentration with the dialysate. Samples were taken from the dialysate after equilibration and measured on a fluorescence plate reader (</w:t>
      </w:r>
      <w:proofErr w:type="spellStart"/>
      <w:r w:rsidRPr="006A0EF9">
        <w:rPr>
          <w:sz w:val="24"/>
          <w:szCs w:val="24"/>
        </w:rPr>
        <w:t>Spectramax</w:t>
      </w:r>
      <w:proofErr w:type="spellEnd"/>
      <w:r w:rsidRPr="006A0EF9">
        <w:rPr>
          <w:sz w:val="24"/>
          <w:szCs w:val="24"/>
        </w:rPr>
        <w:t xml:space="preserve"> M5e). A fluorescence standard curve made from serial dilutions of label oligonucleotides was used to determine fluorescence concentration in the dialysate. The incorporation efficiency of non-</w:t>
      </w:r>
      <w:proofErr w:type="spellStart"/>
      <w:r w:rsidRPr="006A0EF9">
        <w:rPr>
          <w:sz w:val="24"/>
          <w:szCs w:val="24"/>
        </w:rPr>
        <w:t>acrydite</w:t>
      </w:r>
      <w:proofErr w:type="spellEnd"/>
      <w:r w:rsidRPr="006A0EF9">
        <w:rPr>
          <w:sz w:val="24"/>
          <w:szCs w:val="24"/>
        </w:rPr>
        <w:t xml:space="preserve"> labels was confirmed to be zero by fluorescence microscopy of the gels following dialysis equilibration; the ratio of fluorescence intensity inside the gel to the dialysate was 0.99 ± 0.07 (n = 4 samples). Acrydite incorporation efficiency was calculated as 1 – (dialysate concentration with </w:t>
      </w:r>
      <w:proofErr w:type="spellStart"/>
      <w:r w:rsidRPr="006A0EF9">
        <w:rPr>
          <w:sz w:val="24"/>
          <w:szCs w:val="24"/>
        </w:rPr>
        <w:t>acrydite</w:t>
      </w:r>
      <w:proofErr w:type="spellEnd"/>
      <w:r w:rsidRPr="006A0EF9">
        <w:rPr>
          <w:sz w:val="24"/>
          <w:szCs w:val="24"/>
        </w:rPr>
        <w:t xml:space="preserve">/dialysate concentration without </w:t>
      </w:r>
      <w:proofErr w:type="spellStart"/>
      <w:r w:rsidRPr="006A0EF9">
        <w:rPr>
          <w:sz w:val="24"/>
          <w:szCs w:val="24"/>
        </w:rPr>
        <w:t>acrydite</w:t>
      </w:r>
      <w:proofErr w:type="spellEnd"/>
      <w:r w:rsidRPr="006A0EF9">
        <w:rPr>
          <w:sz w:val="24"/>
          <w:szCs w:val="24"/>
        </w:rPr>
        <w:t>).</w:t>
      </w:r>
    </w:p>
    <w:p w14:paraId="1FF0223A" w14:textId="18AFDF31" w:rsidR="006A0EF9" w:rsidRPr="006A0EF9" w:rsidRDefault="006A0EF9" w:rsidP="006A0EF9">
      <w:pPr>
        <w:spacing w:before="120"/>
        <w:rPr>
          <w:sz w:val="24"/>
          <w:szCs w:val="24"/>
        </w:rPr>
      </w:pPr>
      <w:r w:rsidRPr="006A0EF9">
        <w:rPr>
          <w:b/>
          <w:sz w:val="24"/>
          <w:szCs w:val="24"/>
        </w:rPr>
        <w:t xml:space="preserve">Chemical bleaching during gelation: </w:t>
      </w:r>
      <w:r w:rsidRPr="006A0EF9">
        <w:rPr>
          <w:sz w:val="24"/>
          <w:szCs w:val="24"/>
        </w:rPr>
        <w:t>Fluorescence intensity in stained brain slices was measured before vs. after expansion for the bleaching experiments of</w:t>
      </w:r>
      <w:r w:rsidRPr="006A0EF9">
        <w:rPr>
          <w:b/>
          <w:sz w:val="24"/>
          <w:szCs w:val="24"/>
        </w:rPr>
        <w:t xml:space="preserve"> Table </w:t>
      </w:r>
      <w:r w:rsidR="002A5EEE">
        <w:rPr>
          <w:b/>
          <w:sz w:val="24"/>
          <w:szCs w:val="24"/>
        </w:rPr>
        <w:t>S</w:t>
      </w:r>
      <w:r w:rsidRPr="006A0EF9">
        <w:rPr>
          <w:b/>
          <w:sz w:val="24"/>
          <w:szCs w:val="24"/>
        </w:rPr>
        <w:t>1</w:t>
      </w:r>
      <w:r w:rsidRPr="006A0EF9">
        <w:rPr>
          <w:sz w:val="24"/>
          <w:szCs w:val="24"/>
        </w:rPr>
        <w:t xml:space="preserve">. Wild type brain slices (30 µm thick) containing sections of mouse hippocampus were stained with anti-GABA primary (Sigma A2052) antibody, DNA secondary antibodies, and tertiary DNA bearing either Alexa 488, </w:t>
      </w:r>
      <w:proofErr w:type="spellStart"/>
      <w:r w:rsidRPr="006A0EF9">
        <w:rPr>
          <w:sz w:val="24"/>
          <w:szCs w:val="24"/>
        </w:rPr>
        <w:t>Atto</w:t>
      </w:r>
      <w:proofErr w:type="spellEnd"/>
      <w:r w:rsidRPr="006A0EF9">
        <w:rPr>
          <w:sz w:val="24"/>
          <w:szCs w:val="24"/>
        </w:rPr>
        <w:t xml:space="preserve"> 565, or </w:t>
      </w:r>
      <w:proofErr w:type="spellStart"/>
      <w:r w:rsidRPr="006A0EF9">
        <w:rPr>
          <w:sz w:val="24"/>
          <w:szCs w:val="24"/>
        </w:rPr>
        <w:t>Atto</w:t>
      </w:r>
      <w:proofErr w:type="spellEnd"/>
      <w:r w:rsidRPr="006A0EF9">
        <w:rPr>
          <w:sz w:val="24"/>
          <w:szCs w:val="24"/>
        </w:rPr>
        <w:t xml:space="preserve"> 647N as described above. </w:t>
      </w:r>
      <w:proofErr w:type="spellStart"/>
      <w:r w:rsidRPr="006A0EF9">
        <w:rPr>
          <w:sz w:val="24"/>
          <w:szCs w:val="24"/>
        </w:rPr>
        <w:t>Epifluorescence</w:t>
      </w:r>
      <w:proofErr w:type="spellEnd"/>
      <w:r w:rsidRPr="006A0EF9">
        <w:rPr>
          <w:sz w:val="24"/>
          <w:szCs w:val="24"/>
        </w:rPr>
        <w:t xml:space="preserve"> images of the brain slice were taken with 4x 0.13 NA objective with tiling to cover the entire slice, pre-gelation. Following in situ polymer synthesis as described above, </w:t>
      </w:r>
      <w:proofErr w:type="spellStart"/>
      <w:r w:rsidRPr="006A0EF9">
        <w:rPr>
          <w:sz w:val="24"/>
          <w:szCs w:val="24"/>
        </w:rPr>
        <w:t>epifluorescence</w:t>
      </w:r>
      <w:proofErr w:type="spellEnd"/>
      <w:r w:rsidRPr="006A0EF9">
        <w:rPr>
          <w:sz w:val="24"/>
          <w:szCs w:val="24"/>
        </w:rPr>
        <w:t xml:space="preserve"> images of the slice were taken again with identical imaging conditions. A region of interest in the hippocampus was used to determine the loss of fluorescence during gelation. </w:t>
      </w:r>
    </w:p>
    <w:p w14:paraId="5A5DDF70" w14:textId="77777777" w:rsidR="006A0EF9" w:rsidRPr="006A0EF9" w:rsidRDefault="006A0EF9" w:rsidP="006A0EF9">
      <w:pPr>
        <w:spacing w:before="120"/>
        <w:rPr>
          <w:b/>
          <w:sz w:val="24"/>
          <w:szCs w:val="24"/>
        </w:rPr>
      </w:pPr>
      <w:r w:rsidRPr="006A0EF9">
        <w:rPr>
          <w:b/>
          <w:sz w:val="24"/>
          <w:szCs w:val="24"/>
        </w:rPr>
        <w:t xml:space="preserve">Imaging: </w:t>
      </w:r>
    </w:p>
    <w:p w14:paraId="5E51B9C1" w14:textId="77777777" w:rsidR="006A0EF9" w:rsidRPr="006A0EF9" w:rsidRDefault="006A0EF9" w:rsidP="006A0EF9">
      <w:pPr>
        <w:spacing w:before="120"/>
        <w:rPr>
          <w:sz w:val="24"/>
          <w:szCs w:val="24"/>
        </w:rPr>
      </w:pPr>
      <w:r w:rsidRPr="006A0EF9">
        <w:rPr>
          <w:i/>
          <w:sz w:val="24"/>
          <w:szCs w:val="24"/>
        </w:rPr>
        <w:t xml:space="preserve">Cultured cells. </w:t>
      </w:r>
      <w:r w:rsidRPr="006A0EF9">
        <w:rPr>
          <w:sz w:val="24"/>
          <w:szCs w:val="24"/>
        </w:rPr>
        <w:t xml:space="preserve">Super-resolution structured illumination microscope imaging was performed on a </w:t>
      </w:r>
      <w:proofErr w:type="spellStart"/>
      <w:r w:rsidRPr="006A0EF9">
        <w:rPr>
          <w:sz w:val="24"/>
          <w:szCs w:val="24"/>
        </w:rPr>
        <w:t>Deltavision</w:t>
      </w:r>
      <w:proofErr w:type="spellEnd"/>
      <w:r w:rsidRPr="006A0EF9">
        <w:rPr>
          <w:sz w:val="24"/>
          <w:szCs w:val="24"/>
        </w:rPr>
        <w:t xml:space="preserve"> OMX SIM microscope with 100x 1.40 NA (Olympus) oil objective. Stained cells were imaged with </w:t>
      </w:r>
      <w:proofErr w:type="spellStart"/>
      <w:r w:rsidRPr="006A0EF9">
        <w:rPr>
          <w:sz w:val="24"/>
          <w:szCs w:val="24"/>
        </w:rPr>
        <w:t>SlowFade</w:t>
      </w:r>
      <w:proofErr w:type="spellEnd"/>
      <w:r w:rsidRPr="006A0EF9">
        <w:rPr>
          <w:sz w:val="24"/>
          <w:szCs w:val="24"/>
        </w:rPr>
        <w:t xml:space="preserve"> Gold (Invitrogen) </w:t>
      </w:r>
      <w:proofErr w:type="spellStart"/>
      <w:r w:rsidRPr="006A0EF9">
        <w:rPr>
          <w:sz w:val="24"/>
          <w:szCs w:val="24"/>
        </w:rPr>
        <w:t>antifade</w:t>
      </w:r>
      <w:proofErr w:type="spellEnd"/>
      <w:r w:rsidRPr="006A0EF9">
        <w:rPr>
          <w:sz w:val="24"/>
          <w:szCs w:val="24"/>
        </w:rPr>
        <w:t xml:space="preserve"> reagent for suppression of </w:t>
      </w:r>
      <w:proofErr w:type="spellStart"/>
      <w:r w:rsidRPr="006A0EF9">
        <w:rPr>
          <w:sz w:val="24"/>
          <w:szCs w:val="24"/>
        </w:rPr>
        <w:t>photobleaching</w:t>
      </w:r>
      <w:proofErr w:type="spellEnd"/>
      <w:r w:rsidRPr="006A0EF9">
        <w:rPr>
          <w:sz w:val="24"/>
          <w:szCs w:val="24"/>
        </w:rPr>
        <w:t xml:space="preserve"> and refractive index matching for pre-expansion imaging. Pre-expansion imaging was performed on a Zeiss Laser Scanning Confocal (LSM710) with 40x 1.30 NA oil objective at 1 Airy unit and </w:t>
      </w:r>
      <w:proofErr w:type="spellStart"/>
      <w:r w:rsidRPr="006A0EF9">
        <w:rPr>
          <w:sz w:val="24"/>
          <w:szCs w:val="24"/>
        </w:rPr>
        <w:t>Nyquist</w:t>
      </w:r>
      <w:proofErr w:type="spellEnd"/>
      <w:r w:rsidRPr="006A0EF9">
        <w:rPr>
          <w:sz w:val="24"/>
          <w:szCs w:val="24"/>
        </w:rPr>
        <w:t xml:space="preserve"> sampling. </w:t>
      </w:r>
    </w:p>
    <w:p w14:paraId="00501ACD" w14:textId="77777777" w:rsidR="006A0EF9" w:rsidRPr="006A0EF9" w:rsidRDefault="006A0EF9" w:rsidP="006A0EF9">
      <w:pPr>
        <w:spacing w:before="120"/>
        <w:rPr>
          <w:sz w:val="24"/>
          <w:szCs w:val="24"/>
        </w:rPr>
      </w:pPr>
      <w:r w:rsidRPr="006A0EF9">
        <w:rPr>
          <w:sz w:val="24"/>
          <w:szCs w:val="24"/>
        </w:rPr>
        <w:t xml:space="preserve">Post-expansion imaging was performed on a Perkin Elmer spinning disk (CSU-10 Yokogawa) confocal or a Zeiss LSM 710. Briefly, expanded samples were placed in glass-bottom six-well plates (In Vitro Scientific) and held in place by surrounding with low-melting point agarose. Images were taken at with 1 Airy unit and </w:t>
      </w:r>
      <w:proofErr w:type="spellStart"/>
      <w:r w:rsidRPr="006A0EF9">
        <w:rPr>
          <w:sz w:val="24"/>
          <w:szCs w:val="24"/>
        </w:rPr>
        <w:t>Nyquist</w:t>
      </w:r>
      <w:proofErr w:type="spellEnd"/>
      <w:r w:rsidRPr="006A0EF9">
        <w:rPr>
          <w:sz w:val="24"/>
          <w:szCs w:val="24"/>
        </w:rPr>
        <w:t xml:space="preserve"> sampling on the LSM 710 on a 20x 0.8 NA (Zeiss) air objective. Images on the Perkin Elmer were taken on a 100x 1.40 NA (Zeiss) oil objective. </w:t>
      </w:r>
    </w:p>
    <w:p w14:paraId="1C20DD5A" w14:textId="77777777" w:rsidR="006A0EF9" w:rsidRPr="006A0EF9" w:rsidRDefault="006A0EF9" w:rsidP="006A0EF9">
      <w:pPr>
        <w:spacing w:before="120"/>
        <w:rPr>
          <w:sz w:val="24"/>
          <w:szCs w:val="24"/>
        </w:rPr>
      </w:pPr>
      <w:r w:rsidRPr="006A0EF9">
        <w:rPr>
          <w:b/>
          <w:sz w:val="24"/>
          <w:szCs w:val="24"/>
        </w:rPr>
        <w:lastRenderedPageBreak/>
        <w:t>Figs. 2A, 2B</w:t>
      </w:r>
      <w:r w:rsidRPr="006A0EF9">
        <w:rPr>
          <w:sz w:val="24"/>
          <w:szCs w:val="24"/>
        </w:rPr>
        <w:t xml:space="preserve"> are maximum intensity projections (MIPs) of 1.5 </w:t>
      </w:r>
      <w:proofErr w:type="spellStart"/>
      <w:r w:rsidRPr="006A0EF9">
        <w:rPr>
          <w:sz w:val="24"/>
          <w:szCs w:val="24"/>
        </w:rPr>
        <w:t>μm</w:t>
      </w:r>
      <w:proofErr w:type="spellEnd"/>
      <w:r w:rsidRPr="006A0EF9">
        <w:rPr>
          <w:sz w:val="24"/>
          <w:szCs w:val="24"/>
        </w:rPr>
        <w:t xml:space="preserve"> thickness (in pre-</w:t>
      </w:r>
      <w:proofErr w:type="spellStart"/>
      <w:r w:rsidRPr="006A0EF9">
        <w:rPr>
          <w:sz w:val="24"/>
          <w:szCs w:val="24"/>
        </w:rPr>
        <w:t>ExM</w:t>
      </w:r>
      <w:proofErr w:type="spellEnd"/>
      <w:r w:rsidRPr="006A0EF9">
        <w:rPr>
          <w:sz w:val="24"/>
          <w:szCs w:val="24"/>
        </w:rPr>
        <w:t xml:space="preserve"> distance units).  </w:t>
      </w:r>
      <w:r w:rsidRPr="006A0EF9">
        <w:rPr>
          <w:b/>
          <w:sz w:val="24"/>
          <w:szCs w:val="24"/>
        </w:rPr>
        <w:t xml:space="preserve">Figs. 2D, 2E </w:t>
      </w:r>
      <w:r w:rsidRPr="006A0EF9">
        <w:rPr>
          <w:sz w:val="24"/>
          <w:szCs w:val="24"/>
        </w:rPr>
        <w:t xml:space="preserve">are MIPs of 1 </w:t>
      </w:r>
      <w:proofErr w:type="spellStart"/>
      <w:r w:rsidRPr="006A0EF9">
        <w:rPr>
          <w:sz w:val="24"/>
          <w:szCs w:val="24"/>
        </w:rPr>
        <w:t>μm</w:t>
      </w:r>
      <w:proofErr w:type="spellEnd"/>
      <w:r w:rsidRPr="006A0EF9">
        <w:rPr>
          <w:sz w:val="24"/>
          <w:szCs w:val="24"/>
        </w:rPr>
        <w:t xml:space="preserve"> thickness.  </w:t>
      </w:r>
      <w:r w:rsidRPr="006A0EF9">
        <w:rPr>
          <w:b/>
          <w:sz w:val="24"/>
          <w:szCs w:val="24"/>
        </w:rPr>
        <w:t>Figs. 2K,</w:t>
      </w:r>
      <w:r w:rsidRPr="006A0EF9">
        <w:rPr>
          <w:sz w:val="24"/>
          <w:szCs w:val="24"/>
        </w:rPr>
        <w:t xml:space="preserve"> </w:t>
      </w:r>
      <w:r w:rsidRPr="006A0EF9">
        <w:rPr>
          <w:b/>
          <w:sz w:val="24"/>
          <w:szCs w:val="24"/>
        </w:rPr>
        <w:t xml:space="preserve">2L </w:t>
      </w:r>
      <w:r w:rsidRPr="006A0EF9">
        <w:rPr>
          <w:sz w:val="24"/>
          <w:szCs w:val="24"/>
        </w:rPr>
        <w:t>are MIPs of 500 nm thickness.</w:t>
      </w:r>
      <w:r w:rsidRPr="006A0EF9">
        <w:rPr>
          <w:b/>
          <w:sz w:val="24"/>
          <w:szCs w:val="24"/>
        </w:rPr>
        <w:t xml:space="preserve">  </w:t>
      </w:r>
      <w:r w:rsidRPr="006A0EF9">
        <w:rPr>
          <w:sz w:val="24"/>
          <w:szCs w:val="24"/>
        </w:rPr>
        <w:t xml:space="preserve">The SR-SIM image of </w:t>
      </w:r>
      <w:r w:rsidRPr="006A0EF9">
        <w:rPr>
          <w:b/>
          <w:sz w:val="24"/>
          <w:szCs w:val="24"/>
        </w:rPr>
        <w:t>Fig. 2M</w:t>
      </w:r>
      <w:r w:rsidRPr="006A0EF9">
        <w:rPr>
          <w:sz w:val="24"/>
          <w:szCs w:val="24"/>
        </w:rPr>
        <w:t xml:space="preserve"> is depicted interpolated such that the pixel size is the same as that of the corresponding </w:t>
      </w:r>
      <w:proofErr w:type="spellStart"/>
      <w:r w:rsidRPr="006A0EF9">
        <w:rPr>
          <w:sz w:val="24"/>
          <w:szCs w:val="24"/>
        </w:rPr>
        <w:t>ExM</w:t>
      </w:r>
      <w:proofErr w:type="spellEnd"/>
      <w:r w:rsidRPr="006A0EF9">
        <w:rPr>
          <w:sz w:val="24"/>
          <w:szCs w:val="24"/>
        </w:rPr>
        <w:t xml:space="preserve"> image of </w:t>
      </w:r>
      <w:r w:rsidRPr="006A0EF9">
        <w:rPr>
          <w:b/>
          <w:sz w:val="24"/>
          <w:szCs w:val="24"/>
        </w:rPr>
        <w:t>Fig. 2N</w:t>
      </w:r>
      <w:r w:rsidRPr="006A0EF9">
        <w:rPr>
          <w:sz w:val="24"/>
          <w:szCs w:val="24"/>
        </w:rPr>
        <w:t xml:space="preserve">. </w:t>
      </w:r>
    </w:p>
    <w:p w14:paraId="33D885FC" w14:textId="70598EE0" w:rsidR="006A0EF9" w:rsidRPr="006A0EF9" w:rsidRDefault="006A0EF9" w:rsidP="006A0EF9">
      <w:pPr>
        <w:spacing w:before="120"/>
        <w:rPr>
          <w:sz w:val="24"/>
          <w:szCs w:val="24"/>
        </w:rPr>
      </w:pPr>
      <w:r w:rsidRPr="006A0EF9">
        <w:rPr>
          <w:i/>
          <w:sz w:val="24"/>
          <w:szCs w:val="24"/>
        </w:rPr>
        <w:t xml:space="preserve">Brain slices. </w:t>
      </w:r>
      <w:r w:rsidRPr="006A0EF9">
        <w:rPr>
          <w:sz w:val="24"/>
          <w:szCs w:val="24"/>
        </w:rPr>
        <w:t>To quantify expansion factor for tissue slices, specimens were imaged pre-</w:t>
      </w:r>
      <w:proofErr w:type="spellStart"/>
      <w:r w:rsidRPr="006A0EF9">
        <w:rPr>
          <w:sz w:val="24"/>
          <w:szCs w:val="24"/>
        </w:rPr>
        <w:t>ExM</w:t>
      </w:r>
      <w:proofErr w:type="spellEnd"/>
      <w:r w:rsidRPr="006A0EF9">
        <w:rPr>
          <w:sz w:val="24"/>
          <w:szCs w:val="24"/>
        </w:rPr>
        <w:t xml:space="preserve"> on a Nikon </w:t>
      </w:r>
      <w:proofErr w:type="spellStart"/>
      <w:r w:rsidRPr="006A0EF9">
        <w:rPr>
          <w:sz w:val="24"/>
          <w:szCs w:val="24"/>
        </w:rPr>
        <w:t>Ti</w:t>
      </w:r>
      <w:proofErr w:type="spellEnd"/>
      <w:r w:rsidRPr="006A0EF9">
        <w:rPr>
          <w:sz w:val="24"/>
          <w:szCs w:val="24"/>
        </w:rPr>
        <w:t xml:space="preserve">-E </w:t>
      </w:r>
      <w:proofErr w:type="spellStart"/>
      <w:r w:rsidRPr="006A0EF9">
        <w:rPr>
          <w:sz w:val="24"/>
          <w:szCs w:val="24"/>
        </w:rPr>
        <w:t>epifluorescence</w:t>
      </w:r>
      <w:proofErr w:type="spellEnd"/>
      <w:r w:rsidRPr="006A0EF9">
        <w:rPr>
          <w:sz w:val="24"/>
          <w:szCs w:val="24"/>
        </w:rPr>
        <w:t xml:space="preserve"> microscope with a 4x 0.13 NA air objective. Otherwise, tissue slices were imaged using an </w:t>
      </w:r>
      <w:proofErr w:type="spellStart"/>
      <w:r w:rsidRPr="006A0EF9">
        <w:rPr>
          <w:sz w:val="24"/>
          <w:szCs w:val="24"/>
        </w:rPr>
        <w:t>Andor</w:t>
      </w:r>
      <w:proofErr w:type="spellEnd"/>
      <w:r w:rsidRPr="006A0EF9">
        <w:rPr>
          <w:sz w:val="24"/>
          <w:szCs w:val="24"/>
        </w:rPr>
        <w:t xml:space="preserve"> spinning disk (CSU-X1 Yokogawa) confocal system with a 40x 1.15 NA water immersion objective (Nikon) or, for </w:t>
      </w:r>
      <w:r w:rsidRPr="006A0EF9">
        <w:rPr>
          <w:b/>
          <w:sz w:val="24"/>
          <w:szCs w:val="24"/>
        </w:rPr>
        <w:t xml:space="preserve">Fig. </w:t>
      </w:r>
      <w:r w:rsidR="00546737">
        <w:rPr>
          <w:b/>
          <w:sz w:val="24"/>
          <w:szCs w:val="24"/>
        </w:rPr>
        <w:t>S</w:t>
      </w:r>
      <w:r w:rsidRPr="006A0EF9">
        <w:rPr>
          <w:b/>
          <w:sz w:val="24"/>
          <w:szCs w:val="24"/>
        </w:rPr>
        <w:t>1</w:t>
      </w:r>
      <w:r w:rsidRPr="006A0EF9">
        <w:rPr>
          <w:sz w:val="24"/>
          <w:szCs w:val="24"/>
        </w:rPr>
        <w:t xml:space="preserve"> and </w:t>
      </w:r>
      <w:r w:rsidRPr="006A0EF9">
        <w:rPr>
          <w:b/>
          <w:sz w:val="24"/>
          <w:szCs w:val="24"/>
        </w:rPr>
        <w:t xml:space="preserve">Fig. </w:t>
      </w:r>
      <w:r w:rsidR="00546737">
        <w:rPr>
          <w:b/>
          <w:sz w:val="24"/>
          <w:szCs w:val="24"/>
        </w:rPr>
        <w:t>S</w:t>
      </w:r>
      <w:r w:rsidRPr="006A0EF9">
        <w:rPr>
          <w:b/>
          <w:sz w:val="24"/>
          <w:szCs w:val="24"/>
        </w:rPr>
        <w:t>4E</w:t>
      </w:r>
      <w:r w:rsidRPr="006A0EF9">
        <w:rPr>
          <w:sz w:val="24"/>
          <w:szCs w:val="24"/>
        </w:rPr>
        <w:t>, the Zeiss LSM 710 with 40x 1.1 NA water objective. For pre-</w:t>
      </w:r>
      <w:proofErr w:type="spellStart"/>
      <w:r w:rsidRPr="006A0EF9">
        <w:rPr>
          <w:sz w:val="24"/>
          <w:szCs w:val="24"/>
        </w:rPr>
        <w:t>ExM</w:t>
      </w:r>
      <w:proofErr w:type="spellEnd"/>
      <w:r w:rsidRPr="006A0EF9">
        <w:rPr>
          <w:sz w:val="24"/>
          <w:szCs w:val="24"/>
        </w:rPr>
        <w:t xml:space="preserve"> confocal imaging, stained slices were treated with an anti-fade buffer (0.05% (w/w) p-</w:t>
      </w:r>
      <w:proofErr w:type="spellStart"/>
      <w:r w:rsidRPr="006A0EF9">
        <w:rPr>
          <w:sz w:val="24"/>
          <w:szCs w:val="24"/>
        </w:rPr>
        <w:t>phenyldiamine</w:t>
      </w:r>
      <w:proofErr w:type="spellEnd"/>
      <w:r w:rsidRPr="006A0EF9">
        <w:rPr>
          <w:sz w:val="24"/>
          <w:szCs w:val="24"/>
        </w:rPr>
        <w:t xml:space="preserve">, 20 </w:t>
      </w:r>
      <w:proofErr w:type="spellStart"/>
      <w:r w:rsidRPr="006A0EF9">
        <w:rPr>
          <w:sz w:val="24"/>
          <w:szCs w:val="24"/>
        </w:rPr>
        <w:t>mM</w:t>
      </w:r>
      <w:proofErr w:type="spellEnd"/>
      <w:r w:rsidRPr="006A0EF9">
        <w:rPr>
          <w:sz w:val="24"/>
          <w:szCs w:val="24"/>
        </w:rPr>
        <w:t xml:space="preserve"> </w:t>
      </w:r>
      <w:proofErr w:type="spellStart"/>
      <w:r w:rsidRPr="006A0EF9">
        <w:rPr>
          <w:sz w:val="24"/>
          <w:szCs w:val="24"/>
        </w:rPr>
        <w:t>Tris</w:t>
      </w:r>
      <w:proofErr w:type="spellEnd"/>
      <w:r w:rsidRPr="006A0EF9">
        <w:rPr>
          <w:sz w:val="24"/>
          <w:szCs w:val="24"/>
        </w:rPr>
        <w:t xml:space="preserve"> (pH 8.5), 100 mM NaCl). Expanded slices were, for </w:t>
      </w:r>
      <w:r w:rsidRPr="006A0EF9">
        <w:rPr>
          <w:b/>
          <w:sz w:val="24"/>
          <w:szCs w:val="24"/>
        </w:rPr>
        <w:t xml:space="preserve">Figs. 3 </w:t>
      </w:r>
      <w:r w:rsidRPr="006A0EF9">
        <w:rPr>
          <w:sz w:val="24"/>
          <w:szCs w:val="24"/>
        </w:rPr>
        <w:t>and</w:t>
      </w:r>
      <w:r w:rsidRPr="006A0EF9">
        <w:rPr>
          <w:b/>
          <w:sz w:val="24"/>
          <w:szCs w:val="24"/>
        </w:rPr>
        <w:t xml:space="preserve"> 4</w:t>
      </w:r>
      <w:r w:rsidRPr="006A0EF9">
        <w:rPr>
          <w:sz w:val="24"/>
          <w:szCs w:val="24"/>
        </w:rPr>
        <w:t>,</w:t>
      </w:r>
      <w:r w:rsidRPr="006A0EF9">
        <w:rPr>
          <w:b/>
          <w:sz w:val="24"/>
          <w:szCs w:val="24"/>
        </w:rPr>
        <w:t xml:space="preserve"> </w:t>
      </w:r>
      <w:r w:rsidRPr="006A0EF9">
        <w:rPr>
          <w:sz w:val="24"/>
          <w:szCs w:val="24"/>
        </w:rPr>
        <w:t>sandwiched between coverslips of appropriate size (e.g., 45 x 60 mm), forming a chamber which was then backfilled with water and sealed with epoxy. Specimens encapsulated in this way were stable for at least a few days.</w:t>
      </w:r>
    </w:p>
    <w:p w14:paraId="1498F6EE" w14:textId="77777777" w:rsidR="006A0EF9" w:rsidRPr="006A0EF9" w:rsidRDefault="006A0EF9" w:rsidP="006A0EF9">
      <w:pPr>
        <w:spacing w:before="120"/>
        <w:rPr>
          <w:sz w:val="24"/>
          <w:szCs w:val="24"/>
        </w:rPr>
      </w:pPr>
      <w:r w:rsidRPr="006A0EF9">
        <w:rPr>
          <w:b/>
          <w:sz w:val="24"/>
          <w:szCs w:val="24"/>
        </w:rPr>
        <w:t>Figs. 3E, 3G</w:t>
      </w:r>
      <w:r w:rsidRPr="006A0EF9">
        <w:rPr>
          <w:sz w:val="24"/>
          <w:szCs w:val="24"/>
        </w:rPr>
        <w:t xml:space="preserve"> are maximum intensity projections (MIPs) of 500nm thickness (in pre-</w:t>
      </w:r>
      <w:proofErr w:type="spellStart"/>
      <w:r w:rsidRPr="006A0EF9">
        <w:rPr>
          <w:sz w:val="24"/>
          <w:szCs w:val="24"/>
        </w:rPr>
        <w:t>ExM</w:t>
      </w:r>
      <w:proofErr w:type="spellEnd"/>
      <w:r w:rsidRPr="006A0EF9">
        <w:rPr>
          <w:sz w:val="24"/>
          <w:szCs w:val="24"/>
        </w:rPr>
        <w:t xml:space="preserve"> distance units), chosen to match the axial extent captured in </w:t>
      </w:r>
      <w:r w:rsidRPr="006A0EF9">
        <w:rPr>
          <w:b/>
          <w:sz w:val="24"/>
          <w:szCs w:val="24"/>
        </w:rPr>
        <w:t>Figs. 3D, 3F</w:t>
      </w:r>
      <w:r w:rsidRPr="006A0EF9">
        <w:rPr>
          <w:sz w:val="24"/>
          <w:szCs w:val="24"/>
        </w:rPr>
        <w:t>, respectively, as closely as possible.</w:t>
      </w:r>
      <w:r w:rsidRPr="006A0EF9">
        <w:rPr>
          <w:b/>
          <w:sz w:val="24"/>
          <w:szCs w:val="24"/>
        </w:rPr>
        <w:t xml:space="preserve"> Fig. 3H</w:t>
      </w:r>
      <w:r w:rsidRPr="006A0EF9">
        <w:rPr>
          <w:sz w:val="24"/>
          <w:szCs w:val="24"/>
        </w:rPr>
        <w:t xml:space="preserve"> is a single z-slice.</w:t>
      </w:r>
    </w:p>
    <w:p w14:paraId="4B45CEE5" w14:textId="1D34D910" w:rsidR="006A0EF9" w:rsidRPr="006A0EF9" w:rsidRDefault="006A0EF9" w:rsidP="006A0EF9">
      <w:pPr>
        <w:spacing w:before="120"/>
        <w:rPr>
          <w:sz w:val="24"/>
          <w:szCs w:val="24"/>
        </w:rPr>
      </w:pPr>
      <w:r w:rsidRPr="006A0EF9">
        <w:rPr>
          <w:sz w:val="24"/>
          <w:szCs w:val="24"/>
        </w:rPr>
        <w:t>For large volume imaging of the mouse hippocampus (</w:t>
      </w:r>
      <w:r w:rsidRPr="006A0EF9">
        <w:rPr>
          <w:b/>
          <w:sz w:val="24"/>
          <w:szCs w:val="24"/>
        </w:rPr>
        <w:t>Fig. 4</w:t>
      </w:r>
      <w:r w:rsidRPr="006A0EF9">
        <w:rPr>
          <w:sz w:val="24"/>
          <w:szCs w:val="24"/>
        </w:rPr>
        <w:t xml:space="preserve">), the encapsulated expanded specimen was tiled with an array of 12 by 5 z-stacks with ~20% overlap at the boundaries (Nikon). The tiled stacks were </w:t>
      </w:r>
      <w:proofErr w:type="spellStart"/>
      <w:r w:rsidRPr="006A0EF9">
        <w:rPr>
          <w:sz w:val="24"/>
          <w:szCs w:val="24"/>
        </w:rPr>
        <w:t>downsampled</w:t>
      </w:r>
      <w:proofErr w:type="spellEnd"/>
      <w:r w:rsidRPr="006A0EF9">
        <w:rPr>
          <w:sz w:val="24"/>
          <w:szCs w:val="24"/>
        </w:rPr>
        <w:t xml:space="preserve"> by a factor of 8 for 3D rendering and reconstructed with the </w:t>
      </w:r>
      <w:proofErr w:type="spellStart"/>
      <w:r w:rsidRPr="006A0EF9">
        <w:rPr>
          <w:sz w:val="24"/>
          <w:szCs w:val="24"/>
        </w:rPr>
        <w:t>ImageJ</w:t>
      </w:r>
      <w:proofErr w:type="spellEnd"/>
      <w:r w:rsidRPr="006A0EF9">
        <w:rPr>
          <w:sz w:val="24"/>
          <w:szCs w:val="24"/>
        </w:rPr>
        <w:t xml:space="preserve"> stitching plugin </w:t>
      </w:r>
      <w:r w:rsidRPr="006A0EF9">
        <w:rPr>
          <w:sz w:val="24"/>
          <w:szCs w:val="24"/>
        </w:rPr>
        <w:fldChar w:fldCharType="begin" w:fldLock="1"/>
      </w:r>
      <w:r w:rsidR="00A9334F">
        <w:rPr>
          <w:sz w:val="24"/>
          <w:szCs w:val="24"/>
        </w:rPr>
        <w:instrText>ADDIN CSL_CITATION { "citationItems" : [ { "id" : "ITEM-1", "itemData" : { "DOI" : "10.1093/bioinformatics/btp184", "ISBN" : "1367-4811 (Electronic)\\n1367-4803 (Linking)", "ISSN" : "13674803", "PMID" : "19346324", "abstract" : "MOTIVATION: Modern anatomical and developmental studies often require high-resolution imaging of large specimens in three dimensions (3D). Confocal microscopy produces high-resolution 3D images, but is limited by a relatively small field of view compared with the size of large biological specimens. Therefore, motorized stages that move the sample are used to create a tiled scan of the whole specimen. The physical coordinates provided by the microscope stage are not precise enough to allow direct reconstruction (Stitching) of the whole image from individual image stacks. RESULTS: To optimally stitch a large collection of 3D confocal images, we developed a method that, based on the Fourier Shift Theorem, computes all possible translations between pairs of 3D images, yielding the best overlap in terms of the cross-correlation measure and subsequently finds the globally optimal configuration of the whole group of 3D images. This method avoids the propagation of errors by consecutive registration steps. Additionally, to compensate the brightness differences between tiles, we apply a smooth, non-linear intensity transition between the overlapping images. Our stitching approach is fast, works on 2D and 3D images, and for small image sets does not require prior knowledge about the tile configuration. AVAILABILITY: The implementation of this method is available as an ImageJ plugin distributed as a part of the Fiji project (Fiji is just ImageJ: http://pacific.mpi-cbg.de/).", "author" : [ { "dropping-particle" : "", "family" : "Preibisch", "given" : "Stephan", "non-dropping-particle" : "", "parse-names" : false, "suffix" : "" }, { "dropping-particle" : "", "family" : "Saalfeld", "given" : "Stephan", "non-dropping-particle" : "", "parse-names" : false, "suffix" : "" }, { "dropping-particle" : "", "family" : "Tomancak", "given" : "Pavel", "non-dropping-particle" : "", "parse-names" : false, "suffix" : "" } ], "container-title" : "Bioinformatics", "id" : "ITEM-1", "issued" : { "date-parts" : [ [ "2009" ] ] }, "page" : "1463-1465", "title" : "Globally optimal stitching of tiled 3D microscopic image acquisitions", "type" : "article-journal", "volume" : "25" }, "uris" : [ "http://www.mendeley.com/documents/?uuid=cb3d19b6-3d41-43a9-b954-59c49adb216b", "http://www.mendeley.com/documents/?uuid=8f71963d-478d-4d51-9e9f-2642cc471605", "http://www.mendeley.com/documents/?uuid=07490843-2332-43da-aca7-4b0f96e0f216" ] } ], "mendeley" : { "previouslyFormattedCitation" : "(&lt;i&gt;19&lt;/i&gt;)"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19</w:t>
      </w:r>
      <w:r w:rsidR="00A9334F" w:rsidRPr="00A9334F">
        <w:rPr>
          <w:noProof/>
          <w:sz w:val="24"/>
          <w:szCs w:val="24"/>
        </w:rPr>
        <w:t>)</w:t>
      </w:r>
      <w:r w:rsidRPr="006A0EF9">
        <w:rPr>
          <w:sz w:val="24"/>
          <w:szCs w:val="24"/>
        </w:rPr>
        <w:fldChar w:fldCharType="end"/>
      </w:r>
      <w:r w:rsidRPr="006A0EF9">
        <w:rPr>
          <w:sz w:val="24"/>
          <w:szCs w:val="24"/>
        </w:rPr>
        <w:t xml:space="preserve">. Imaging of these </w:t>
      </w:r>
      <w:r w:rsidRPr="006A0EF9">
        <w:rPr>
          <w:color w:val="222222"/>
          <w:sz w:val="24"/>
          <w:szCs w:val="24"/>
          <w:shd w:val="clear" w:color="auto" w:fill="FFFFFF"/>
        </w:rPr>
        <w:t>60 confocal z-stacks, in three colors, with filter switching between each color (required for the low-crosstalk imaging using CMOS cameras in the spinning disk microscope), took ~27 hours.</w:t>
      </w:r>
    </w:p>
    <w:p w14:paraId="501EF724" w14:textId="2B2D2557" w:rsidR="006A0EF9" w:rsidRPr="006A0EF9" w:rsidRDefault="006A0EF9" w:rsidP="006A0EF9">
      <w:pPr>
        <w:spacing w:before="120"/>
        <w:rPr>
          <w:sz w:val="24"/>
          <w:szCs w:val="24"/>
        </w:rPr>
      </w:pPr>
      <w:r w:rsidRPr="006A0EF9">
        <w:rPr>
          <w:b/>
          <w:sz w:val="24"/>
          <w:szCs w:val="24"/>
        </w:rPr>
        <w:t xml:space="preserve">Optical clearing measurements: </w:t>
      </w:r>
      <w:r w:rsidRPr="006A0EF9">
        <w:rPr>
          <w:sz w:val="24"/>
          <w:szCs w:val="24"/>
        </w:rPr>
        <w:t xml:space="preserve"> Transmission measurements of tissue sections before and after expansion were performed using transmitted white light illumination on a Nikon Ti-E inverted microscope with pass-band filters (480/20, 520/20, 572/20, 610/38) to quantify wavelength dependence, as presented in </w:t>
      </w:r>
      <w:r w:rsidRPr="006A0EF9">
        <w:rPr>
          <w:b/>
          <w:sz w:val="24"/>
          <w:szCs w:val="24"/>
        </w:rPr>
        <w:t xml:space="preserve">Fig </w:t>
      </w:r>
      <w:r w:rsidR="00546737">
        <w:rPr>
          <w:b/>
          <w:sz w:val="24"/>
          <w:szCs w:val="24"/>
        </w:rPr>
        <w:t>S</w:t>
      </w:r>
      <w:r w:rsidRPr="006A0EF9">
        <w:rPr>
          <w:b/>
          <w:sz w:val="24"/>
          <w:szCs w:val="24"/>
        </w:rPr>
        <w:t>2</w:t>
      </w:r>
      <w:r w:rsidRPr="006A0EF9">
        <w:rPr>
          <w:sz w:val="24"/>
          <w:szCs w:val="24"/>
        </w:rPr>
        <w:t>. Briefly, 200 µm thick tissue sections were imaged before expansion and after expansion with a 4x 0.13 NA objective with tiling to cover the entire area of the slice. Light transmission was calculated by measuring the transmission intensity of a circular region of interest centered on the tissue slice normalized by the average light transmission absent of the tissue slice.</w:t>
      </w:r>
    </w:p>
    <w:p w14:paraId="4EFBF2A6" w14:textId="19B67485" w:rsidR="006A0EF9" w:rsidRPr="006A0EF9" w:rsidRDefault="006A0EF9" w:rsidP="006A0EF9">
      <w:pPr>
        <w:spacing w:before="120"/>
        <w:rPr>
          <w:b/>
          <w:sz w:val="24"/>
          <w:szCs w:val="24"/>
        </w:rPr>
      </w:pPr>
      <w:r w:rsidRPr="006A0EF9">
        <w:rPr>
          <w:b/>
          <w:sz w:val="24"/>
          <w:szCs w:val="24"/>
        </w:rPr>
        <w:t>Post-</w:t>
      </w:r>
      <w:proofErr w:type="spellStart"/>
      <w:r w:rsidRPr="006A0EF9">
        <w:rPr>
          <w:b/>
          <w:sz w:val="24"/>
          <w:szCs w:val="24"/>
        </w:rPr>
        <w:t>ExM</w:t>
      </w:r>
      <w:proofErr w:type="spellEnd"/>
      <w:r w:rsidRPr="006A0EF9">
        <w:rPr>
          <w:b/>
          <w:sz w:val="24"/>
          <w:szCs w:val="24"/>
        </w:rPr>
        <w:t xml:space="preserve"> Residual YFP fluorescence measurements: </w:t>
      </w:r>
      <w:r w:rsidRPr="006A0EF9">
        <w:rPr>
          <w:sz w:val="24"/>
          <w:szCs w:val="24"/>
        </w:rPr>
        <w:t xml:space="preserve">Unlabeled brain slices (100 µm) from Thy1-YFP-H mice were gelled, digested and expanded as described above, to result in the digestion penetration experiments of </w:t>
      </w:r>
      <w:r w:rsidRPr="006A0EF9">
        <w:rPr>
          <w:b/>
          <w:sz w:val="24"/>
          <w:szCs w:val="24"/>
        </w:rPr>
        <w:t xml:space="preserve">Fig. </w:t>
      </w:r>
      <w:r w:rsidR="00546737">
        <w:rPr>
          <w:b/>
          <w:sz w:val="24"/>
          <w:szCs w:val="24"/>
        </w:rPr>
        <w:t>S</w:t>
      </w:r>
      <w:r w:rsidRPr="006A0EF9">
        <w:rPr>
          <w:b/>
          <w:sz w:val="24"/>
          <w:szCs w:val="24"/>
        </w:rPr>
        <w:t>1</w:t>
      </w:r>
      <w:r w:rsidRPr="006A0EF9">
        <w:rPr>
          <w:sz w:val="24"/>
          <w:szCs w:val="24"/>
        </w:rPr>
        <w:t xml:space="preserve">. Slices were digested with proteinase K for 16 hours. Following digestion, residual YFP fluorescence in cortical pyramidal cells was imaged on a confocal microscope (LSM 710, 40x 1.10 NA water) with pinhole opened to maximum extent (16 Airy units; 16 µm optical sectioning) to collect the dim residual YFP fluorescence. A collection of 25 Z stacks from 2 brain slices were taken across most of the expanded slice thickness (400 µm). To quantify the residual fluorescence at each Z position, the stacks were processed in a custom Matlab script. Briefly, for each image, salt and pepper noise was removed with a [5x5] median filter and the image was segmented into three regions with two thresholds generated via Otsu’s method </w:t>
      </w:r>
      <w:r w:rsidRPr="006A0EF9">
        <w:rPr>
          <w:sz w:val="24"/>
          <w:szCs w:val="24"/>
        </w:rPr>
        <w:fldChar w:fldCharType="begin" w:fldLock="1"/>
      </w:r>
      <w:r w:rsidR="00A9334F">
        <w:rPr>
          <w:sz w:val="24"/>
          <w:szCs w:val="24"/>
        </w:rPr>
        <w:instrText>ADDIN CSL_CITATION { "citationItems" : [ { "id" : "ITEM-1", "itemData" : { "DOI" : "10.1109/TSMC.1979.4310076", "ISSN" : "0018-9472", "author" : [ { "dropping-particle" : "", "family" : "Otsu", "given" : "Nobuyuki", "non-dropping-particle" : "", "parse-names" : false, "suffix" : "" } ], "container-title" : "IEEE Transactions on Systems, Man, and Cybernetics", "id" : "ITEM-1", "issue" : "1", "issued" : { "date-parts" : [ [ "1979" ] ] }, "page" : "62-66", "shortTitle" : "Systems, Man and Cybernetics, IEEE Transactions on", "title" : "A Threshold Selection Method from Gray-Level Histograms", "type" : "article-journal", "volume" : "9" }, "uris" : [ "http://www.mendeley.com/documents/?uuid=bc7f0c81-2f0b-4fe7-b4d5-48e4c58be72e", "http://www.mendeley.com/documents/?uuid=570c3c3d-2704-4658-bfcb-bb847931f422" ] } ], "mendeley" : { "previouslyFormattedCitation" : "(&lt;i&gt;20&lt;/i&gt;)"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20</w:t>
      </w:r>
      <w:r w:rsidR="00A9334F" w:rsidRPr="00A9334F">
        <w:rPr>
          <w:noProof/>
          <w:sz w:val="24"/>
          <w:szCs w:val="24"/>
        </w:rPr>
        <w:t>)</w:t>
      </w:r>
      <w:r w:rsidRPr="006A0EF9">
        <w:rPr>
          <w:sz w:val="24"/>
          <w:szCs w:val="24"/>
        </w:rPr>
        <w:fldChar w:fldCharType="end"/>
      </w:r>
      <w:r w:rsidRPr="006A0EF9">
        <w:rPr>
          <w:sz w:val="24"/>
          <w:szCs w:val="24"/>
        </w:rPr>
        <w:t xml:space="preserve">. The lowest segment of pixel intensities was the background, the middle segment consisted of most of the processes and cell bodies, and the highest segment consisted of a subset of nuclei in which much higher YFP concentrations were present (e.g., see </w:t>
      </w:r>
      <w:r w:rsidRPr="006A0EF9">
        <w:rPr>
          <w:b/>
          <w:sz w:val="24"/>
          <w:szCs w:val="24"/>
        </w:rPr>
        <w:t xml:space="preserve">Fig. 3D </w:t>
      </w:r>
      <w:r w:rsidRPr="006A0EF9">
        <w:rPr>
          <w:sz w:val="24"/>
          <w:szCs w:val="24"/>
        </w:rPr>
        <w:t xml:space="preserve">for an example of such a hyper-bright nucleus). The middle segment of pixel intensities </w:t>
      </w:r>
      <w:r w:rsidRPr="006A0EF9">
        <w:rPr>
          <w:sz w:val="24"/>
          <w:szCs w:val="24"/>
        </w:rPr>
        <w:lastRenderedPageBreak/>
        <w:t xml:space="preserve">was chosen for the analysis. For each stack, the processed images were averaged for each Z position. The average intensity for each Z position was normalized by the overall average intensity across all Z positions and all stacks for a given brain slice. The normalized average intensity as a function of Z is plotted in </w:t>
      </w:r>
      <w:r w:rsidRPr="006A0EF9">
        <w:rPr>
          <w:b/>
          <w:sz w:val="24"/>
          <w:szCs w:val="24"/>
        </w:rPr>
        <w:t xml:space="preserve">Fig. </w:t>
      </w:r>
      <w:r w:rsidR="00546737">
        <w:rPr>
          <w:b/>
          <w:sz w:val="24"/>
          <w:szCs w:val="24"/>
        </w:rPr>
        <w:t>S</w:t>
      </w:r>
      <w:r w:rsidRPr="006A0EF9">
        <w:rPr>
          <w:b/>
          <w:sz w:val="24"/>
          <w:szCs w:val="24"/>
        </w:rPr>
        <w:t xml:space="preserve">1 </w:t>
      </w:r>
      <w:r w:rsidRPr="006A0EF9">
        <w:rPr>
          <w:sz w:val="24"/>
          <w:szCs w:val="24"/>
        </w:rPr>
        <w:t xml:space="preserve">along with the mean-normalized stack-to-stack standard deviation for each Z position. </w:t>
      </w:r>
    </w:p>
    <w:p w14:paraId="3298AA97" w14:textId="77777777" w:rsidR="006A0EF9" w:rsidRPr="006A0EF9" w:rsidRDefault="006A0EF9" w:rsidP="006A0EF9">
      <w:pPr>
        <w:spacing w:before="120"/>
        <w:rPr>
          <w:b/>
          <w:sz w:val="24"/>
          <w:szCs w:val="24"/>
        </w:rPr>
      </w:pPr>
      <w:r w:rsidRPr="006A0EF9">
        <w:rPr>
          <w:b/>
          <w:sz w:val="24"/>
          <w:szCs w:val="24"/>
        </w:rPr>
        <w:t>Microscopy analysis.</w:t>
      </w:r>
    </w:p>
    <w:p w14:paraId="25D525FE" w14:textId="77777777" w:rsidR="006A0EF9" w:rsidRPr="006A0EF9" w:rsidRDefault="006A0EF9" w:rsidP="006A0EF9">
      <w:pPr>
        <w:spacing w:before="120"/>
        <w:rPr>
          <w:sz w:val="24"/>
          <w:szCs w:val="24"/>
        </w:rPr>
      </w:pPr>
      <w:r w:rsidRPr="006A0EF9">
        <w:rPr>
          <w:i/>
          <w:sz w:val="24"/>
          <w:szCs w:val="24"/>
        </w:rPr>
        <w:t xml:space="preserve">Spinning disk confocal image processing. </w:t>
      </w:r>
      <w:r w:rsidRPr="006A0EF9">
        <w:rPr>
          <w:sz w:val="24"/>
          <w:szCs w:val="24"/>
        </w:rPr>
        <w:t xml:space="preserve">Standard </w:t>
      </w:r>
      <w:proofErr w:type="spellStart"/>
      <w:r w:rsidRPr="006A0EF9">
        <w:rPr>
          <w:sz w:val="24"/>
          <w:szCs w:val="24"/>
        </w:rPr>
        <w:t>flatfield</w:t>
      </w:r>
      <w:proofErr w:type="spellEnd"/>
      <w:r w:rsidRPr="006A0EF9">
        <w:rPr>
          <w:sz w:val="24"/>
          <w:szCs w:val="24"/>
        </w:rPr>
        <w:t xml:space="preserve"> correction was performed as needed due to uneven illumination background. Specifically, background was subtracted with a 200 pixel wide ‘rolling ball’ algorithm as implemented in </w:t>
      </w:r>
      <w:proofErr w:type="spellStart"/>
      <w:r w:rsidRPr="006A0EF9">
        <w:rPr>
          <w:sz w:val="24"/>
          <w:szCs w:val="24"/>
        </w:rPr>
        <w:t>ImageJ</w:t>
      </w:r>
      <w:proofErr w:type="spellEnd"/>
      <w:r w:rsidRPr="006A0EF9">
        <w:rPr>
          <w:sz w:val="24"/>
          <w:szCs w:val="24"/>
        </w:rPr>
        <w:t xml:space="preserve"> (i.e., </w:t>
      </w:r>
      <w:r w:rsidRPr="006A0EF9">
        <w:rPr>
          <w:b/>
          <w:sz w:val="24"/>
          <w:szCs w:val="24"/>
        </w:rPr>
        <w:t>Fig. 2E, 2L, Fig. 4</w:t>
      </w:r>
      <w:r w:rsidRPr="006A0EF9">
        <w:rPr>
          <w:sz w:val="24"/>
          <w:szCs w:val="24"/>
        </w:rPr>
        <w:t>).</w:t>
      </w:r>
    </w:p>
    <w:p w14:paraId="7D1F5185" w14:textId="77777777" w:rsidR="006A0EF9" w:rsidRPr="006A0EF9" w:rsidRDefault="006A0EF9" w:rsidP="006A0EF9">
      <w:pPr>
        <w:spacing w:before="120"/>
        <w:rPr>
          <w:sz w:val="24"/>
          <w:szCs w:val="24"/>
        </w:rPr>
      </w:pPr>
      <w:r w:rsidRPr="006A0EF9">
        <w:rPr>
          <w:i/>
          <w:sz w:val="24"/>
          <w:szCs w:val="24"/>
        </w:rPr>
        <w:t xml:space="preserve">Expansion degree calculation. </w:t>
      </w:r>
      <w:r w:rsidRPr="006A0EF9">
        <w:rPr>
          <w:sz w:val="24"/>
          <w:szCs w:val="24"/>
        </w:rPr>
        <w:t xml:space="preserve">The expansion degree was determined by choosing two landmarks that could be clearly identified in both pre- and post-expansion images, measuring the distance between these landmarks, and calculating the ratio of this measurement pre- vs. post-expansion. These manually chosen points were used to register the images to each other using a similarity transform (i.e., translation, rotation, and scaling) and the resulting registered images were inspected visually to confirm reasonable registration over the entire specimen. </w:t>
      </w:r>
    </w:p>
    <w:p w14:paraId="358749C3" w14:textId="40A52DD4" w:rsidR="006A0EF9" w:rsidRPr="006A0EF9" w:rsidRDefault="006A0EF9" w:rsidP="006A0EF9">
      <w:pPr>
        <w:spacing w:before="120"/>
        <w:rPr>
          <w:sz w:val="24"/>
          <w:szCs w:val="24"/>
        </w:rPr>
      </w:pPr>
      <w:r w:rsidRPr="006A0EF9">
        <w:rPr>
          <w:i/>
          <w:sz w:val="24"/>
          <w:szCs w:val="24"/>
        </w:rPr>
        <w:t>Non-rigid registration for analysis of measurement errors.</w:t>
      </w:r>
      <w:r w:rsidRPr="006A0EF9">
        <w:rPr>
          <w:b/>
          <w:sz w:val="24"/>
          <w:szCs w:val="24"/>
        </w:rPr>
        <w:t xml:space="preserve"> </w:t>
      </w:r>
      <w:r w:rsidRPr="006A0EF9">
        <w:rPr>
          <w:sz w:val="24"/>
          <w:szCs w:val="24"/>
        </w:rPr>
        <w:t>Pre- and post-</w:t>
      </w:r>
      <w:proofErr w:type="spellStart"/>
      <w:r w:rsidRPr="006A0EF9">
        <w:rPr>
          <w:sz w:val="24"/>
          <w:szCs w:val="24"/>
        </w:rPr>
        <w:t>ExM</w:t>
      </w:r>
      <w:proofErr w:type="spellEnd"/>
      <w:r w:rsidRPr="006A0EF9">
        <w:rPr>
          <w:sz w:val="24"/>
          <w:szCs w:val="24"/>
        </w:rPr>
        <w:t xml:space="preserve"> images were first histogram equalized (i.e., for the entire histogram of pixel intensities across each image; Matlab) to each other. Masks were generated to exclude regions with no features by applying a Gaussian blur with a standard deviation of 8 pixels and manually choosing an intensity threshold below which to exclude pixels that were part of the background. (Gaussian blur was used only to generate masks, not for subsequent image processing.) Non-rigid registration between the images was performed using a B-spline-based registration package in Matlab </w:t>
      </w:r>
      <w:r w:rsidRPr="006A0EF9">
        <w:rPr>
          <w:sz w:val="24"/>
          <w:szCs w:val="24"/>
        </w:rPr>
        <w:fldChar w:fldCharType="begin" w:fldLock="1"/>
      </w:r>
      <w:r w:rsidR="00A9334F">
        <w:rPr>
          <w:sz w:val="24"/>
          <w:szCs w:val="24"/>
        </w:rPr>
        <w:instrText>ADDIN CSL_CITATION { "citationItems" : [ { "id" : "ITEM-1", "itemData" : { "author" : [ { "dropping-particle" : "", "family" : "Kroon", "given" : "Dirk-Jan", "non-dropping-particle" : "", "parse-names" : false, "suffix" : "" } ], "container-title" : "Matlab Central", "id" : "ITEM-1", "issued" : { "date-parts" : [ [ "0" ] ] }, "title" : "B-spline Grid, Image and Point based Registration", "type" : "webpage" }, "uris" : [ "http://www.mendeley.com/documents/?uuid=f7455fcb-849c-463b-8dae-5b347bb60535", "http://www.mendeley.com/documents/?uuid=0c888bc2-78a5-4f17-8dd3-ac13f54d6e8b", "http://www.mendeley.com/documents/?uuid=bbdf8f0f-5532-49c3-81e9-ae482620c6c0" ] } ], "mendeley" : { "previouslyFormattedCitation" : "(&lt;i&gt;21&lt;/i&gt;)"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21</w:t>
      </w:r>
      <w:r w:rsidR="00A9334F" w:rsidRPr="00A9334F">
        <w:rPr>
          <w:noProof/>
          <w:sz w:val="24"/>
          <w:szCs w:val="24"/>
        </w:rPr>
        <w:t>)</w:t>
      </w:r>
      <w:r w:rsidRPr="006A0EF9">
        <w:rPr>
          <w:sz w:val="24"/>
          <w:szCs w:val="24"/>
        </w:rPr>
        <w:fldChar w:fldCharType="end"/>
      </w:r>
      <w:r w:rsidRPr="006A0EF9">
        <w:rPr>
          <w:sz w:val="24"/>
          <w:szCs w:val="24"/>
        </w:rPr>
        <w:t xml:space="preserve"> using manually selected control points carrying a penalty weight of 1. Registration was performed in four stages with B-spline grids increasing in density from 64 pixels per grid point to 8 pixels per grid point. Analysis of measurement error was performed as schematized in </w:t>
      </w:r>
      <w:r w:rsidRPr="006A0EF9">
        <w:rPr>
          <w:b/>
          <w:sz w:val="24"/>
          <w:szCs w:val="24"/>
        </w:rPr>
        <w:t xml:space="preserve">Fig. </w:t>
      </w:r>
      <w:r w:rsidR="00546737">
        <w:rPr>
          <w:b/>
          <w:sz w:val="24"/>
          <w:szCs w:val="24"/>
        </w:rPr>
        <w:t>S</w:t>
      </w:r>
      <w:r w:rsidRPr="006A0EF9">
        <w:rPr>
          <w:b/>
          <w:sz w:val="24"/>
          <w:szCs w:val="24"/>
        </w:rPr>
        <w:t xml:space="preserve">3. </w:t>
      </w:r>
    </w:p>
    <w:p w14:paraId="22258DCA" w14:textId="77777777" w:rsidR="006A0EF9" w:rsidRPr="006A0EF9" w:rsidRDefault="006A0EF9" w:rsidP="006A0EF9">
      <w:pPr>
        <w:spacing w:before="120"/>
        <w:rPr>
          <w:sz w:val="24"/>
          <w:szCs w:val="24"/>
        </w:rPr>
      </w:pPr>
      <w:r w:rsidRPr="006A0EF9">
        <w:rPr>
          <w:i/>
          <w:sz w:val="24"/>
          <w:szCs w:val="24"/>
        </w:rPr>
        <w:t xml:space="preserve">Microtubule full width at half maximum (FWHM): </w:t>
      </w:r>
      <w:r w:rsidRPr="006A0EF9">
        <w:rPr>
          <w:sz w:val="24"/>
          <w:szCs w:val="24"/>
        </w:rPr>
        <w:t xml:space="preserve">Intensity profiles perpendicular to microtubule orientation was taken averaging over a line profile width of 10 pixels (~150 nm). Intensity profiles were fit to a Gaussian using the Matlab ‘fit’ function and the FWHM calculated from the Gaussian fit. </w:t>
      </w:r>
    </w:p>
    <w:p w14:paraId="15BD50F5" w14:textId="77777777" w:rsidR="006A0EF9" w:rsidRPr="006A0EF9" w:rsidRDefault="006A0EF9" w:rsidP="006A0EF9">
      <w:pPr>
        <w:spacing w:before="120"/>
        <w:rPr>
          <w:sz w:val="24"/>
          <w:szCs w:val="24"/>
        </w:rPr>
      </w:pPr>
      <w:r w:rsidRPr="006A0EF9">
        <w:rPr>
          <w:i/>
          <w:sz w:val="24"/>
          <w:szCs w:val="24"/>
        </w:rPr>
        <w:t xml:space="preserve">Quantification of </w:t>
      </w:r>
      <w:proofErr w:type="spellStart"/>
      <w:r w:rsidRPr="006A0EF9">
        <w:rPr>
          <w:i/>
          <w:sz w:val="24"/>
          <w:szCs w:val="24"/>
        </w:rPr>
        <w:t>clathrin</w:t>
      </w:r>
      <w:proofErr w:type="spellEnd"/>
      <w:r w:rsidRPr="006A0EF9">
        <w:rPr>
          <w:i/>
          <w:sz w:val="24"/>
          <w:szCs w:val="24"/>
        </w:rPr>
        <w:t xml:space="preserve"> coated pit (CCP) radii:</w:t>
      </w:r>
      <w:r w:rsidRPr="006A0EF9">
        <w:rPr>
          <w:sz w:val="24"/>
          <w:szCs w:val="24"/>
        </w:rPr>
        <w:t xml:space="preserve"> As performed for </w:t>
      </w:r>
      <w:r w:rsidRPr="006A0EF9">
        <w:rPr>
          <w:b/>
          <w:sz w:val="24"/>
          <w:szCs w:val="24"/>
        </w:rPr>
        <w:t>Fig. 2O</w:t>
      </w:r>
      <w:r w:rsidRPr="006A0EF9">
        <w:rPr>
          <w:sz w:val="24"/>
          <w:szCs w:val="24"/>
        </w:rPr>
        <w:t xml:space="preserve">. </w:t>
      </w:r>
      <w:r w:rsidRPr="006A0EF9">
        <w:rPr>
          <w:b/>
          <w:sz w:val="24"/>
          <w:szCs w:val="24"/>
        </w:rPr>
        <w:t xml:space="preserve"> </w:t>
      </w:r>
      <w:r w:rsidRPr="006A0EF9">
        <w:rPr>
          <w:sz w:val="24"/>
          <w:szCs w:val="24"/>
        </w:rPr>
        <w:t xml:space="preserve">Super-resolution structured illumination microscope (SR-SIM) and </w:t>
      </w:r>
      <w:proofErr w:type="spellStart"/>
      <w:r w:rsidRPr="006A0EF9">
        <w:rPr>
          <w:sz w:val="24"/>
          <w:szCs w:val="24"/>
        </w:rPr>
        <w:t>ExM</w:t>
      </w:r>
      <w:proofErr w:type="spellEnd"/>
      <w:r w:rsidRPr="006A0EF9">
        <w:rPr>
          <w:sz w:val="24"/>
          <w:szCs w:val="24"/>
        </w:rPr>
        <w:t xml:space="preserve"> images of CCPs were first aligned via similarity transform using 2 control points across the field of view. CPPs were identified by visual inspection of </w:t>
      </w:r>
      <w:proofErr w:type="spellStart"/>
      <w:r w:rsidRPr="006A0EF9">
        <w:rPr>
          <w:sz w:val="24"/>
          <w:szCs w:val="24"/>
        </w:rPr>
        <w:t>ExM</w:t>
      </w:r>
      <w:proofErr w:type="spellEnd"/>
      <w:r w:rsidRPr="006A0EF9">
        <w:rPr>
          <w:sz w:val="24"/>
          <w:szCs w:val="24"/>
        </w:rPr>
        <w:t xml:space="preserve"> z-stacks, and were selected with a rectangular region of interest (ROI, ~2x diameter of pit) so that there were no neighboring pits or background punctate staining within an ROI. For each pit selected in the analysis, its ROI was used to crop the </w:t>
      </w:r>
      <w:proofErr w:type="spellStart"/>
      <w:r w:rsidRPr="006A0EF9">
        <w:rPr>
          <w:sz w:val="24"/>
          <w:szCs w:val="24"/>
        </w:rPr>
        <w:t>ExM</w:t>
      </w:r>
      <w:proofErr w:type="spellEnd"/>
      <w:r w:rsidRPr="006A0EF9">
        <w:rPr>
          <w:sz w:val="24"/>
          <w:szCs w:val="24"/>
        </w:rPr>
        <w:t xml:space="preserve"> image and corresponding SR-SIM image. A maximum intensity projection of the </w:t>
      </w:r>
      <w:proofErr w:type="spellStart"/>
      <w:r w:rsidRPr="006A0EF9">
        <w:rPr>
          <w:sz w:val="24"/>
          <w:szCs w:val="24"/>
        </w:rPr>
        <w:t>ExM</w:t>
      </w:r>
      <w:proofErr w:type="spellEnd"/>
      <w:r w:rsidRPr="006A0EF9">
        <w:rPr>
          <w:sz w:val="24"/>
          <w:szCs w:val="24"/>
        </w:rPr>
        <w:t xml:space="preserve"> image corresponding to the same depth of field as the SR-SIM image was chosen to adjust for different optical sectioning thickness, corresponding to ~2 </w:t>
      </w:r>
      <w:proofErr w:type="spellStart"/>
      <w:r w:rsidRPr="006A0EF9">
        <w:rPr>
          <w:sz w:val="24"/>
          <w:szCs w:val="24"/>
        </w:rPr>
        <w:t>ExM</w:t>
      </w:r>
      <w:proofErr w:type="spellEnd"/>
      <w:r w:rsidRPr="006A0EF9">
        <w:rPr>
          <w:sz w:val="24"/>
          <w:szCs w:val="24"/>
        </w:rPr>
        <w:t xml:space="preserve"> planes (~60 nm/plane in pre-expansion units) for each SR-SIM z-plane (125 nm/plane) chosen. CCP radii were calculated with angular averaging of a radial line profile originating from the centroid of each CCP, with the centroid calculated from the Otsu-</w:t>
      </w:r>
      <w:proofErr w:type="spellStart"/>
      <w:r w:rsidRPr="006A0EF9">
        <w:rPr>
          <w:sz w:val="24"/>
          <w:szCs w:val="24"/>
        </w:rPr>
        <w:t>binarized</w:t>
      </w:r>
      <w:proofErr w:type="spellEnd"/>
      <w:r w:rsidRPr="006A0EF9">
        <w:rPr>
          <w:sz w:val="24"/>
          <w:szCs w:val="24"/>
        </w:rPr>
        <w:t xml:space="preserve"> image. The angular radial line profile was fit using the Matlab ‘fit’ function to the sum of 2 Gaussians. The CCP radius was determined to be the half maximum of the fitted angular line profile. </w:t>
      </w:r>
    </w:p>
    <w:p w14:paraId="1AD780ED" w14:textId="77777777" w:rsidR="006A0EF9" w:rsidRPr="006A0EF9" w:rsidRDefault="006A0EF9" w:rsidP="006A0EF9">
      <w:pPr>
        <w:spacing w:before="120"/>
        <w:rPr>
          <w:sz w:val="24"/>
          <w:szCs w:val="24"/>
        </w:rPr>
      </w:pPr>
      <w:r w:rsidRPr="006A0EF9">
        <w:rPr>
          <w:i/>
          <w:sz w:val="24"/>
          <w:szCs w:val="24"/>
        </w:rPr>
        <w:lastRenderedPageBreak/>
        <w:t>Synapse quantification:</w:t>
      </w:r>
      <w:r w:rsidRPr="006A0EF9">
        <w:rPr>
          <w:sz w:val="24"/>
          <w:szCs w:val="24"/>
        </w:rPr>
        <w:t xml:space="preserve"> Synapses of </w:t>
      </w:r>
      <w:r w:rsidRPr="006A0EF9">
        <w:rPr>
          <w:b/>
          <w:sz w:val="24"/>
          <w:szCs w:val="24"/>
        </w:rPr>
        <w:t xml:space="preserve">Fig. 3 </w:t>
      </w:r>
      <w:r w:rsidRPr="006A0EF9">
        <w:rPr>
          <w:sz w:val="24"/>
          <w:szCs w:val="24"/>
        </w:rPr>
        <w:t xml:space="preserve">were identified by visual inspection of </w:t>
      </w:r>
      <w:proofErr w:type="spellStart"/>
      <w:r w:rsidRPr="006A0EF9">
        <w:rPr>
          <w:sz w:val="24"/>
          <w:szCs w:val="24"/>
        </w:rPr>
        <w:t>ExM</w:t>
      </w:r>
      <w:proofErr w:type="spellEnd"/>
      <w:r w:rsidRPr="006A0EF9">
        <w:rPr>
          <w:sz w:val="24"/>
          <w:szCs w:val="24"/>
        </w:rPr>
        <w:t xml:space="preserve"> z-stacks. Candidate instances of closely apposed Bassoon and Homer1 antibody-stained spots were selected from a maximum intensity projection of each stack. Each candidate was then inspected in the original z-stack and selected for inclusion in the analysis if it did not meet any of the following rejection criteria: synapses that were not oriented perpendicular to the imaging plane were recognized when the stained spots shifted continuously between consecutive z-slices, and were rejected; synapses with coincident punctate background staining were rejected; complex assemblies of synapses (e.g., with multiple pre- or post-synaptic terminals) were rejected; synapses that were excessively curved (e.g., relative to the 10-pixel line width, see below) were rejected.  For each synapse selected for inclusion in the analysis, a line profile perpendicular to the synaptic cleft was chosen. The staining intensity for Bassoon and Homer1 was analyzed along each line profile, averaging over a width of 10 pixels (~300 nm). The resulting intensity distributions were fit to Gaussian distributions with a DC offset using the Matlab ‘fit’ function. Any synapses with a resulting goodness of fit, for either Homer1 or Bassoon, of less than 0.9 were rejected. The Bassoon-Homer1 separation was calculated as the separation between the means of the two distributions for each synapse.</w:t>
      </w:r>
    </w:p>
    <w:p w14:paraId="2E134CB9" w14:textId="77777777" w:rsidR="00E91A60" w:rsidRDefault="00E91A60">
      <w:pPr>
        <w:rPr>
          <w:b/>
          <w:sz w:val="24"/>
          <w:szCs w:val="24"/>
        </w:rPr>
      </w:pPr>
      <w:r>
        <w:rPr>
          <w:b/>
          <w:sz w:val="24"/>
          <w:szCs w:val="24"/>
        </w:rPr>
        <w:br w:type="page"/>
      </w:r>
    </w:p>
    <w:p w14:paraId="1FF77401" w14:textId="15F9E001" w:rsidR="006A0EF9" w:rsidRPr="006A0EF9" w:rsidRDefault="006A0EF9" w:rsidP="006A0EF9">
      <w:pPr>
        <w:spacing w:before="120"/>
        <w:rPr>
          <w:b/>
          <w:sz w:val="24"/>
          <w:szCs w:val="24"/>
        </w:rPr>
      </w:pPr>
      <w:r w:rsidRPr="006A0EF9">
        <w:rPr>
          <w:b/>
          <w:sz w:val="24"/>
          <w:szCs w:val="24"/>
        </w:rPr>
        <w:lastRenderedPageBreak/>
        <w:t>Supplementary Figures</w:t>
      </w:r>
    </w:p>
    <w:p w14:paraId="53D2852A" w14:textId="77777777" w:rsidR="00E91A60" w:rsidRDefault="00E91A60" w:rsidP="00E91A60">
      <w:pPr>
        <w:spacing w:before="120"/>
        <w:jc w:val="center"/>
        <w:rPr>
          <w:b/>
          <w:sz w:val="24"/>
          <w:szCs w:val="24"/>
        </w:rPr>
      </w:pPr>
      <w:r>
        <w:rPr>
          <w:b/>
          <w:noProof/>
          <w:sz w:val="24"/>
          <w:szCs w:val="24"/>
        </w:rPr>
        <w:drawing>
          <wp:inline distT="0" distB="0" distL="0" distR="0" wp14:anchorId="411147E6" wp14:editId="0A4ED180">
            <wp:extent cx="4858327" cy="55263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S1.jpg"/>
                    <pic:cNvPicPr/>
                  </pic:nvPicPr>
                  <pic:blipFill>
                    <a:blip r:embed="rId8">
                      <a:extLst>
                        <a:ext uri="{28A0092B-C50C-407E-A947-70E740481C1C}">
                          <a14:useLocalDpi xmlns:a14="http://schemas.microsoft.com/office/drawing/2010/main" val="0"/>
                        </a:ext>
                      </a:extLst>
                    </a:blip>
                    <a:stretch>
                      <a:fillRect/>
                    </a:stretch>
                  </pic:blipFill>
                  <pic:spPr>
                    <a:xfrm>
                      <a:off x="0" y="0"/>
                      <a:ext cx="4860832" cy="5529197"/>
                    </a:xfrm>
                    <a:prstGeom prst="rect">
                      <a:avLst/>
                    </a:prstGeom>
                  </pic:spPr>
                </pic:pic>
              </a:graphicData>
            </a:graphic>
          </wp:inline>
        </w:drawing>
      </w:r>
    </w:p>
    <w:p w14:paraId="7329FAD7" w14:textId="4E4B7DAA" w:rsidR="006A0EF9" w:rsidRPr="006A0EF9" w:rsidRDefault="006A0EF9" w:rsidP="006A0EF9">
      <w:pPr>
        <w:spacing w:before="120"/>
        <w:rPr>
          <w:sz w:val="24"/>
          <w:szCs w:val="24"/>
        </w:rPr>
      </w:pPr>
      <w:r w:rsidRPr="006A0EF9">
        <w:rPr>
          <w:b/>
          <w:sz w:val="24"/>
          <w:szCs w:val="24"/>
        </w:rPr>
        <w:t xml:space="preserve">Figure </w:t>
      </w:r>
      <w:r w:rsidR="00546737">
        <w:rPr>
          <w:b/>
          <w:sz w:val="24"/>
          <w:szCs w:val="24"/>
        </w:rPr>
        <w:t>S</w:t>
      </w:r>
      <w:r w:rsidRPr="006A0EF9">
        <w:rPr>
          <w:b/>
          <w:sz w:val="24"/>
          <w:szCs w:val="24"/>
        </w:rPr>
        <w:t xml:space="preserve">1.  Residual YFP fluorescence as a function of depth in the slice, after digestion and expansion.  </w:t>
      </w:r>
      <w:r w:rsidRPr="006A0EF9">
        <w:rPr>
          <w:sz w:val="24"/>
          <w:szCs w:val="24"/>
        </w:rPr>
        <w:t xml:space="preserve">Proteolysis during the </w:t>
      </w:r>
      <w:proofErr w:type="spellStart"/>
      <w:r w:rsidRPr="006A0EF9">
        <w:rPr>
          <w:sz w:val="24"/>
          <w:szCs w:val="24"/>
        </w:rPr>
        <w:t>ExM</w:t>
      </w:r>
      <w:proofErr w:type="spellEnd"/>
      <w:r w:rsidRPr="006A0EF9">
        <w:rPr>
          <w:sz w:val="24"/>
          <w:szCs w:val="24"/>
        </w:rPr>
        <w:t xml:space="preserve"> process significantly reduces endogenous YFP fluorescence in expanded samples of Thy1-YFP mouse brain.  The residual YFP fluorescence can thus be imaged as a proxy for proteolytic homogeneity. (</w:t>
      </w:r>
      <w:r w:rsidRPr="006A0EF9">
        <w:rPr>
          <w:b/>
          <w:sz w:val="24"/>
          <w:szCs w:val="24"/>
        </w:rPr>
        <w:t>A</w:t>
      </w:r>
      <w:r w:rsidRPr="006A0EF9">
        <w:rPr>
          <w:sz w:val="24"/>
          <w:szCs w:val="24"/>
        </w:rPr>
        <w:t xml:space="preserve">) Maximum intensity projection in the X dimension of 25 Z stacks of pyramidal cells in the cortex of Thy1-YFP-H brain slices after overnight digestion and subsequent expansion, and processed to exclude high-brightness nuclei and background as described in the </w:t>
      </w:r>
      <w:r w:rsidRPr="006A0EF9">
        <w:rPr>
          <w:b/>
          <w:sz w:val="24"/>
          <w:szCs w:val="24"/>
        </w:rPr>
        <w:t>Methods</w:t>
      </w:r>
      <w:r w:rsidRPr="006A0EF9">
        <w:rPr>
          <w:sz w:val="24"/>
          <w:szCs w:val="24"/>
        </w:rPr>
        <w:t xml:space="preserve">. The length in the Z dimension is 400 µm in post-expanded units (almost all of the thickness of the 100 </w:t>
      </w:r>
      <w:r w:rsidRPr="006A0EF9">
        <w:rPr>
          <w:rFonts w:ascii="Symbol" w:hAnsi="Symbol"/>
          <w:sz w:val="24"/>
          <w:szCs w:val="24"/>
        </w:rPr>
        <w:t></w:t>
      </w:r>
      <w:r w:rsidRPr="006A0EF9">
        <w:rPr>
          <w:sz w:val="24"/>
          <w:szCs w:val="24"/>
        </w:rPr>
        <w:t>m slice after ~4.5x expansion). (</w:t>
      </w:r>
      <w:r w:rsidRPr="006A0EF9">
        <w:rPr>
          <w:b/>
          <w:sz w:val="24"/>
          <w:szCs w:val="24"/>
        </w:rPr>
        <w:t>B</w:t>
      </w:r>
      <w:r w:rsidRPr="006A0EF9">
        <w:rPr>
          <w:sz w:val="24"/>
          <w:szCs w:val="24"/>
        </w:rPr>
        <w:t>)</w:t>
      </w:r>
      <w:r w:rsidRPr="006A0EF9">
        <w:rPr>
          <w:b/>
          <w:sz w:val="24"/>
          <w:szCs w:val="24"/>
        </w:rPr>
        <w:t xml:space="preserve"> </w:t>
      </w:r>
      <w:r w:rsidRPr="006A0EF9">
        <w:rPr>
          <w:sz w:val="24"/>
          <w:szCs w:val="24"/>
        </w:rPr>
        <w:t>Mean fluorescence intensity across the stacks of (</w:t>
      </w:r>
      <w:r w:rsidRPr="006A0EF9">
        <w:rPr>
          <w:b/>
          <w:sz w:val="24"/>
          <w:szCs w:val="24"/>
        </w:rPr>
        <w:t>A</w:t>
      </w:r>
      <w:r w:rsidRPr="006A0EF9">
        <w:rPr>
          <w:sz w:val="24"/>
          <w:szCs w:val="24"/>
        </w:rPr>
        <w:t>), normalized by overall mean fluorescence, plotted as a function of Z. Error bars, mean-normalized stack-to-stack standard deviation (n = 25 Z stacks, 2 brain slices).  Dotted line, visual reference for fluorescence equal to the mean. The lack of systematic variation of YFP fluorescence vs. depth demonstrates the uniformity of proteolytic digestion throughout the slice.</w:t>
      </w:r>
    </w:p>
    <w:p w14:paraId="7752B049" w14:textId="77777777" w:rsidR="00E91A60" w:rsidRDefault="00E91A60" w:rsidP="00E91A60">
      <w:pPr>
        <w:spacing w:before="120"/>
        <w:jc w:val="center"/>
        <w:rPr>
          <w:b/>
          <w:sz w:val="24"/>
          <w:szCs w:val="24"/>
        </w:rPr>
      </w:pPr>
      <w:r>
        <w:rPr>
          <w:b/>
          <w:noProof/>
          <w:sz w:val="24"/>
          <w:szCs w:val="24"/>
        </w:rPr>
        <w:lastRenderedPageBreak/>
        <w:drawing>
          <wp:inline distT="0" distB="0" distL="0" distR="0" wp14:anchorId="21A0B692" wp14:editId="1A99E125">
            <wp:extent cx="5828145" cy="3824720"/>
            <wp:effectExtent l="0" t="0" r="127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2.jpg"/>
                    <pic:cNvPicPr/>
                  </pic:nvPicPr>
                  <pic:blipFill>
                    <a:blip r:embed="rId9">
                      <a:extLst>
                        <a:ext uri="{28A0092B-C50C-407E-A947-70E740481C1C}">
                          <a14:useLocalDpi xmlns:a14="http://schemas.microsoft.com/office/drawing/2010/main" val="0"/>
                        </a:ext>
                      </a:extLst>
                    </a:blip>
                    <a:stretch>
                      <a:fillRect/>
                    </a:stretch>
                  </pic:blipFill>
                  <pic:spPr>
                    <a:xfrm>
                      <a:off x="0" y="0"/>
                      <a:ext cx="5833532" cy="3828255"/>
                    </a:xfrm>
                    <a:prstGeom prst="rect">
                      <a:avLst/>
                    </a:prstGeom>
                  </pic:spPr>
                </pic:pic>
              </a:graphicData>
            </a:graphic>
          </wp:inline>
        </w:drawing>
      </w:r>
    </w:p>
    <w:p w14:paraId="1D9D0A35" w14:textId="3A41CDD7" w:rsidR="006A0EF9" w:rsidRPr="006A0EF9" w:rsidRDefault="006A0EF9" w:rsidP="006A0EF9">
      <w:pPr>
        <w:spacing w:before="120"/>
        <w:rPr>
          <w:sz w:val="24"/>
          <w:szCs w:val="24"/>
        </w:rPr>
      </w:pPr>
      <w:r w:rsidRPr="006A0EF9">
        <w:rPr>
          <w:b/>
          <w:sz w:val="24"/>
          <w:szCs w:val="24"/>
        </w:rPr>
        <w:t xml:space="preserve">Figure </w:t>
      </w:r>
      <w:r w:rsidR="00546737">
        <w:rPr>
          <w:b/>
          <w:sz w:val="24"/>
          <w:szCs w:val="24"/>
        </w:rPr>
        <w:t>S</w:t>
      </w:r>
      <w:r w:rsidRPr="006A0EF9">
        <w:rPr>
          <w:b/>
          <w:sz w:val="24"/>
          <w:szCs w:val="24"/>
        </w:rPr>
        <w:t>2.</w:t>
      </w:r>
      <w:r w:rsidRPr="006A0EF9">
        <w:rPr>
          <w:sz w:val="24"/>
          <w:szCs w:val="24"/>
        </w:rPr>
        <w:t xml:space="preserve"> </w:t>
      </w:r>
      <w:r w:rsidRPr="006A0EF9">
        <w:rPr>
          <w:b/>
          <w:sz w:val="24"/>
          <w:szCs w:val="24"/>
        </w:rPr>
        <w:t xml:space="preserve">Optical clearing associated with </w:t>
      </w:r>
      <w:proofErr w:type="spellStart"/>
      <w:r w:rsidRPr="006A0EF9">
        <w:rPr>
          <w:b/>
          <w:sz w:val="24"/>
          <w:szCs w:val="24"/>
        </w:rPr>
        <w:t>ExM</w:t>
      </w:r>
      <w:proofErr w:type="spellEnd"/>
      <w:r w:rsidRPr="006A0EF9">
        <w:rPr>
          <w:b/>
          <w:sz w:val="24"/>
          <w:szCs w:val="24"/>
        </w:rPr>
        <w:t xml:space="preserve">. </w:t>
      </w:r>
      <w:r w:rsidRPr="006A0EF9">
        <w:rPr>
          <w:sz w:val="24"/>
          <w:szCs w:val="24"/>
        </w:rPr>
        <w:t xml:space="preserve">Expansion significantly reduces scattering of the sample, since the sample is mostly water. A 200 </w:t>
      </w:r>
      <w:r w:rsidRPr="006A0EF9">
        <w:rPr>
          <w:rFonts w:ascii="Symbol" w:hAnsi="Symbol"/>
          <w:sz w:val="24"/>
          <w:szCs w:val="24"/>
        </w:rPr>
        <w:t></w:t>
      </w:r>
      <w:r w:rsidRPr="006A0EF9">
        <w:rPr>
          <w:sz w:val="24"/>
          <w:szCs w:val="24"/>
        </w:rPr>
        <w:t>m fixed brain slice is opaque primarily due to scattering (</w:t>
      </w:r>
      <w:r w:rsidRPr="006A0EF9">
        <w:rPr>
          <w:b/>
          <w:sz w:val="24"/>
          <w:szCs w:val="24"/>
        </w:rPr>
        <w:t>A</w:t>
      </w:r>
      <w:r w:rsidRPr="006A0EF9">
        <w:rPr>
          <w:sz w:val="24"/>
          <w:szCs w:val="24"/>
        </w:rPr>
        <w:t>). However, the post-</w:t>
      </w:r>
      <w:proofErr w:type="spellStart"/>
      <w:r w:rsidRPr="006A0EF9">
        <w:rPr>
          <w:sz w:val="24"/>
          <w:szCs w:val="24"/>
        </w:rPr>
        <w:t>ExM</w:t>
      </w:r>
      <w:proofErr w:type="spellEnd"/>
      <w:r w:rsidRPr="006A0EF9">
        <w:rPr>
          <w:sz w:val="24"/>
          <w:szCs w:val="24"/>
        </w:rPr>
        <w:t xml:space="preserve"> sample is transparent (</w:t>
      </w:r>
      <w:r w:rsidRPr="006A0EF9">
        <w:rPr>
          <w:b/>
          <w:sz w:val="24"/>
          <w:szCs w:val="24"/>
        </w:rPr>
        <w:t>B</w:t>
      </w:r>
      <w:r w:rsidRPr="006A0EF9">
        <w:rPr>
          <w:sz w:val="24"/>
          <w:szCs w:val="24"/>
        </w:rPr>
        <w:t xml:space="preserve">). We quantified the transmittance of light through the tissue pre- (blue) vs. post- (orange) </w:t>
      </w:r>
      <w:proofErr w:type="spellStart"/>
      <w:r w:rsidRPr="006A0EF9">
        <w:rPr>
          <w:sz w:val="24"/>
          <w:szCs w:val="24"/>
        </w:rPr>
        <w:t>ExM</w:t>
      </w:r>
      <w:proofErr w:type="spellEnd"/>
      <w:r w:rsidRPr="006A0EF9">
        <w:rPr>
          <w:sz w:val="24"/>
          <w:szCs w:val="24"/>
        </w:rPr>
        <w:t xml:space="preserve"> processing (</w:t>
      </w:r>
      <w:r w:rsidRPr="006A0EF9">
        <w:rPr>
          <w:b/>
          <w:sz w:val="24"/>
          <w:szCs w:val="24"/>
        </w:rPr>
        <w:t>C</w:t>
      </w:r>
      <w:r w:rsidRPr="006A0EF9">
        <w:rPr>
          <w:sz w:val="24"/>
          <w:szCs w:val="24"/>
        </w:rPr>
        <w:t xml:space="preserve">).  </w:t>
      </w:r>
    </w:p>
    <w:p w14:paraId="39F37973" w14:textId="77777777" w:rsidR="00E91A60" w:rsidRDefault="00E91A60" w:rsidP="00E91A60">
      <w:pPr>
        <w:spacing w:before="120"/>
        <w:jc w:val="center"/>
        <w:rPr>
          <w:b/>
          <w:sz w:val="24"/>
          <w:szCs w:val="24"/>
        </w:rPr>
      </w:pPr>
      <w:r>
        <w:rPr>
          <w:b/>
          <w:noProof/>
          <w:sz w:val="24"/>
          <w:szCs w:val="24"/>
        </w:rPr>
        <w:lastRenderedPageBreak/>
        <w:drawing>
          <wp:inline distT="0" distB="0" distL="0" distR="0" wp14:anchorId="0801E5DD" wp14:editId="7AAD94E4">
            <wp:extent cx="4508598" cy="5098473"/>
            <wp:effectExtent l="0" t="0" r="635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S3.jpg"/>
                    <pic:cNvPicPr/>
                  </pic:nvPicPr>
                  <pic:blipFill>
                    <a:blip r:embed="rId10">
                      <a:extLst>
                        <a:ext uri="{28A0092B-C50C-407E-A947-70E740481C1C}">
                          <a14:useLocalDpi xmlns:a14="http://schemas.microsoft.com/office/drawing/2010/main" val="0"/>
                        </a:ext>
                      </a:extLst>
                    </a:blip>
                    <a:stretch>
                      <a:fillRect/>
                    </a:stretch>
                  </pic:blipFill>
                  <pic:spPr>
                    <a:xfrm>
                      <a:off x="0" y="0"/>
                      <a:ext cx="4513166" cy="5103639"/>
                    </a:xfrm>
                    <a:prstGeom prst="rect">
                      <a:avLst/>
                    </a:prstGeom>
                  </pic:spPr>
                </pic:pic>
              </a:graphicData>
            </a:graphic>
          </wp:inline>
        </w:drawing>
      </w:r>
    </w:p>
    <w:p w14:paraId="2C893940" w14:textId="4C87043F" w:rsidR="006A0EF9" w:rsidRPr="006A0EF9" w:rsidRDefault="006A0EF9" w:rsidP="006A0EF9">
      <w:pPr>
        <w:spacing w:before="120"/>
        <w:rPr>
          <w:sz w:val="24"/>
          <w:szCs w:val="24"/>
        </w:rPr>
      </w:pPr>
      <w:r w:rsidRPr="006A0EF9">
        <w:rPr>
          <w:b/>
          <w:sz w:val="24"/>
          <w:szCs w:val="24"/>
        </w:rPr>
        <w:t xml:space="preserve">Figure </w:t>
      </w:r>
      <w:r w:rsidR="00546737">
        <w:rPr>
          <w:b/>
          <w:sz w:val="24"/>
          <w:szCs w:val="24"/>
        </w:rPr>
        <w:t>S</w:t>
      </w:r>
      <w:r w:rsidRPr="006A0EF9">
        <w:rPr>
          <w:b/>
          <w:sz w:val="24"/>
          <w:szCs w:val="24"/>
        </w:rPr>
        <w:t xml:space="preserve">3. Quantification of Expansion Error Using Non-Rigid Registration. </w:t>
      </w:r>
      <w:r w:rsidRPr="006A0EF9">
        <w:rPr>
          <w:sz w:val="24"/>
          <w:szCs w:val="24"/>
        </w:rPr>
        <w:t xml:space="preserve">We quantified the error of </w:t>
      </w:r>
      <w:proofErr w:type="spellStart"/>
      <w:r w:rsidRPr="006A0EF9">
        <w:rPr>
          <w:sz w:val="24"/>
          <w:szCs w:val="24"/>
        </w:rPr>
        <w:t>ExM</w:t>
      </w:r>
      <w:proofErr w:type="spellEnd"/>
      <w:r w:rsidRPr="006A0EF9">
        <w:rPr>
          <w:sz w:val="24"/>
          <w:szCs w:val="24"/>
        </w:rPr>
        <w:t xml:space="preserve"> by deforming the post-</w:t>
      </w:r>
      <w:proofErr w:type="spellStart"/>
      <w:r w:rsidRPr="006A0EF9">
        <w:rPr>
          <w:sz w:val="24"/>
          <w:szCs w:val="24"/>
        </w:rPr>
        <w:t>ExM</w:t>
      </w:r>
      <w:proofErr w:type="spellEnd"/>
      <w:r w:rsidRPr="006A0EF9">
        <w:rPr>
          <w:sz w:val="24"/>
          <w:szCs w:val="24"/>
        </w:rPr>
        <w:t xml:space="preserve"> image via a non-rigid registration process to attempt an exact match to the pre-</w:t>
      </w:r>
      <w:proofErr w:type="spellStart"/>
      <w:r w:rsidRPr="006A0EF9">
        <w:rPr>
          <w:sz w:val="24"/>
          <w:szCs w:val="24"/>
        </w:rPr>
        <w:t>ExM</w:t>
      </w:r>
      <w:proofErr w:type="spellEnd"/>
      <w:r w:rsidRPr="006A0EF9">
        <w:rPr>
          <w:sz w:val="24"/>
          <w:szCs w:val="24"/>
        </w:rPr>
        <w:t xml:space="preserve"> image (in contrast to the similarity transform used in </w:t>
      </w:r>
      <w:r w:rsidRPr="006A0EF9">
        <w:rPr>
          <w:b/>
          <w:sz w:val="24"/>
          <w:szCs w:val="24"/>
        </w:rPr>
        <w:t>Fig. 2A, 2B</w:t>
      </w:r>
      <w:r w:rsidRPr="006A0EF9">
        <w:rPr>
          <w:sz w:val="24"/>
          <w:szCs w:val="24"/>
        </w:rPr>
        <w:t xml:space="preserve"> and elsewhere). We used a B-spline based non-rigid registration algorithm (see </w:t>
      </w:r>
      <w:r w:rsidRPr="006A0EF9">
        <w:rPr>
          <w:b/>
          <w:sz w:val="24"/>
          <w:szCs w:val="24"/>
        </w:rPr>
        <w:t>Methods</w:t>
      </w:r>
      <w:r w:rsidRPr="006A0EF9">
        <w:rPr>
          <w:sz w:val="24"/>
          <w:szCs w:val="24"/>
        </w:rPr>
        <w:t>) which generates a vector field that maps the post-</w:t>
      </w:r>
      <w:proofErr w:type="spellStart"/>
      <w:r w:rsidRPr="006A0EF9">
        <w:rPr>
          <w:sz w:val="24"/>
          <w:szCs w:val="24"/>
        </w:rPr>
        <w:t>ExM</w:t>
      </w:r>
      <w:proofErr w:type="spellEnd"/>
      <w:r w:rsidRPr="006A0EF9">
        <w:rPr>
          <w:sz w:val="24"/>
          <w:szCs w:val="24"/>
        </w:rPr>
        <w:t xml:space="preserve"> image (</w:t>
      </w:r>
      <w:r w:rsidRPr="006A0EF9">
        <w:rPr>
          <w:b/>
          <w:sz w:val="24"/>
          <w:szCs w:val="24"/>
        </w:rPr>
        <w:t>A</w:t>
      </w:r>
      <w:r w:rsidRPr="006A0EF9">
        <w:rPr>
          <w:sz w:val="24"/>
          <w:szCs w:val="24"/>
        </w:rPr>
        <w:t>, magenta) to the pre-</w:t>
      </w:r>
      <w:proofErr w:type="spellStart"/>
      <w:r w:rsidRPr="006A0EF9">
        <w:rPr>
          <w:sz w:val="24"/>
          <w:szCs w:val="24"/>
        </w:rPr>
        <w:t>ExM</w:t>
      </w:r>
      <w:proofErr w:type="spellEnd"/>
      <w:r w:rsidRPr="006A0EF9">
        <w:rPr>
          <w:sz w:val="24"/>
          <w:szCs w:val="24"/>
        </w:rPr>
        <w:t xml:space="preserve"> image (</w:t>
      </w:r>
      <w:r w:rsidRPr="006A0EF9">
        <w:rPr>
          <w:b/>
          <w:sz w:val="24"/>
          <w:szCs w:val="24"/>
        </w:rPr>
        <w:t>A</w:t>
      </w:r>
      <w:r w:rsidRPr="006A0EF9">
        <w:rPr>
          <w:sz w:val="24"/>
          <w:szCs w:val="24"/>
        </w:rPr>
        <w:t>, green). In (</w:t>
      </w:r>
      <w:r w:rsidRPr="006A0EF9">
        <w:rPr>
          <w:b/>
          <w:sz w:val="24"/>
          <w:szCs w:val="24"/>
        </w:rPr>
        <w:t>A</w:t>
      </w:r>
      <w:r w:rsidRPr="006A0EF9">
        <w:rPr>
          <w:sz w:val="24"/>
          <w:szCs w:val="24"/>
        </w:rPr>
        <w:t>) the overlap between the pre- and post-</w:t>
      </w:r>
      <w:proofErr w:type="spellStart"/>
      <w:r w:rsidRPr="006A0EF9">
        <w:rPr>
          <w:sz w:val="24"/>
          <w:szCs w:val="24"/>
        </w:rPr>
        <w:t>ExM</w:t>
      </w:r>
      <w:proofErr w:type="spellEnd"/>
      <w:r w:rsidRPr="006A0EF9">
        <w:rPr>
          <w:sz w:val="24"/>
          <w:szCs w:val="24"/>
        </w:rPr>
        <w:t xml:space="preserve"> images appears white, and the deformation vector field (white arrows) is plotted with vector magnitudes scaled by factor of 2 for visibility. The post-</w:t>
      </w:r>
      <w:proofErr w:type="spellStart"/>
      <w:r w:rsidRPr="006A0EF9">
        <w:rPr>
          <w:sz w:val="24"/>
          <w:szCs w:val="24"/>
        </w:rPr>
        <w:t>ExM</w:t>
      </w:r>
      <w:proofErr w:type="spellEnd"/>
      <w:r w:rsidRPr="006A0EF9">
        <w:rPr>
          <w:sz w:val="24"/>
          <w:szCs w:val="24"/>
        </w:rPr>
        <w:t xml:space="preserve"> image after deformation (</w:t>
      </w:r>
      <w:r w:rsidRPr="006A0EF9">
        <w:rPr>
          <w:b/>
          <w:sz w:val="24"/>
          <w:szCs w:val="24"/>
        </w:rPr>
        <w:t>B</w:t>
      </w:r>
      <w:r w:rsidRPr="006A0EF9">
        <w:rPr>
          <w:sz w:val="24"/>
          <w:szCs w:val="24"/>
        </w:rPr>
        <w:t xml:space="preserve">, magenta) </w:t>
      </w:r>
      <w:proofErr w:type="spellStart"/>
      <w:r w:rsidRPr="006A0EF9">
        <w:rPr>
          <w:sz w:val="24"/>
          <w:szCs w:val="24"/>
        </w:rPr>
        <w:t>colocalizes</w:t>
      </w:r>
      <w:proofErr w:type="spellEnd"/>
      <w:r w:rsidRPr="006A0EF9">
        <w:rPr>
          <w:sz w:val="24"/>
          <w:szCs w:val="24"/>
        </w:rPr>
        <w:t xml:space="preserve"> with the pre-</w:t>
      </w:r>
      <w:proofErr w:type="spellStart"/>
      <w:r w:rsidRPr="006A0EF9">
        <w:rPr>
          <w:sz w:val="24"/>
          <w:szCs w:val="24"/>
        </w:rPr>
        <w:t>ExM</w:t>
      </w:r>
      <w:proofErr w:type="spellEnd"/>
      <w:r w:rsidRPr="006A0EF9">
        <w:rPr>
          <w:sz w:val="24"/>
          <w:szCs w:val="24"/>
        </w:rPr>
        <w:t xml:space="preserve"> image (</w:t>
      </w:r>
      <w:r w:rsidRPr="006A0EF9">
        <w:rPr>
          <w:b/>
          <w:sz w:val="24"/>
          <w:szCs w:val="24"/>
        </w:rPr>
        <w:t>B</w:t>
      </w:r>
      <w:r w:rsidRPr="006A0EF9">
        <w:rPr>
          <w:sz w:val="24"/>
          <w:szCs w:val="24"/>
        </w:rPr>
        <w:t xml:space="preserve">, green; overlap appears white). Using this deformation field, we can calculate the error of </w:t>
      </w:r>
      <w:proofErr w:type="spellStart"/>
      <w:r w:rsidRPr="006A0EF9">
        <w:rPr>
          <w:sz w:val="24"/>
          <w:szCs w:val="24"/>
        </w:rPr>
        <w:t>ExM</w:t>
      </w:r>
      <w:proofErr w:type="spellEnd"/>
      <w:r w:rsidRPr="006A0EF9">
        <w:rPr>
          <w:sz w:val="24"/>
          <w:szCs w:val="24"/>
        </w:rPr>
        <w:t xml:space="preserve"> for various length measurements. This is schematized in (</w:t>
      </w:r>
      <w:r w:rsidRPr="006A0EF9">
        <w:rPr>
          <w:b/>
          <w:sz w:val="24"/>
          <w:szCs w:val="24"/>
        </w:rPr>
        <w:t>C</w:t>
      </w:r>
      <w:r w:rsidRPr="006A0EF9">
        <w:rPr>
          <w:sz w:val="24"/>
          <w:szCs w:val="24"/>
        </w:rPr>
        <w:t>): the magenta lines, representing structures in the post-</w:t>
      </w:r>
      <w:proofErr w:type="spellStart"/>
      <w:r w:rsidRPr="006A0EF9">
        <w:rPr>
          <w:sz w:val="24"/>
          <w:szCs w:val="24"/>
        </w:rPr>
        <w:t>ExM</w:t>
      </w:r>
      <w:proofErr w:type="spellEnd"/>
      <w:r w:rsidRPr="006A0EF9">
        <w:rPr>
          <w:sz w:val="24"/>
          <w:szCs w:val="24"/>
        </w:rPr>
        <w:t xml:space="preserve"> image, are mapped to the green lines, representing the pre-</w:t>
      </w:r>
      <w:proofErr w:type="spellStart"/>
      <w:r w:rsidRPr="006A0EF9">
        <w:rPr>
          <w:sz w:val="24"/>
          <w:szCs w:val="24"/>
        </w:rPr>
        <w:t>ExM</w:t>
      </w:r>
      <w:proofErr w:type="spellEnd"/>
      <w:r w:rsidRPr="006A0EF9">
        <w:rPr>
          <w:sz w:val="24"/>
          <w:szCs w:val="24"/>
        </w:rPr>
        <w:t xml:space="preserve"> image, via the vector field depicted by black arrows. Measurement L’ along the line segment A’B’ in the post-</w:t>
      </w:r>
      <w:proofErr w:type="spellStart"/>
      <w:r w:rsidRPr="006A0EF9">
        <w:rPr>
          <w:sz w:val="24"/>
          <w:szCs w:val="24"/>
        </w:rPr>
        <w:t>ExM</w:t>
      </w:r>
      <w:proofErr w:type="spellEnd"/>
      <w:r w:rsidRPr="006A0EF9">
        <w:rPr>
          <w:sz w:val="24"/>
          <w:szCs w:val="24"/>
        </w:rPr>
        <w:t xml:space="preserve"> image is mapped to measurement L along the line segment AB in the pre-</w:t>
      </w:r>
      <w:proofErr w:type="spellStart"/>
      <w:r w:rsidRPr="006A0EF9">
        <w:rPr>
          <w:sz w:val="24"/>
          <w:szCs w:val="24"/>
        </w:rPr>
        <w:t>ExM</w:t>
      </w:r>
      <w:proofErr w:type="spellEnd"/>
      <w:r w:rsidRPr="006A0EF9">
        <w:rPr>
          <w:sz w:val="24"/>
          <w:szCs w:val="24"/>
        </w:rPr>
        <w:t xml:space="preserve"> image. The </w:t>
      </w:r>
      <w:proofErr w:type="spellStart"/>
      <w:r w:rsidRPr="006A0EF9">
        <w:rPr>
          <w:sz w:val="24"/>
          <w:szCs w:val="24"/>
        </w:rPr>
        <w:t>ExM</w:t>
      </w:r>
      <w:proofErr w:type="spellEnd"/>
      <w:r w:rsidRPr="006A0EF9">
        <w:rPr>
          <w:sz w:val="24"/>
          <w:szCs w:val="24"/>
        </w:rPr>
        <w:t xml:space="preserve"> error is calculated as |L-L’|, i.e. the difference between the deformation vectors AA’ and BB’. Using the deformation field generated we can calculate the </w:t>
      </w:r>
      <w:proofErr w:type="spellStart"/>
      <w:r w:rsidRPr="006A0EF9">
        <w:rPr>
          <w:sz w:val="24"/>
          <w:szCs w:val="24"/>
        </w:rPr>
        <w:t>ExM</w:t>
      </w:r>
      <w:proofErr w:type="spellEnd"/>
      <w:r w:rsidRPr="006A0EF9">
        <w:rPr>
          <w:sz w:val="24"/>
          <w:szCs w:val="24"/>
        </w:rPr>
        <w:t xml:space="preserve"> error between all extracted features in the pre- vs. post- images. Scale bars: 1 µm.</w:t>
      </w:r>
    </w:p>
    <w:p w14:paraId="09185893" w14:textId="77777777" w:rsidR="00E91A60" w:rsidRDefault="00E91A60" w:rsidP="00E91A60">
      <w:pPr>
        <w:spacing w:before="120"/>
        <w:jc w:val="center"/>
        <w:rPr>
          <w:b/>
          <w:sz w:val="24"/>
          <w:szCs w:val="24"/>
        </w:rPr>
      </w:pPr>
      <w:r>
        <w:rPr>
          <w:b/>
          <w:noProof/>
          <w:sz w:val="24"/>
          <w:szCs w:val="24"/>
        </w:rPr>
        <w:lastRenderedPageBreak/>
        <w:drawing>
          <wp:inline distT="0" distB="0" distL="0" distR="0" wp14:anchorId="7FEBCA47" wp14:editId="3776F55A">
            <wp:extent cx="5236418" cy="7047345"/>
            <wp:effectExtent l="0" t="0" r="254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S4 - 2400px.jpg"/>
                    <pic:cNvPicPr/>
                  </pic:nvPicPr>
                  <pic:blipFill>
                    <a:blip r:embed="rId11">
                      <a:extLst>
                        <a:ext uri="{28A0092B-C50C-407E-A947-70E740481C1C}">
                          <a14:useLocalDpi xmlns:a14="http://schemas.microsoft.com/office/drawing/2010/main" val="0"/>
                        </a:ext>
                      </a:extLst>
                    </a:blip>
                    <a:stretch>
                      <a:fillRect/>
                    </a:stretch>
                  </pic:blipFill>
                  <pic:spPr>
                    <a:xfrm>
                      <a:off x="0" y="0"/>
                      <a:ext cx="5241680" cy="7054427"/>
                    </a:xfrm>
                    <a:prstGeom prst="rect">
                      <a:avLst/>
                    </a:prstGeom>
                  </pic:spPr>
                </pic:pic>
              </a:graphicData>
            </a:graphic>
          </wp:inline>
        </w:drawing>
      </w:r>
    </w:p>
    <w:p w14:paraId="0FE22ACE" w14:textId="060AB73A" w:rsidR="006A0EF9" w:rsidRPr="006A0EF9" w:rsidRDefault="006A0EF9" w:rsidP="006A0EF9">
      <w:pPr>
        <w:spacing w:before="120"/>
        <w:rPr>
          <w:sz w:val="24"/>
          <w:szCs w:val="24"/>
        </w:rPr>
      </w:pPr>
      <w:r w:rsidRPr="006A0EF9">
        <w:rPr>
          <w:b/>
          <w:sz w:val="24"/>
          <w:szCs w:val="24"/>
        </w:rPr>
        <w:t xml:space="preserve">Figure </w:t>
      </w:r>
      <w:r w:rsidR="00546737">
        <w:rPr>
          <w:b/>
          <w:sz w:val="24"/>
          <w:szCs w:val="24"/>
        </w:rPr>
        <w:t>S</w:t>
      </w:r>
      <w:r w:rsidRPr="006A0EF9">
        <w:rPr>
          <w:b/>
          <w:sz w:val="24"/>
          <w:szCs w:val="24"/>
        </w:rPr>
        <w:t xml:space="preserve">4.  </w:t>
      </w:r>
      <w:proofErr w:type="spellStart"/>
      <w:r w:rsidRPr="006A0EF9">
        <w:rPr>
          <w:b/>
          <w:sz w:val="24"/>
          <w:szCs w:val="24"/>
        </w:rPr>
        <w:t>ExM</w:t>
      </w:r>
      <w:proofErr w:type="spellEnd"/>
      <w:r w:rsidRPr="006A0EF9">
        <w:rPr>
          <w:b/>
          <w:sz w:val="24"/>
          <w:szCs w:val="24"/>
        </w:rPr>
        <w:t xml:space="preserve"> imaging of antibodies of interest in neuroscience and biology.</w:t>
      </w:r>
      <w:r w:rsidRPr="006A0EF9">
        <w:rPr>
          <w:sz w:val="24"/>
          <w:szCs w:val="24"/>
        </w:rPr>
        <w:t xml:space="preserve"> Confocal images of expanded Thy1-YFP mouse brain cerebral cortex sections stained with anti-GFP (green) and antibodies against other proteins (red) as follows: </w:t>
      </w:r>
      <w:r w:rsidRPr="006A0EF9">
        <w:rPr>
          <w:b/>
          <w:sz w:val="24"/>
          <w:szCs w:val="24"/>
        </w:rPr>
        <w:t>(A)</w:t>
      </w:r>
      <w:r w:rsidRPr="006A0EF9">
        <w:rPr>
          <w:sz w:val="24"/>
          <w:szCs w:val="24"/>
        </w:rPr>
        <w:t xml:space="preserve"> GAD65/67 </w:t>
      </w:r>
      <w:r w:rsidRPr="006A0EF9">
        <w:rPr>
          <w:sz w:val="24"/>
          <w:szCs w:val="24"/>
        </w:rPr>
        <w:fldChar w:fldCharType="begin" w:fldLock="1"/>
      </w:r>
      <w:r w:rsidR="00A9334F">
        <w:rPr>
          <w:sz w:val="24"/>
          <w:szCs w:val="24"/>
        </w:rPr>
        <w:instrText>ADDIN CSL_CITATION { "citationItems" : [ { "id" : "ITEM-1", "itemData" : { "DOI" : "10.1007/BF01173991", "ISSN" : "0300-4864", "PMID" : "690673", "abstract" : "Glutamic acid decarboxylase (GAD), the enzyme that synthesizes the neurotransmitter gamma-amino-butyric acid (GABA), has been localized in the rat visual cortex by immunocytochemical methods with both light and electron microscopy. In both colchicine-injected and non-injected preparations of the visual cortex, GAD-positive reaction product was observed in somata, proximal dendrites and axon terminals of non-pyramidal neurons. The GAD-positive terminals were observed to form symmetric synaptic junctions most commonly with dendritic shafts and somata of pyramidal and stellate neurons and less frequently with initial axon segments of pyramidal neurons and dendritic spines. In colchicine-injected preparations, GAD-positive somata were located in all cortical layers including the immediately subjacent white matter. In contrast, sections from non-injected rats displayed GAD-positive somata within a superficial and a deep cortical band. The GAD-positive somata observed in both types of preparations received both symmetric and asymmetric synaptic junctions, lacked apical dendrites, and had radially oriented dendrites of small diameter. These characteristics of GAD-positive neurons indicate that they are aspinous and sparsely-spinous stellate neurons. The localization of GAD within these neurons in combination with physiological and pharmacological data indicate that these local circuit neurons mediate GABA-ergic inhibition in the neocortex.", "author" : [ { "dropping-particle" : "", "family" : "Ribak", "given" : "C E", "non-dropping-particle" : "", "parse-names" : false, "suffix" : "" } ], "container-title" : "Journal of neurocytology", "id" : "ITEM-1", "issued" : { "date-parts" : [ [ "1978" ] ] }, "page" : "461-478", "title" : "Aspinous and sparsely-spinous stellate neurons in the visual cortex of rats contain glutamic acid decarboxylase.", "type" : "article-journal", "volume" : "7" }, "uris" : [ "http://www.mendeley.com/documents/?uuid=3872b6ff-4d3a-4c2f-8433-0b88ded7cd61", "http://www.mendeley.com/documents/?uuid=0f8b7dde-f9ac-4ea4-882d-36f6bda35dc2" ] } ], "mendeley" : { "previouslyFormattedCitation" : "(&lt;i&gt;22&lt;/i&gt;)"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22</w:t>
      </w:r>
      <w:r w:rsidR="00A9334F" w:rsidRPr="00A9334F">
        <w:rPr>
          <w:noProof/>
          <w:sz w:val="24"/>
          <w:szCs w:val="24"/>
        </w:rPr>
        <w:t>)</w:t>
      </w:r>
      <w:r w:rsidRPr="006A0EF9">
        <w:rPr>
          <w:sz w:val="24"/>
          <w:szCs w:val="24"/>
        </w:rPr>
        <w:fldChar w:fldCharType="end"/>
      </w:r>
      <w:r w:rsidRPr="006A0EF9">
        <w:rPr>
          <w:sz w:val="24"/>
          <w:szCs w:val="24"/>
        </w:rPr>
        <w:t xml:space="preserve">, </w:t>
      </w:r>
      <w:r w:rsidRPr="006A0EF9">
        <w:rPr>
          <w:b/>
          <w:sz w:val="24"/>
          <w:szCs w:val="24"/>
        </w:rPr>
        <w:t>(B)</w:t>
      </w:r>
      <w:r w:rsidRPr="006A0EF9">
        <w:rPr>
          <w:sz w:val="24"/>
          <w:szCs w:val="24"/>
        </w:rPr>
        <w:t xml:space="preserve"> </w:t>
      </w:r>
      <w:proofErr w:type="spellStart"/>
      <w:r w:rsidRPr="006A0EF9">
        <w:rPr>
          <w:sz w:val="24"/>
          <w:szCs w:val="24"/>
        </w:rPr>
        <w:t>ChAT</w:t>
      </w:r>
      <w:proofErr w:type="spellEnd"/>
      <w:r w:rsidRPr="006A0EF9">
        <w:rPr>
          <w:sz w:val="24"/>
          <w:szCs w:val="24"/>
        </w:rPr>
        <w:t xml:space="preserve"> </w:t>
      </w:r>
      <w:r w:rsidRPr="006A0EF9">
        <w:rPr>
          <w:sz w:val="24"/>
          <w:szCs w:val="24"/>
        </w:rPr>
        <w:fldChar w:fldCharType="begin" w:fldLock="1"/>
      </w:r>
      <w:r w:rsidR="00A9334F">
        <w:rPr>
          <w:sz w:val="24"/>
          <w:szCs w:val="24"/>
        </w:rPr>
        <w:instrText>ADDIN CSL_CITATION { "citationItems" : [ { "id" : "ITEM-1", "itemData" : { "DOI" : "10.1002/cne.902340103", "ISBN" : "0021-9967 (Print)\\n0021-9967 (Linking)", "ISSN" : "0021-9967", "PMID" : "3980786", "abstract" : "Choline acetyltransferase (ChAT), the acetylcholine-synthesizing enzyme and a definitive marker for cholinergic neurons, was localized immunocytochemically in the motor and somatic sensory regions of rat cerebral cortex with monoclonal antibodies. ChAT-positive (ChAT+) varicose fibers and terminal-like structures were distributed in a loose network throughout the cortex. Some immunoreactive cortical fibers were continuous with those in the white matter underlying the cortex, and many of these fibers presumably originated from subcortical cholinergic neurons. ChAT+ fibers appeared to be rather evenly distributed throughout all layers of the motor cortex, but a subtle laminar pattern was evident in the somatic sensory cortex, where lower concentrations of fibers in layer IV contrasted with higher concentrations in layer V. Electron microscopy demonstrated that immunoreaction product was concentrated in synaptic vesicle-filled profiles and that many of these structures formed synaptic contacts. ChAT+ synapses were present in all cortical layers, and the majority were of the symmetric type, although a few asymmetric ones were also observed. The most common postsynaptic elements were small to medium-sized dendritic shafts of unidentified origin. In addition, ChAT+ terminals formed synaptic contacts with apical and, probably, basilar dendrites of pyramidal neurons, as well as with the somata of ChAT-negative nonpyramidal neurons. ChAT+ cell bodies were present throughout cortical layers II-VI, but were most concentrated in layers II-III. The somata were small in size, and the majority of ChAT+ neurons were bipolar in form, displaying vertically oriented dendrites that often extended across several cortical layers. Electron microscopy confirmed the presence of immunoreaction product within the cytoplasm of small neurons and revealed that they received both symmetric and asymmetric synapses on their somata and proximal dendrites. These observations support an identification of ChAT+ cells as nonpyramidal intrinsic neurons and thus indicate that there is an intrinsic source of cholinergic innervation of the rat cerebral cortex, as well as the previously described extrinsic sources.", "author" : [ { "dropping-particle" : "", "family" : "Houser", "given" : "C R", "non-dropping-particle" : "", "parse-names" : false, "suffix" : "" }, { "dropping-particle" : "", "family" : "Crawford", "given" : "G D", "non-dropping-particle" : "", "parse-names" : false, "suffix" : "" }, { "dropping-particle" : "", "family" : "Salvaterra", "given" : "P M", "non-dropping-particle" : "", "parse-names" : false, "suffix" : "" }, { "dropping-particle" : "", "family" : "Vaughn", "given" : "J E", "non-dropping-particle" : "", "parse-names" : false, "suffix" : "" } ], "container-title" : "The Journal of comparative neurology", "id" : "ITEM-1", "issued" : { "date-parts" : [ [ "1985" ] ] }, "page" : "17-34", "title" : "Immunocytochemical localization of choline acetyltransferase in rat cerebral cortex: a study of cholinergic neurons and synapses.", "type" : "article-journal", "volume" : "234" }, "uris" : [ "http://www.mendeley.com/documents/?uuid=1d80699a-5504-4b16-8cb2-5211f9981622", "http://www.mendeley.com/documents/?uuid=4e97fa0f-a95a-42ee-8bcc-779cf7864f33" ] } ], "mendeley" : { "previouslyFormattedCitation" : "(&lt;i&gt;23&lt;/i&gt;)"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23</w:t>
      </w:r>
      <w:r w:rsidR="00A9334F" w:rsidRPr="00A9334F">
        <w:rPr>
          <w:noProof/>
          <w:sz w:val="24"/>
          <w:szCs w:val="24"/>
        </w:rPr>
        <w:t>)</w:t>
      </w:r>
      <w:r w:rsidRPr="006A0EF9">
        <w:rPr>
          <w:sz w:val="24"/>
          <w:szCs w:val="24"/>
        </w:rPr>
        <w:fldChar w:fldCharType="end"/>
      </w:r>
      <w:r w:rsidRPr="006A0EF9">
        <w:rPr>
          <w:sz w:val="24"/>
          <w:szCs w:val="24"/>
        </w:rPr>
        <w:t>,</w:t>
      </w:r>
      <w:r w:rsidRPr="006A0EF9">
        <w:rPr>
          <w:b/>
          <w:sz w:val="24"/>
          <w:szCs w:val="24"/>
        </w:rPr>
        <w:t xml:space="preserve"> (C)</w:t>
      </w:r>
      <w:r w:rsidRPr="006A0EF9">
        <w:rPr>
          <w:sz w:val="24"/>
          <w:szCs w:val="24"/>
        </w:rPr>
        <w:t xml:space="preserve"> </w:t>
      </w:r>
      <w:proofErr w:type="spellStart"/>
      <w:r w:rsidRPr="006A0EF9">
        <w:rPr>
          <w:sz w:val="24"/>
          <w:szCs w:val="24"/>
        </w:rPr>
        <w:t>CaMKII</w:t>
      </w:r>
      <w:proofErr w:type="spellEnd"/>
      <w:r w:rsidRPr="006A0EF9">
        <w:rPr>
          <w:sz w:val="24"/>
          <w:szCs w:val="24"/>
        </w:rPr>
        <w:t xml:space="preserve"> </w:t>
      </w:r>
      <w:r w:rsidRPr="006A0EF9">
        <w:rPr>
          <w:sz w:val="24"/>
          <w:szCs w:val="24"/>
        </w:rPr>
        <w:fldChar w:fldCharType="begin" w:fldLock="1"/>
      </w:r>
      <w:r w:rsidR="00A9334F">
        <w:rPr>
          <w:sz w:val="24"/>
          <w:szCs w:val="24"/>
        </w:rPr>
        <w:instrText>ADDIN CSL_CITATION { "citationItems" : [ { "id" : "ITEM-1", "itemData" : { "ISBN" : "0270-6474 (Print)\\r0270-6474 (Linking)", "ISSN" : "0270-6474", "PMID" : "9482799", "abstract" : "In situ hybridization histochemistry and immunocytochemistry were used to study localization and activity-dependent regulation of alpha, beta, gamma, and delta isoforms of type II calcium/calmodulin-dependent protein kinase (CaMKII) and their mRNAs in areas 17 and 18 of normal and monocularly deprived adult macaques. CaMKII-alpha is expressed overall at levels three to four times higher than that of CaMKII-beta and at least 15 times higher than that of CaMKII-gamma and -delta. All isoforms are expressed primarily in pyramidal cells of both areas, especially those of layers II-III, IVA (in area 17), and VI, but are also expressed in nonpyramidal, non-GABAergic cells of layer IV of both areas and in interstitial neurons of the white matter. CaMKII-alpha and -beta are colocalized, suggesting the formation of heteromers. There was no evidence of expression in neuroglial cells. Each isoform has a unique pattern of laminar and sublaminar distribution, but cortical layers or sublayers enriched for one isoform do not correlate with layers receiving inputs only from isoform-specific layers of the lateral geniculate nucleus. CaMKII-alpha and -beta mRNA and protein levels in layer IVC of area 17 are subject to activity-dependent regulation, with brief periods of monocular deprivation caused by intraocular injections of tetrodotoxin leading to a 30% increase in CaMKII-alpha mRNA and a comparable decrease in CaMKII-beta mRNA in deprived ocular dominance columns, especially of layer IVCbeta. Expression in other layers and expression of CaMKII-gamma and delta were unaffected. Changes occurring in layer IVC may influence the formation of heteromers and protect supragranular layers from CaMKII-dependent plasticity in the adult.", "author" : [ { "dropping-particle" : "", "family" : "Tighilet", "given" : "B", "non-dropping-particle" : "", "parse-names" : false, "suffix" : "" }, { "dropping-particle" : "", "family" : "Hashikawa", "given" : "T", "non-dropping-particle" : "", "parse-names" : false, "suffix" : "" }, { "dropping-particle" : "", "family" : "Jones", "given" : "E G", "non-dropping-particle" : "", "parse-names" : false, "suffix" : "" } ], "container-title" : "The Journal of neuroscience : the official journal of the Society for Neuroscience", "id" : "ITEM-1", "issued" : { "date-parts" : [ [ "1998" ] ] }, "page" : "2129-2146", "title" : "Cell- and lamina-specific expression and activity-dependent regulation of type II calcium/calmodulin-dependent protein kinase isoforms in monkey visual cortex.", "type" : "article-journal", "volume" : "18" }, "uris" : [ "http://www.mendeley.com/documents/?uuid=1b690e4c-cd2c-48eb-ad65-299ee323e52c", "http://www.mendeley.com/documents/?uuid=4705ac43-7a67-4702-8aa2-dea33d106c66" ] } ], "mendeley" : { "previouslyFormattedCitation" : "(&lt;i&gt;24&lt;/i&gt;)"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24</w:t>
      </w:r>
      <w:r w:rsidR="00A9334F" w:rsidRPr="00A9334F">
        <w:rPr>
          <w:noProof/>
          <w:sz w:val="24"/>
          <w:szCs w:val="24"/>
        </w:rPr>
        <w:t>)</w:t>
      </w:r>
      <w:r w:rsidRPr="006A0EF9">
        <w:rPr>
          <w:sz w:val="24"/>
          <w:szCs w:val="24"/>
        </w:rPr>
        <w:fldChar w:fldCharType="end"/>
      </w:r>
      <w:r w:rsidRPr="006A0EF9">
        <w:rPr>
          <w:sz w:val="24"/>
          <w:szCs w:val="24"/>
        </w:rPr>
        <w:t>,</w:t>
      </w:r>
      <w:r w:rsidRPr="006A0EF9">
        <w:rPr>
          <w:b/>
          <w:sz w:val="24"/>
          <w:szCs w:val="24"/>
        </w:rPr>
        <w:t xml:space="preserve"> (D)</w:t>
      </w:r>
      <w:r w:rsidRPr="006A0EF9">
        <w:rPr>
          <w:sz w:val="24"/>
          <w:szCs w:val="24"/>
        </w:rPr>
        <w:t xml:space="preserve"> GABA </w:t>
      </w:r>
      <w:r w:rsidRPr="006A0EF9">
        <w:rPr>
          <w:sz w:val="24"/>
          <w:szCs w:val="24"/>
        </w:rPr>
        <w:fldChar w:fldCharType="begin" w:fldLock="1"/>
      </w:r>
      <w:r w:rsidR="00A9334F">
        <w:rPr>
          <w:sz w:val="24"/>
          <w:szCs w:val="24"/>
        </w:rPr>
        <w:instrText>ADDIN CSL_CITATION { "citationItems" : [ { "id" : "ITEM-1", "itemData" : { "DOI" : "10.1007/BF00247904", "ISBN" : "0014-4819 (Print)\\r0014-4819 (Linking)", "ISSN" : "00144819", "PMID" : "2767197", "abstract" : "Calcium ions play a key role in many aspects of neuronal behavior and certain calcium binding proteins that may influence this behavior are differentially distributed in the central nervous system. In this study it is shown that immunoreactivity for calbindin-28 and for parvalbumin is localized in separate populations of inhibitory GABA interneurons in all areas of the neocortex of Old World monkeys. Virtually all GABA neurons show immunoreactivity for one or other calcium binding protein but, except for a few cells in layer IV, GABA cells do not show immunoreactivity for both proteins. Among the two cell populations, parvalbumin immunoreactivity characterizes basket neurons while calbindin immunoreactivity characterizes double bouquet neurons. These findings suggest that the two GABA cell types differ in their regulation of calcium homeostasis and may yield clues to their different roles in intracortical circuitry.", "author" : [ { "dropping-particle" : "", "family" : "Hendry", "given" : "S. H C", "non-dropping-particle" : "", "parse-names" : false, "suffix" : "" }, { "dropping-particle" : "", "family" : "Jones", "given" : "E. G.", "non-dropping-particle" : "", "parse-names" : false, "suffix" : "" }, { "dropping-particle" : "", "family" : "Emson", "given" : "P. C.", "non-dropping-particle" : "", "parse-names" : false, "suffix" : "" }, { "dropping-particle" : "", "family" : "Lawson", "given" : "D. E M", "non-dropping-particle" : "", "parse-names" : false, "suffix" : "" }, { "dropping-particle" : "", "family" : "Heizmann", "given" : "C. W.", "non-dropping-particle" : "", "parse-names" : false, "suffix" : "" }, { "dropping-particle" : "", "family" : "Streit", "given" : "P.", "non-dropping-particle" : "", "parse-names" : false, "suffix" : "" } ], "container-title" : "Experimental Brain Research", "id" : "ITEM-1", "issued" : { "date-parts" : [ [ "1989" ] ] }, "page" : "467-472", "title" : "Two classes of cortical GABA neurons defined by differential calcium binding protein immunoreactivities", "type" : "article-journal", "volume" : "76" }, "uris" : [ "http://www.mendeley.com/documents/?uuid=f99030f2-caa7-4c4c-9cbf-5d087eb270d7", "http://www.mendeley.com/documents/?uuid=62e71034-5b61-4e86-a040-9a34d98a88d4" ] } ], "mendeley" : { "previouslyFormattedCitation" : "(&lt;i&gt;25&lt;/i&gt;)"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25</w:t>
      </w:r>
      <w:r w:rsidR="00A9334F" w:rsidRPr="00A9334F">
        <w:rPr>
          <w:noProof/>
          <w:sz w:val="24"/>
          <w:szCs w:val="24"/>
        </w:rPr>
        <w:t>)</w:t>
      </w:r>
      <w:r w:rsidRPr="006A0EF9">
        <w:rPr>
          <w:sz w:val="24"/>
          <w:szCs w:val="24"/>
        </w:rPr>
        <w:fldChar w:fldCharType="end"/>
      </w:r>
      <w:r w:rsidRPr="006A0EF9">
        <w:rPr>
          <w:sz w:val="24"/>
          <w:szCs w:val="24"/>
        </w:rPr>
        <w:t>,</w:t>
      </w:r>
      <w:r w:rsidRPr="006A0EF9">
        <w:rPr>
          <w:b/>
          <w:sz w:val="24"/>
          <w:szCs w:val="24"/>
        </w:rPr>
        <w:t xml:space="preserve"> (E)</w:t>
      </w:r>
      <w:r w:rsidRPr="006A0EF9">
        <w:rPr>
          <w:sz w:val="24"/>
          <w:szCs w:val="24"/>
        </w:rPr>
        <w:t xml:space="preserve"> </w:t>
      </w:r>
      <w:proofErr w:type="spellStart"/>
      <w:r w:rsidRPr="006A0EF9">
        <w:rPr>
          <w:sz w:val="24"/>
          <w:szCs w:val="24"/>
        </w:rPr>
        <w:t>Lamin</w:t>
      </w:r>
      <w:proofErr w:type="spellEnd"/>
      <w:r w:rsidRPr="006A0EF9">
        <w:rPr>
          <w:sz w:val="24"/>
          <w:szCs w:val="24"/>
        </w:rPr>
        <w:t xml:space="preserve"> A/C </w:t>
      </w:r>
      <w:r w:rsidRPr="006A0EF9">
        <w:rPr>
          <w:sz w:val="24"/>
          <w:szCs w:val="24"/>
        </w:rPr>
        <w:fldChar w:fldCharType="begin" w:fldLock="1"/>
      </w:r>
      <w:r w:rsidR="00A9334F">
        <w:rPr>
          <w:sz w:val="24"/>
          <w:szCs w:val="24"/>
        </w:rPr>
        <w:instrText>ADDIN CSL_CITATION { "citationItems" : [ { "id" : "ITEM-1", "itemData" : { "ISBN" : "0021-9533 (Print)", "ISSN" : "0021-9533", "PMID" : "7769007", "abstract" : "The nuclear lamina forms a protein mesh that underlies the nuclear membrane. In most mammalian cells it contains the intermediate filament proteins, lamins A, B and C. As their name indicates, lamins are generally thought to be confined to the nuclear periphery. We now show that they also form part of a diffuse skeleton that ramifies throughout the interior of the nucleus. Unlike their peripheral counterparts, these internal lamins are buried in dense chromatin and so are inaccessible to antibodies, but accessibility can be increased by removing chromatin. Knobs and nodes on an internal skeleton can then be immunolabelled using fluorescein- or gold-conjugated anti-lamin A antibodies. These results suggest that the lamins are misnamed as they are also found internally.", "author" : [ { "dropping-particle" : "", "family" : "Hoz\u00e1k", "given" : "P", "non-dropping-particle" : "", "parse-names" : false, "suffix" : "" }, { "dropping-particle" : "", "family" : "Sasseville", "given" : "A M", "non-dropping-particle" : "", "parse-names" : false, "suffix" : "" }, { "dropping-particle" : "", "family" : "Raymond", "given" : "Y", "non-dropping-particle" : "", "parse-names" : false, "suffix" : "" }, { "dropping-particle" : "", "family" : "Cook", "given" : "P R", "non-dropping-particle" : "", "parse-names" : false, "suffix" : "" } ], "container-title" : "Journal of cell science", "id" : "ITEM-1", "issued" : { "date-parts" : [ [ "1995" ] ] }, "page" : "635-644", "title" : "Lamin proteins form an internal nucleoskeleton as well as a peripheral lamina in human cells.", "type" : "article-journal", "volume" : "108 ( Pt 2" }, "uris" : [ "http://www.mendeley.com/documents/?uuid=2e323a76-0013-426f-9426-0cda487510de", "http://www.mendeley.com/documents/?uuid=318eebef-f969-4675-b350-0aae51386a00" ] } ], "mendeley" : { "previouslyFormattedCitation" : "(&lt;i&gt;26&lt;/i&gt;)"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26</w:t>
      </w:r>
      <w:r w:rsidR="00A9334F" w:rsidRPr="00A9334F">
        <w:rPr>
          <w:noProof/>
          <w:sz w:val="24"/>
          <w:szCs w:val="24"/>
        </w:rPr>
        <w:t>)</w:t>
      </w:r>
      <w:r w:rsidRPr="006A0EF9">
        <w:rPr>
          <w:sz w:val="24"/>
          <w:szCs w:val="24"/>
        </w:rPr>
        <w:fldChar w:fldCharType="end"/>
      </w:r>
      <w:r w:rsidRPr="006A0EF9">
        <w:rPr>
          <w:sz w:val="24"/>
          <w:szCs w:val="24"/>
        </w:rPr>
        <w:t xml:space="preserve">, </w:t>
      </w:r>
      <w:r w:rsidRPr="006A0EF9">
        <w:rPr>
          <w:b/>
          <w:sz w:val="24"/>
          <w:szCs w:val="24"/>
        </w:rPr>
        <w:t>(F)</w:t>
      </w:r>
      <w:r w:rsidRPr="006A0EF9">
        <w:rPr>
          <w:sz w:val="24"/>
          <w:szCs w:val="24"/>
        </w:rPr>
        <w:t xml:space="preserve"> NMDAR2a/b </w:t>
      </w:r>
      <w:r w:rsidRPr="006A0EF9">
        <w:rPr>
          <w:sz w:val="24"/>
          <w:szCs w:val="24"/>
        </w:rPr>
        <w:fldChar w:fldCharType="begin" w:fldLock="1"/>
      </w:r>
      <w:r w:rsidR="00A9334F">
        <w:rPr>
          <w:sz w:val="24"/>
          <w:szCs w:val="24"/>
        </w:rPr>
        <w:instrText>ADDIN CSL_CITATION { "citationItems" : [ { "id" : "ITEM-1", "itemData" : { "DOI" : "10.1002/(SICI)1096-9861(19980112)390:2&lt;194::AID-CNE3&gt;3.0.CO;2-X", "ISBN" : "0021-9967 (Print)", "ISSN" : "00219967", "PMID" : "9453664", "abstract" : "Conventional immunohistochemistry provides little evidence for the synaptic localization of ionotropic neurotransmitter receptors, suggesting that their epitopes are not readily accessible in situ. Here, we have adapted antigen retrieval procedures based on microwave irradiation to enhance the immunohistochemical staining of gamma-aminobutyric acid type A (GABA[A]) and N-methyl-D-aspartate (NMDA) receptor subunits in rat brain tissue. Microwave irradiation of fixed tissue produced a marked reduction of nonspecific staining, allowing an improved detection of GABA(A) receptor subunits. However, staining of NMDA receptor subunits remained suboptimal. In contrast, microwave irradiation of cryostat sections prepared from fresh tissue resulted in a major enhancement of both NMDA and GABAA receptor subunit staining. The diffuse, partially intracellular signals were largely replaced by numerous, intensely immunoreactive puncta outlining neuronal somata and dendrites, highly suggestive ofsynaptic receptors. In hippocampus CA1-CA3 fields, the NR2Aand NR2B subunit positive puncta exhibited an extensive colocalization in the stratum oriens and radiatum, whereas pyramidal cell bodies, which receive no excitatory synapses, were unstained. In addition, the NR2A subunit, but not the NR2B subunit, was selectively detected on pyramidal cell dendrites in the stratum lucidum of CA3, suggesting a selective targeting to sites of mossy fiber input. For the GABAA receptor subunits, the most striking change induced by this protocol was the selective staining of the axon initial segment of cortical and hippocampal pyramidal cells. The alpha2 subunit immunoreactivity was particularly prominent in these synapses. In control experiments, the staining of cytoskeletal proteins (neurofilaments, glial fibrillary acid protein) was not influenced by prior microwave irradiation. The enhancement of cell-surface-associated staining is therefore strongly suggestive of an 'unmasking' of subunit epitopes by the microwave treatment. These results reveal a remarkable specificity in the synaptic targeting of NMDA and GABAA receptor subunits in hippocampal and neocortical neurons, suggesting that individual neurons can express multiple receptor subtypes in functionally distinct synapses.", "author" : [ { "dropping-particle" : "", "family" : "Fritschy", "given" : "Jean Marc", "non-dropping-particle" : "", "parse-names" : false, "suffix" : "" }, { "dropping-particle" : "", "family" : "Weinmann", "given" : "Oliver", "non-dropping-particle" : "", "parse-names" : false, "suffix" : "" }, { "dropping-particle" : "", "family" : "Wenzel", "given" : "Andreas", "non-dropping-particle" : "", "parse-names" : false, "suffix" : "" }, { "dropping-particle" : "", "family" : "Benke", "given" : "Dietmar", "non-dropping-particle" : "", "parse-names" : false, "suffix" : "" } ], "container-title" : "Journal of Comparative Neurology", "id" : "ITEM-1", "issued" : { "date-parts" : [ [ "1998" ] ] }, "page" : "194-210", "title" : "Synapse-specific localization of NMDA and GARA(A) receptor subunits revealed by antigen-retrieval immunohistochemistry", "type" : "article-journal", "volume" : "390" }, "uris" : [ "http://www.mendeley.com/documents/?uuid=589afde3-d42a-4794-9273-fcfd3080c29d", "http://www.mendeley.com/documents/?uuid=3759ffbf-27c6-495c-a96a-ce2a768663bb" ] } ], "mendeley" : { "previouslyFormattedCitation" : "(&lt;i&gt;27&lt;/i&gt;)"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27</w:t>
      </w:r>
      <w:r w:rsidR="00A9334F" w:rsidRPr="00A9334F">
        <w:rPr>
          <w:noProof/>
          <w:sz w:val="24"/>
          <w:szCs w:val="24"/>
        </w:rPr>
        <w:t>)</w:t>
      </w:r>
      <w:r w:rsidRPr="006A0EF9">
        <w:rPr>
          <w:sz w:val="24"/>
          <w:szCs w:val="24"/>
        </w:rPr>
        <w:fldChar w:fldCharType="end"/>
      </w:r>
      <w:r w:rsidRPr="006A0EF9">
        <w:rPr>
          <w:sz w:val="24"/>
          <w:szCs w:val="24"/>
        </w:rPr>
        <w:t xml:space="preserve">. Scale bars: </w:t>
      </w:r>
      <w:r w:rsidRPr="006A0EF9">
        <w:rPr>
          <w:b/>
          <w:sz w:val="24"/>
          <w:szCs w:val="24"/>
        </w:rPr>
        <w:t>(A)</w:t>
      </w:r>
      <w:r w:rsidRPr="006A0EF9">
        <w:rPr>
          <w:sz w:val="24"/>
          <w:szCs w:val="24"/>
        </w:rPr>
        <w:t xml:space="preserve"> 10 </w:t>
      </w:r>
      <w:r w:rsidRPr="006A0EF9">
        <w:rPr>
          <w:rFonts w:ascii="Symbol" w:hAnsi="Symbol"/>
          <w:sz w:val="24"/>
          <w:szCs w:val="24"/>
        </w:rPr>
        <w:t></w:t>
      </w:r>
      <w:r w:rsidRPr="006A0EF9">
        <w:rPr>
          <w:sz w:val="24"/>
          <w:szCs w:val="24"/>
        </w:rPr>
        <w:t xml:space="preserve">m in pre-expansion units (physical size post-expansion, 45 </w:t>
      </w:r>
      <w:r w:rsidRPr="006A0EF9">
        <w:rPr>
          <w:rFonts w:ascii="Symbol" w:hAnsi="Symbol"/>
          <w:sz w:val="24"/>
          <w:szCs w:val="24"/>
        </w:rPr>
        <w:t></w:t>
      </w:r>
      <w:r w:rsidRPr="006A0EF9">
        <w:rPr>
          <w:sz w:val="24"/>
          <w:szCs w:val="24"/>
        </w:rPr>
        <w:t xml:space="preserve">m); </w:t>
      </w:r>
      <w:r w:rsidRPr="006A0EF9">
        <w:rPr>
          <w:b/>
          <w:sz w:val="24"/>
          <w:szCs w:val="24"/>
        </w:rPr>
        <w:t>(B)</w:t>
      </w:r>
      <w:r w:rsidRPr="006A0EF9">
        <w:rPr>
          <w:sz w:val="24"/>
          <w:szCs w:val="24"/>
        </w:rPr>
        <w:t xml:space="preserve"> 10 </w:t>
      </w:r>
      <w:r w:rsidRPr="006A0EF9">
        <w:rPr>
          <w:rFonts w:ascii="Symbol" w:hAnsi="Symbol"/>
          <w:sz w:val="24"/>
          <w:szCs w:val="24"/>
        </w:rPr>
        <w:t></w:t>
      </w:r>
      <w:r w:rsidRPr="006A0EF9">
        <w:rPr>
          <w:sz w:val="24"/>
          <w:szCs w:val="24"/>
        </w:rPr>
        <w:t xml:space="preserve">m (47 </w:t>
      </w:r>
      <w:r w:rsidRPr="006A0EF9">
        <w:rPr>
          <w:rFonts w:ascii="Symbol" w:hAnsi="Symbol"/>
          <w:sz w:val="24"/>
          <w:szCs w:val="24"/>
        </w:rPr>
        <w:t></w:t>
      </w:r>
      <w:r w:rsidRPr="006A0EF9">
        <w:rPr>
          <w:sz w:val="24"/>
          <w:szCs w:val="24"/>
        </w:rPr>
        <w:t xml:space="preserve">m); </w:t>
      </w:r>
      <w:r w:rsidRPr="006A0EF9">
        <w:rPr>
          <w:b/>
          <w:sz w:val="24"/>
          <w:szCs w:val="24"/>
        </w:rPr>
        <w:t>(C)</w:t>
      </w:r>
      <w:r w:rsidRPr="006A0EF9">
        <w:rPr>
          <w:sz w:val="24"/>
          <w:szCs w:val="24"/>
        </w:rPr>
        <w:t xml:space="preserve"> 10 </w:t>
      </w:r>
      <w:r w:rsidRPr="006A0EF9">
        <w:rPr>
          <w:rFonts w:ascii="Symbol" w:hAnsi="Symbol"/>
          <w:sz w:val="24"/>
          <w:szCs w:val="24"/>
        </w:rPr>
        <w:t></w:t>
      </w:r>
      <w:r w:rsidRPr="006A0EF9">
        <w:rPr>
          <w:sz w:val="24"/>
          <w:szCs w:val="24"/>
        </w:rPr>
        <w:t xml:space="preserve">m (40 </w:t>
      </w:r>
      <w:r w:rsidRPr="006A0EF9">
        <w:rPr>
          <w:rFonts w:ascii="Symbol" w:hAnsi="Symbol"/>
          <w:sz w:val="24"/>
          <w:szCs w:val="24"/>
        </w:rPr>
        <w:t></w:t>
      </w:r>
      <w:r w:rsidRPr="006A0EF9">
        <w:rPr>
          <w:sz w:val="24"/>
          <w:szCs w:val="24"/>
        </w:rPr>
        <w:t>m);</w:t>
      </w:r>
      <w:r w:rsidRPr="006A0EF9">
        <w:rPr>
          <w:b/>
          <w:sz w:val="24"/>
          <w:szCs w:val="24"/>
        </w:rPr>
        <w:t xml:space="preserve"> (D)</w:t>
      </w:r>
      <w:r w:rsidRPr="006A0EF9">
        <w:rPr>
          <w:sz w:val="24"/>
          <w:szCs w:val="24"/>
        </w:rPr>
        <w:t xml:space="preserve"> 10 </w:t>
      </w:r>
      <w:r w:rsidRPr="006A0EF9">
        <w:rPr>
          <w:rFonts w:ascii="Symbol" w:hAnsi="Symbol"/>
          <w:sz w:val="24"/>
          <w:szCs w:val="24"/>
        </w:rPr>
        <w:t></w:t>
      </w:r>
      <w:r w:rsidRPr="006A0EF9">
        <w:rPr>
          <w:sz w:val="24"/>
          <w:szCs w:val="24"/>
        </w:rPr>
        <w:t xml:space="preserve">m (44 </w:t>
      </w:r>
      <w:r w:rsidRPr="006A0EF9">
        <w:rPr>
          <w:rFonts w:ascii="Symbol" w:hAnsi="Symbol"/>
          <w:sz w:val="24"/>
          <w:szCs w:val="24"/>
        </w:rPr>
        <w:t></w:t>
      </w:r>
      <w:r w:rsidRPr="006A0EF9">
        <w:rPr>
          <w:sz w:val="24"/>
          <w:szCs w:val="24"/>
        </w:rPr>
        <w:t>m);</w:t>
      </w:r>
      <w:r w:rsidRPr="006A0EF9">
        <w:rPr>
          <w:b/>
          <w:sz w:val="24"/>
          <w:szCs w:val="24"/>
        </w:rPr>
        <w:t xml:space="preserve"> (E)</w:t>
      </w:r>
      <w:r w:rsidRPr="006A0EF9">
        <w:rPr>
          <w:sz w:val="24"/>
          <w:szCs w:val="24"/>
        </w:rPr>
        <w:t xml:space="preserve"> 10 </w:t>
      </w:r>
      <w:r w:rsidRPr="006A0EF9">
        <w:rPr>
          <w:rFonts w:ascii="Symbol" w:hAnsi="Symbol"/>
          <w:sz w:val="24"/>
          <w:szCs w:val="24"/>
        </w:rPr>
        <w:t></w:t>
      </w:r>
      <w:r w:rsidRPr="006A0EF9">
        <w:rPr>
          <w:sz w:val="24"/>
          <w:szCs w:val="24"/>
        </w:rPr>
        <w:t xml:space="preserve">m (43 </w:t>
      </w:r>
      <w:r w:rsidRPr="006A0EF9">
        <w:rPr>
          <w:rFonts w:ascii="Symbol" w:hAnsi="Symbol"/>
          <w:sz w:val="24"/>
          <w:szCs w:val="24"/>
        </w:rPr>
        <w:t></w:t>
      </w:r>
      <w:r w:rsidRPr="006A0EF9">
        <w:rPr>
          <w:sz w:val="24"/>
          <w:szCs w:val="24"/>
        </w:rPr>
        <w:t xml:space="preserve">m); </w:t>
      </w:r>
      <w:r w:rsidRPr="006A0EF9">
        <w:rPr>
          <w:b/>
          <w:sz w:val="24"/>
          <w:szCs w:val="24"/>
        </w:rPr>
        <w:t>(F)</w:t>
      </w:r>
      <w:r w:rsidRPr="006A0EF9">
        <w:rPr>
          <w:sz w:val="24"/>
          <w:szCs w:val="24"/>
        </w:rPr>
        <w:t xml:space="preserve"> 10 </w:t>
      </w:r>
      <w:r w:rsidRPr="006A0EF9">
        <w:rPr>
          <w:rFonts w:ascii="Symbol" w:hAnsi="Symbol"/>
          <w:sz w:val="24"/>
          <w:szCs w:val="24"/>
        </w:rPr>
        <w:t></w:t>
      </w:r>
      <w:r w:rsidRPr="006A0EF9">
        <w:rPr>
          <w:sz w:val="24"/>
          <w:szCs w:val="24"/>
        </w:rPr>
        <w:t xml:space="preserve">m (43 </w:t>
      </w:r>
      <w:r w:rsidRPr="006A0EF9">
        <w:rPr>
          <w:rFonts w:ascii="Symbol" w:hAnsi="Symbol"/>
          <w:sz w:val="24"/>
          <w:szCs w:val="24"/>
        </w:rPr>
        <w:t></w:t>
      </w:r>
      <w:r w:rsidRPr="006A0EF9">
        <w:rPr>
          <w:sz w:val="24"/>
          <w:szCs w:val="24"/>
        </w:rPr>
        <w:t>m).</w:t>
      </w:r>
    </w:p>
    <w:p w14:paraId="4481A974" w14:textId="77777777" w:rsidR="00E91A60" w:rsidRDefault="00E91A60" w:rsidP="00E91A60">
      <w:pPr>
        <w:spacing w:before="120"/>
        <w:jc w:val="center"/>
        <w:rPr>
          <w:b/>
          <w:sz w:val="24"/>
          <w:szCs w:val="24"/>
        </w:rPr>
      </w:pPr>
      <w:r>
        <w:rPr>
          <w:b/>
          <w:noProof/>
          <w:sz w:val="24"/>
          <w:szCs w:val="24"/>
        </w:rPr>
        <w:lastRenderedPageBreak/>
        <w:drawing>
          <wp:inline distT="0" distB="0" distL="0" distR="0" wp14:anchorId="2D5283CE" wp14:editId="623C8CB8">
            <wp:extent cx="4368800" cy="36012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S5.jpg"/>
                    <pic:cNvPicPr/>
                  </pic:nvPicPr>
                  <pic:blipFill>
                    <a:blip r:embed="rId12">
                      <a:extLst>
                        <a:ext uri="{28A0092B-C50C-407E-A947-70E740481C1C}">
                          <a14:useLocalDpi xmlns:a14="http://schemas.microsoft.com/office/drawing/2010/main" val="0"/>
                        </a:ext>
                      </a:extLst>
                    </a:blip>
                    <a:stretch>
                      <a:fillRect/>
                    </a:stretch>
                  </pic:blipFill>
                  <pic:spPr>
                    <a:xfrm>
                      <a:off x="0" y="0"/>
                      <a:ext cx="4371903" cy="3603788"/>
                    </a:xfrm>
                    <a:prstGeom prst="rect">
                      <a:avLst/>
                    </a:prstGeom>
                  </pic:spPr>
                </pic:pic>
              </a:graphicData>
            </a:graphic>
          </wp:inline>
        </w:drawing>
      </w:r>
    </w:p>
    <w:p w14:paraId="3A056909" w14:textId="3D4EA494" w:rsidR="006A0EF9" w:rsidRPr="006A0EF9" w:rsidRDefault="006A0EF9" w:rsidP="006A0EF9">
      <w:pPr>
        <w:spacing w:before="120"/>
        <w:rPr>
          <w:sz w:val="24"/>
          <w:szCs w:val="24"/>
        </w:rPr>
      </w:pPr>
      <w:r w:rsidRPr="006A0EF9">
        <w:rPr>
          <w:b/>
          <w:sz w:val="24"/>
          <w:szCs w:val="24"/>
        </w:rPr>
        <w:t xml:space="preserve">Figure </w:t>
      </w:r>
      <w:r w:rsidR="00546737">
        <w:rPr>
          <w:b/>
          <w:sz w:val="24"/>
          <w:szCs w:val="24"/>
        </w:rPr>
        <w:t>S</w:t>
      </w:r>
      <w:r w:rsidRPr="006A0EF9">
        <w:rPr>
          <w:b/>
          <w:sz w:val="24"/>
          <w:szCs w:val="24"/>
        </w:rPr>
        <w:t xml:space="preserve">5.  Expansion factor vs. cross-linking.  </w:t>
      </w:r>
      <w:r w:rsidRPr="006A0EF9">
        <w:rPr>
          <w:sz w:val="24"/>
          <w:szCs w:val="24"/>
        </w:rPr>
        <w:t>Linear expansion factor for gels cast without specimens, as a function of the concentration of cross-linker used. Error bars represent standard deviation (n = 4 samples).</w:t>
      </w:r>
    </w:p>
    <w:p w14:paraId="75C8B040" w14:textId="2F1E783E" w:rsidR="006A0EF9" w:rsidRDefault="006A0EF9" w:rsidP="00D73714">
      <w:pPr>
        <w:pStyle w:val="SOMContent"/>
        <w:rPr>
          <w:b/>
        </w:rPr>
      </w:pPr>
      <w:r>
        <w:rPr>
          <w:b/>
        </w:rPr>
        <w:t>Supplementary Tables</w:t>
      </w:r>
    </w:p>
    <w:p w14:paraId="6CF52D08" w14:textId="05758E93" w:rsidR="006A0EF9" w:rsidRPr="006A0EF9" w:rsidRDefault="006A0EF9" w:rsidP="006A0EF9">
      <w:pPr>
        <w:rPr>
          <w:sz w:val="24"/>
          <w:szCs w:val="24"/>
        </w:rPr>
      </w:pPr>
      <w:r w:rsidRPr="006A0EF9">
        <w:rPr>
          <w:b/>
          <w:sz w:val="24"/>
          <w:szCs w:val="24"/>
        </w:rPr>
        <w:t xml:space="preserve">Table </w:t>
      </w:r>
      <w:r w:rsidR="002A5EEE">
        <w:rPr>
          <w:b/>
          <w:sz w:val="24"/>
          <w:szCs w:val="24"/>
        </w:rPr>
        <w:t>S</w:t>
      </w:r>
      <w:r w:rsidRPr="006A0EF9">
        <w:rPr>
          <w:b/>
          <w:sz w:val="24"/>
          <w:szCs w:val="24"/>
        </w:rPr>
        <w:t>1</w:t>
      </w:r>
      <w:r>
        <w:rPr>
          <w:sz w:val="24"/>
          <w:szCs w:val="24"/>
        </w:rPr>
        <w:t>.</w:t>
      </w:r>
      <w:r w:rsidRPr="006A0EF9">
        <w:rPr>
          <w:sz w:val="24"/>
          <w:szCs w:val="24"/>
        </w:rPr>
        <w:t xml:space="preserve"> Fluorescence retention during </w:t>
      </w:r>
      <w:proofErr w:type="spellStart"/>
      <w:r w:rsidRPr="006A0EF9">
        <w:rPr>
          <w:sz w:val="24"/>
          <w:szCs w:val="24"/>
        </w:rPr>
        <w:t>ExM</w:t>
      </w:r>
      <w:proofErr w:type="spellEnd"/>
      <w:r w:rsidRPr="006A0EF9">
        <w:rPr>
          <w:sz w:val="24"/>
          <w:szCs w:val="24"/>
        </w:rPr>
        <w:t xml:space="preserve"> chemical steps.</w:t>
      </w:r>
    </w:p>
    <w:tbl>
      <w:tblPr>
        <w:tblStyle w:val="TableGrid"/>
        <w:tblW w:w="0" w:type="auto"/>
        <w:tblLook w:val="04A0" w:firstRow="1" w:lastRow="0" w:firstColumn="1" w:lastColumn="0" w:noHBand="0" w:noVBand="1"/>
      </w:tblPr>
      <w:tblGrid>
        <w:gridCol w:w="1795"/>
        <w:gridCol w:w="2340"/>
        <w:gridCol w:w="2520"/>
      </w:tblGrid>
      <w:tr w:rsidR="006A0EF9" w:rsidRPr="006A0EF9" w14:paraId="2C0385D1" w14:textId="77777777" w:rsidTr="00C77E20">
        <w:tc>
          <w:tcPr>
            <w:tcW w:w="6655" w:type="dxa"/>
            <w:gridSpan w:val="3"/>
          </w:tcPr>
          <w:p w14:paraId="14CD88BD" w14:textId="77777777" w:rsidR="006A0EF9" w:rsidRPr="006A0EF9" w:rsidRDefault="006A0EF9" w:rsidP="00C77E20">
            <w:pPr>
              <w:jc w:val="center"/>
              <w:rPr>
                <w:rFonts w:ascii="Times New Roman" w:hAnsi="Times New Roman"/>
                <w:b/>
                <w:sz w:val="24"/>
                <w:szCs w:val="24"/>
              </w:rPr>
            </w:pPr>
            <w:r w:rsidRPr="006A0EF9">
              <w:rPr>
                <w:rFonts w:ascii="Times New Roman" w:hAnsi="Times New Roman"/>
                <w:b/>
                <w:sz w:val="24"/>
                <w:szCs w:val="24"/>
              </w:rPr>
              <w:t>Fluorescence Retention After Gelation</w:t>
            </w:r>
          </w:p>
        </w:tc>
      </w:tr>
      <w:tr w:rsidR="006A0EF9" w:rsidRPr="006A0EF9" w14:paraId="3CDB26E0" w14:textId="77777777" w:rsidTr="00C77E20">
        <w:tc>
          <w:tcPr>
            <w:tcW w:w="1795" w:type="dxa"/>
            <w:tcBorders>
              <w:bottom w:val="single" w:sz="4" w:space="0" w:color="auto"/>
            </w:tcBorders>
          </w:tcPr>
          <w:p w14:paraId="1E315D86" w14:textId="77777777" w:rsidR="006A0EF9" w:rsidRPr="006A0EF9" w:rsidRDefault="006A0EF9" w:rsidP="00C77E20">
            <w:pPr>
              <w:rPr>
                <w:rFonts w:ascii="Times New Roman" w:hAnsi="Times New Roman"/>
                <w:sz w:val="24"/>
                <w:szCs w:val="24"/>
              </w:rPr>
            </w:pPr>
          </w:p>
        </w:tc>
        <w:tc>
          <w:tcPr>
            <w:tcW w:w="2340" w:type="dxa"/>
          </w:tcPr>
          <w:p w14:paraId="66DD92CD"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Percent Retention</w:t>
            </w:r>
          </w:p>
        </w:tc>
        <w:tc>
          <w:tcPr>
            <w:tcW w:w="2520" w:type="dxa"/>
            <w:tcBorders>
              <w:bottom w:val="single" w:sz="4" w:space="0" w:color="auto"/>
            </w:tcBorders>
          </w:tcPr>
          <w:p w14:paraId="5D55BA5B"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Standard Deviation (%)</w:t>
            </w:r>
          </w:p>
        </w:tc>
      </w:tr>
      <w:tr w:rsidR="006A0EF9" w:rsidRPr="006A0EF9" w14:paraId="1AF7388D" w14:textId="77777777" w:rsidTr="00C77E20">
        <w:tc>
          <w:tcPr>
            <w:tcW w:w="1795" w:type="dxa"/>
            <w:tcBorders>
              <w:top w:val="single" w:sz="4" w:space="0" w:color="auto"/>
              <w:left w:val="single" w:sz="4" w:space="0" w:color="auto"/>
              <w:bottom w:val="nil"/>
              <w:right w:val="single" w:sz="4" w:space="0" w:color="auto"/>
            </w:tcBorders>
          </w:tcPr>
          <w:p w14:paraId="3E6F35D8"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Alexa 488</w:t>
            </w:r>
          </w:p>
        </w:tc>
        <w:tc>
          <w:tcPr>
            <w:tcW w:w="2340" w:type="dxa"/>
            <w:tcBorders>
              <w:top w:val="nil"/>
              <w:left w:val="single" w:sz="4" w:space="0" w:color="auto"/>
              <w:bottom w:val="nil"/>
              <w:right w:val="single" w:sz="4" w:space="0" w:color="auto"/>
            </w:tcBorders>
            <w:shd w:val="clear" w:color="auto" w:fill="auto"/>
            <w:vAlign w:val="bottom"/>
          </w:tcPr>
          <w:p w14:paraId="4B716A79"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57.2</w:t>
            </w:r>
          </w:p>
        </w:tc>
        <w:tc>
          <w:tcPr>
            <w:tcW w:w="2520" w:type="dxa"/>
            <w:tcBorders>
              <w:top w:val="single" w:sz="4" w:space="0" w:color="auto"/>
              <w:left w:val="single" w:sz="4" w:space="0" w:color="auto"/>
              <w:bottom w:val="nil"/>
              <w:right w:val="single" w:sz="4" w:space="0" w:color="auto"/>
            </w:tcBorders>
            <w:shd w:val="clear" w:color="auto" w:fill="auto"/>
            <w:vAlign w:val="bottom"/>
          </w:tcPr>
          <w:p w14:paraId="590E76FA"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2.9 (n = 2 slices)</w:t>
            </w:r>
          </w:p>
        </w:tc>
      </w:tr>
      <w:tr w:rsidR="006A0EF9" w:rsidRPr="006A0EF9" w14:paraId="04767262" w14:textId="77777777" w:rsidTr="00C77E20">
        <w:tc>
          <w:tcPr>
            <w:tcW w:w="1795" w:type="dxa"/>
            <w:tcBorders>
              <w:top w:val="nil"/>
              <w:left w:val="single" w:sz="4" w:space="0" w:color="auto"/>
              <w:bottom w:val="nil"/>
              <w:right w:val="single" w:sz="4" w:space="0" w:color="auto"/>
            </w:tcBorders>
          </w:tcPr>
          <w:p w14:paraId="194149FF" w14:textId="77777777" w:rsidR="006A0EF9" w:rsidRPr="006A0EF9" w:rsidRDefault="006A0EF9" w:rsidP="00C77E20">
            <w:pPr>
              <w:rPr>
                <w:rFonts w:ascii="Times New Roman" w:hAnsi="Times New Roman"/>
                <w:sz w:val="24"/>
                <w:szCs w:val="24"/>
              </w:rPr>
            </w:pP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565</w:t>
            </w:r>
          </w:p>
        </w:tc>
        <w:tc>
          <w:tcPr>
            <w:tcW w:w="2340" w:type="dxa"/>
            <w:tcBorders>
              <w:top w:val="nil"/>
              <w:left w:val="single" w:sz="4" w:space="0" w:color="auto"/>
              <w:bottom w:val="nil"/>
              <w:right w:val="single" w:sz="4" w:space="0" w:color="auto"/>
            </w:tcBorders>
            <w:shd w:val="clear" w:color="auto" w:fill="auto"/>
            <w:vAlign w:val="bottom"/>
          </w:tcPr>
          <w:p w14:paraId="78C08E21"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76.2</w:t>
            </w:r>
          </w:p>
        </w:tc>
        <w:tc>
          <w:tcPr>
            <w:tcW w:w="2520" w:type="dxa"/>
            <w:tcBorders>
              <w:top w:val="nil"/>
              <w:left w:val="single" w:sz="4" w:space="0" w:color="auto"/>
              <w:bottom w:val="nil"/>
              <w:right w:val="single" w:sz="4" w:space="0" w:color="auto"/>
            </w:tcBorders>
            <w:shd w:val="clear" w:color="auto" w:fill="auto"/>
            <w:vAlign w:val="bottom"/>
          </w:tcPr>
          <w:p w14:paraId="0E1987AB"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0.5 (n = 2 slices)</w:t>
            </w:r>
          </w:p>
        </w:tc>
      </w:tr>
      <w:tr w:rsidR="006A0EF9" w:rsidRPr="006A0EF9" w14:paraId="32853206" w14:textId="77777777" w:rsidTr="00C77E20">
        <w:tc>
          <w:tcPr>
            <w:tcW w:w="1795" w:type="dxa"/>
            <w:tcBorders>
              <w:top w:val="nil"/>
              <w:left w:val="single" w:sz="4" w:space="0" w:color="auto"/>
              <w:bottom w:val="single" w:sz="4" w:space="0" w:color="auto"/>
              <w:right w:val="single" w:sz="4" w:space="0" w:color="auto"/>
            </w:tcBorders>
          </w:tcPr>
          <w:p w14:paraId="4F0EC31C" w14:textId="77777777" w:rsidR="006A0EF9" w:rsidRPr="006A0EF9" w:rsidRDefault="006A0EF9" w:rsidP="00C77E20">
            <w:pPr>
              <w:rPr>
                <w:rFonts w:ascii="Times New Roman" w:hAnsi="Times New Roman"/>
                <w:sz w:val="24"/>
                <w:szCs w:val="24"/>
              </w:rPr>
            </w:pP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647N</w:t>
            </w:r>
          </w:p>
        </w:tc>
        <w:tc>
          <w:tcPr>
            <w:tcW w:w="2340" w:type="dxa"/>
            <w:tcBorders>
              <w:top w:val="nil"/>
              <w:left w:val="single" w:sz="4" w:space="0" w:color="auto"/>
              <w:bottom w:val="single" w:sz="4" w:space="0" w:color="auto"/>
              <w:right w:val="single" w:sz="4" w:space="0" w:color="auto"/>
            </w:tcBorders>
            <w:shd w:val="clear" w:color="auto" w:fill="auto"/>
            <w:vAlign w:val="bottom"/>
          </w:tcPr>
          <w:p w14:paraId="045FFB24"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58.5</w:t>
            </w:r>
          </w:p>
        </w:tc>
        <w:tc>
          <w:tcPr>
            <w:tcW w:w="2520" w:type="dxa"/>
            <w:tcBorders>
              <w:top w:val="nil"/>
              <w:left w:val="single" w:sz="4" w:space="0" w:color="auto"/>
              <w:bottom w:val="single" w:sz="4" w:space="0" w:color="auto"/>
              <w:right w:val="single" w:sz="4" w:space="0" w:color="auto"/>
            </w:tcBorders>
            <w:shd w:val="clear" w:color="auto" w:fill="auto"/>
            <w:vAlign w:val="bottom"/>
          </w:tcPr>
          <w:p w14:paraId="7132521E"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2.8 (n = 2 slices)</w:t>
            </w:r>
          </w:p>
        </w:tc>
      </w:tr>
      <w:tr w:rsidR="006A0EF9" w:rsidRPr="006A0EF9" w14:paraId="47249DD6" w14:textId="77777777" w:rsidTr="00C77E20">
        <w:tc>
          <w:tcPr>
            <w:tcW w:w="6655" w:type="dxa"/>
            <w:gridSpan w:val="3"/>
            <w:tcBorders>
              <w:top w:val="single" w:sz="4" w:space="0" w:color="auto"/>
              <w:left w:val="single" w:sz="4" w:space="0" w:color="auto"/>
              <w:bottom w:val="single" w:sz="4" w:space="0" w:color="auto"/>
              <w:right w:val="single" w:sz="4" w:space="0" w:color="auto"/>
            </w:tcBorders>
          </w:tcPr>
          <w:p w14:paraId="3ADCE406" w14:textId="77777777" w:rsidR="006A0EF9" w:rsidRPr="006A0EF9" w:rsidRDefault="006A0EF9" w:rsidP="00C77E20">
            <w:pPr>
              <w:jc w:val="center"/>
              <w:rPr>
                <w:rFonts w:ascii="Times New Roman" w:hAnsi="Times New Roman"/>
                <w:b/>
                <w:color w:val="000000"/>
                <w:sz w:val="24"/>
                <w:szCs w:val="24"/>
              </w:rPr>
            </w:pPr>
            <w:r w:rsidRPr="006A0EF9">
              <w:rPr>
                <w:rFonts w:ascii="Times New Roman" w:hAnsi="Times New Roman"/>
                <w:b/>
                <w:color w:val="000000"/>
                <w:sz w:val="24"/>
                <w:szCs w:val="24"/>
              </w:rPr>
              <w:t>Covalent Anchoring Efficiency During Gelation</w:t>
            </w:r>
          </w:p>
        </w:tc>
      </w:tr>
      <w:tr w:rsidR="006A0EF9" w:rsidRPr="006A0EF9" w14:paraId="4C2D5F1E" w14:textId="77777777" w:rsidTr="00C77E20">
        <w:tc>
          <w:tcPr>
            <w:tcW w:w="1795" w:type="dxa"/>
            <w:tcBorders>
              <w:top w:val="single" w:sz="4" w:space="0" w:color="auto"/>
              <w:left w:val="single" w:sz="4" w:space="0" w:color="auto"/>
              <w:bottom w:val="single" w:sz="4" w:space="0" w:color="auto"/>
              <w:right w:val="single" w:sz="4" w:space="0" w:color="auto"/>
            </w:tcBorders>
          </w:tcPr>
          <w:p w14:paraId="62C7E48B" w14:textId="77777777" w:rsidR="006A0EF9" w:rsidRPr="006A0EF9" w:rsidRDefault="006A0EF9" w:rsidP="00C77E20">
            <w:pPr>
              <w:rPr>
                <w:rFonts w:ascii="Times New Roman" w:hAnsi="Times New Roman"/>
                <w:sz w:val="24"/>
                <w:szCs w:val="24"/>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2997A57A"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Percentage Anchored</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14:paraId="39B41243"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Standard Deviation (%)</w:t>
            </w:r>
          </w:p>
        </w:tc>
      </w:tr>
      <w:tr w:rsidR="006A0EF9" w:rsidRPr="006A0EF9" w14:paraId="1136AB16" w14:textId="77777777" w:rsidTr="00C77E20">
        <w:tc>
          <w:tcPr>
            <w:tcW w:w="1795" w:type="dxa"/>
            <w:tcBorders>
              <w:top w:val="single" w:sz="4" w:space="0" w:color="auto"/>
              <w:left w:val="single" w:sz="4" w:space="0" w:color="auto"/>
              <w:bottom w:val="single" w:sz="4" w:space="0" w:color="auto"/>
              <w:right w:val="single" w:sz="4" w:space="0" w:color="auto"/>
            </w:tcBorders>
          </w:tcPr>
          <w:p w14:paraId="03A6E662"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 xml:space="preserve">Acrydite DNA </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14:paraId="34E0E0F8"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87.2</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14:paraId="322359BE" w14:textId="77777777" w:rsidR="006A0EF9" w:rsidRPr="006A0EF9" w:rsidRDefault="006A0EF9" w:rsidP="00C77E20">
            <w:pPr>
              <w:jc w:val="right"/>
              <w:rPr>
                <w:rFonts w:ascii="Times New Roman" w:hAnsi="Times New Roman"/>
                <w:color w:val="000000"/>
                <w:sz w:val="24"/>
                <w:szCs w:val="24"/>
              </w:rPr>
            </w:pPr>
            <w:r w:rsidRPr="006A0EF9">
              <w:rPr>
                <w:rFonts w:ascii="Times New Roman" w:hAnsi="Times New Roman"/>
                <w:color w:val="000000"/>
                <w:sz w:val="24"/>
                <w:szCs w:val="24"/>
              </w:rPr>
              <w:t>1.1 (n = 4 gels)</w:t>
            </w:r>
          </w:p>
        </w:tc>
      </w:tr>
    </w:tbl>
    <w:p w14:paraId="794E3565" w14:textId="77777777" w:rsidR="006A0EF9" w:rsidRPr="006A0EF9" w:rsidRDefault="006A0EF9" w:rsidP="006A0EF9">
      <w:pPr>
        <w:spacing w:line="256" w:lineRule="auto"/>
        <w:rPr>
          <w:sz w:val="24"/>
          <w:szCs w:val="24"/>
        </w:rPr>
      </w:pPr>
    </w:p>
    <w:p w14:paraId="48634BB1" w14:textId="210C761F" w:rsidR="006A0EF9" w:rsidRPr="006A0EF9" w:rsidRDefault="006A0EF9" w:rsidP="006A0EF9">
      <w:pPr>
        <w:spacing w:line="256" w:lineRule="auto"/>
        <w:rPr>
          <w:sz w:val="24"/>
          <w:szCs w:val="24"/>
        </w:rPr>
      </w:pPr>
      <w:r w:rsidRPr="006A0EF9">
        <w:rPr>
          <w:b/>
          <w:sz w:val="24"/>
          <w:szCs w:val="24"/>
        </w:rPr>
        <w:t xml:space="preserve">Table </w:t>
      </w:r>
      <w:r w:rsidR="002A5EEE">
        <w:rPr>
          <w:b/>
          <w:sz w:val="24"/>
          <w:szCs w:val="24"/>
        </w:rPr>
        <w:t>S</w:t>
      </w:r>
      <w:r w:rsidRPr="006A0EF9">
        <w:rPr>
          <w:b/>
          <w:sz w:val="24"/>
          <w:szCs w:val="24"/>
        </w:rPr>
        <w:t>2</w:t>
      </w:r>
      <w:r>
        <w:rPr>
          <w:b/>
          <w:sz w:val="24"/>
          <w:szCs w:val="24"/>
        </w:rPr>
        <w:t>.</w:t>
      </w:r>
      <w:r w:rsidRPr="006A0EF9">
        <w:rPr>
          <w:sz w:val="24"/>
          <w:szCs w:val="24"/>
        </w:rPr>
        <w:t xml:space="preserve"> Chemicals list and suppliers.</w:t>
      </w:r>
    </w:p>
    <w:tbl>
      <w:tblPr>
        <w:tblStyle w:val="TableGrid"/>
        <w:tblW w:w="9175" w:type="dxa"/>
        <w:tblLook w:val="04A0" w:firstRow="1" w:lastRow="0" w:firstColumn="1" w:lastColumn="0" w:noHBand="0" w:noVBand="1"/>
      </w:tblPr>
      <w:tblGrid>
        <w:gridCol w:w="1925"/>
        <w:gridCol w:w="3090"/>
        <w:gridCol w:w="2049"/>
        <w:gridCol w:w="2111"/>
      </w:tblGrid>
      <w:tr w:rsidR="006A0EF9" w:rsidRPr="006A0EF9" w14:paraId="105B313B" w14:textId="77777777" w:rsidTr="00C77E20">
        <w:tc>
          <w:tcPr>
            <w:tcW w:w="1925" w:type="dxa"/>
            <w:tcBorders>
              <w:top w:val="single" w:sz="4" w:space="0" w:color="auto"/>
              <w:left w:val="single" w:sz="4" w:space="0" w:color="auto"/>
              <w:bottom w:val="single" w:sz="4" w:space="0" w:color="auto"/>
              <w:right w:val="single" w:sz="4" w:space="0" w:color="auto"/>
            </w:tcBorders>
          </w:tcPr>
          <w:p w14:paraId="245BA3A3"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6AA171FD"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t>Chemical Name</w:t>
            </w:r>
          </w:p>
        </w:tc>
        <w:tc>
          <w:tcPr>
            <w:tcW w:w="2049" w:type="dxa"/>
            <w:tcBorders>
              <w:top w:val="single" w:sz="4" w:space="0" w:color="auto"/>
              <w:left w:val="single" w:sz="4" w:space="0" w:color="auto"/>
              <w:bottom w:val="single" w:sz="4" w:space="0" w:color="auto"/>
              <w:right w:val="single" w:sz="4" w:space="0" w:color="auto"/>
            </w:tcBorders>
            <w:hideMark/>
          </w:tcPr>
          <w:p w14:paraId="4E9EE594"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t>Supplier</w:t>
            </w:r>
          </w:p>
        </w:tc>
        <w:tc>
          <w:tcPr>
            <w:tcW w:w="2111" w:type="dxa"/>
            <w:tcBorders>
              <w:top w:val="single" w:sz="4" w:space="0" w:color="auto"/>
              <w:left w:val="single" w:sz="4" w:space="0" w:color="auto"/>
              <w:bottom w:val="single" w:sz="4" w:space="0" w:color="auto"/>
              <w:right w:val="single" w:sz="4" w:space="0" w:color="auto"/>
            </w:tcBorders>
            <w:hideMark/>
          </w:tcPr>
          <w:p w14:paraId="40DA4378"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t>Part Number</w:t>
            </w:r>
          </w:p>
        </w:tc>
      </w:tr>
      <w:tr w:rsidR="006A0EF9" w:rsidRPr="006A0EF9" w14:paraId="726855C7" w14:textId="77777777" w:rsidTr="00C77E20">
        <w:tc>
          <w:tcPr>
            <w:tcW w:w="1925" w:type="dxa"/>
            <w:vMerge w:val="restart"/>
            <w:tcBorders>
              <w:top w:val="single" w:sz="4" w:space="0" w:color="auto"/>
              <w:left w:val="single" w:sz="4" w:space="0" w:color="auto"/>
              <w:bottom w:val="single" w:sz="4" w:space="0" w:color="auto"/>
              <w:right w:val="single" w:sz="4" w:space="0" w:color="auto"/>
            </w:tcBorders>
            <w:hideMark/>
          </w:tcPr>
          <w:p w14:paraId="157C67B9" w14:textId="77777777" w:rsidR="006A0EF9" w:rsidRPr="006A0EF9" w:rsidRDefault="006A0EF9" w:rsidP="00C77E20">
            <w:pPr>
              <w:keepNext/>
              <w:keepLines/>
              <w:spacing w:before="200"/>
              <w:outlineLvl w:val="6"/>
              <w:rPr>
                <w:rFonts w:ascii="Times New Roman" w:hAnsi="Times New Roman"/>
                <w:sz w:val="24"/>
                <w:szCs w:val="24"/>
              </w:rPr>
            </w:pPr>
            <w:proofErr w:type="spellStart"/>
            <w:r w:rsidRPr="006A0EF9">
              <w:rPr>
                <w:rFonts w:ascii="Times New Roman" w:hAnsi="Times New Roman"/>
                <w:sz w:val="24"/>
                <w:szCs w:val="24"/>
              </w:rPr>
              <w:t>ExM</w:t>
            </w:r>
            <w:proofErr w:type="spellEnd"/>
            <w:r w:rsidRPr="006A0EF9">
              <w:rPr>
                <w:rFonts w:ascii="Times New Roman" w:hAnsi="Times New Roman"/>
                <w:sz w:val="24"/>
                <w:szCs w:val="24"/>
              </w:rPr>
              <w:t xml:space="preserve"> Gel or Preparation</w:t>
            </w:r>
          </w:p>
        </w:tc>
        <w:tc>
          <w:tcPr>
            <w:tcW w:w="3090" w:type="dxa"/>
            <w:tcBorders>
              <w:top w:val="single" w:sz="4" w:space="0" w:color="auto"/>
              <w:left w:val="single" w:sz="4" w:space="0" w:color="auto"/>
              <w:bottom w:val="single" w:sz="4" w:space="0" w:color="auto"/>
              <w:right w:val="single" w:sz="4" w:space="0" w:color="auto"/>
            </w:tcBorders>
            <w:hideMark/>
          </w:tcPr>
          <w:p w14:paraId="60A3DC07"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Sodium Acrylate</w:t>
            </w:r>
          </w:p>
        </w:tc>
        <w:tc>
          <w:tcPr>
            <w:tcW w:w="2049" w:type="dxa"/>
            <w:tcBorders>
              <w:top w:val="single" w:sz="4" w:space="0" w:color="auto"/>
              <w:left w:val="single" w:sz="4" w:space="0" w:color="auto"/>
              <w:bottom w:val="single" w:sz="4" w:space="0" w:color="auto"/>
              <w:right w:val="single" w:sz="4" w:space="0" w:color="auto"/>
            </w:tcBorders>
            <w:hideMark/>
          </w:tcPr>
          <w:p w14:paraId="093CDEC0"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7F3A15EE"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408220</w:t>
            </w:r>
          </w:p>
        </w:tc>
      </w:tr>
      <w:tr w:rsidR="006A0EF9" w:rsidRPr="006A0EF9" w14:paraId="358220C6"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27AF991F"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16920E6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Acrylamide</w:t>
            </w:r>
          </w:p>
        </w:tc>
        <w:tc>
          <w:tcPr>
            <w:tcW w:w="2049" w:type="dxa"/>
            <w:tcBorders>
              <w:top w:val="single" w:sz="4" w:space="0" w:color="auto"/>
              <w:left w:val="single" w:sz="4" w:space="0" w:color="auto"/>
              <w:bottom w:val="single" w:sz="4" w:space="0" w:color="auto"/>
              <w:right w:val="single" w:sz="4" w:space="0" w:color="auto"/>
            </w:tcBorders>
            <w:hideMark/>
          </w:tcPr>
          <w:p w14:paraId="7C3F84F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2BDC179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A9099</w:t>
            </w:r>
          </w:p>
        </w:tc>
      </w:tr>
      <w:tr w:rsidR="006A0EF9" w:rsidRPr="006A0EF9" w14:paraId="10BB630D"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5C301DC0"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3CF2361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N,N′-</w:t>
            </w:r>
            <w:proofErr w:type="spellStart"/>
            <w:r w:rsidRPr="006A0EF9">
              <w:rPr>
                <w:rFonts w:ascii="Times New Roman" w:hAnsi="Times New Roman"/>
                <w:sz w:val="24"/>
                <w:szCs w:val="24"/>
              </w:rPr>
              <w:t>Methylenebisacrylamide</w:t>
            </w:r>
            <w:proofErr w:type="spellEnd"/>
          </w:p>
        </w:tc>
        <w:tc>
          <w:tcPr>
            <w:tcW w:w="2049" w:type="dxa"/>
            <w:tcBorders>
              <w:top w:val="single" w:sz="4" w:space="0" w:color="auto"/>
              <w:left w:val="single" w:sz="4" w:space="0" w:color="auto"/>
              <w:bottom w:val="single" w:sz="4" w:space="0" w:color="auto"/>
              <w:right w:val="single" w:sz="4" w:space="0" w:color="auto"/>
            </w:tcBorders>
            <w:hideMark/>
          </w:tcPr>
          <w:p w14:paraId="33116340"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3D195AC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M7279</w:t>
            </w:r>
          </w:p>
        </w:tc>
      </w:tr>
      <w:tr w:rsidR="006A0EF9" w:rsidRPr="006A0EF9" w14:paraId="77F5FAA6"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7FD3A164"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74E377F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Ammonium </w:t>
            </w:r>
            <w:proofErr w:type="spellStart"/>
            <w:r w:rsidRPr="006A0EF9">
              <w:rPr>
                <w:rFonts w:ascii="Times New Roman" w:hAnsi="Times New Roman"/>
                <w:sz w:val="24"/>
                <w:szCs w:val="24"/>
              </w:rPr>
              <w:t>Persulfate</w:t>
            </w:r>
            <w:proofErr w:type="spellEnd"/>
          </w:p>
        </w:tc>
        <w:tc>
          <w:tcPr>
            <w:tcW w:w="2049" w:type="dxa"/>
            <w:tcBorders>
              <w:top w:val="single" w:sz="4" w:space="0" w:color="auto"/>
              <w:left w:val="single" w:sz="4" w:space="0" w:color="auto"/>
              <w:bottom w:val="single" w:sz="4" w:space="0" w:color="auto"/>
              <w:right w:val="single" w:sz="4" w:space="0" w:color="auto"/>
            </w:tcBorders>
            <w:hideMark/>
          </w:tcPr>
          <w:p w14:paraId="557DCAF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55DF70C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A3678</w:t>
            </w:r>
          </w:p>
        </w:tc>
      </w:tr>
      <w:tr w:rsidR="006A0EF9" w:rsidRPr="006A0EF9" w14:paraId="2CCE837B"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329D9E47"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63CDD9E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N,N,N′,N′-</w:t>
            </w:r>
            <w:proofErr w:type="spellStart"/>
            <w:r w:rsidRPr="006A0EF9">
              <w:rPr>
                <w:rFonts w:ascii="Times New Roman" w:hAnsi="Times New Roman"/>
                <w:sz w:val="24"/>
                <w:szCs w:val="24"/>
              </w:rPr>
              <w:t>Tetramethylethylenediamine</w:t>
            </w:r>
            <w:proofErr w:type="spellEnd"/>
          </w:p>
        </w:tc>
        <w:tc>
          <w:tcPr>
            <w:tcW w:w="2049" w:type="dxa"/>
            <w:tcBorders>
              <w:top w:val="single" w:sz="4" w:space="0" w:color="auto"/>
              <w:left w:val="single" w:sz="4" w:space="0" w:color="auto"/>
              <w:bottom w:val="single" w:sz="4" w:space="0" w:color="auto"/>
              <w:right w:val="single" w:sz="4" w:space="0" w:color="auto"/>
            </w:tcBorders>
            <w:hideMark/>
          </w:tcPr>
          <w:p w14:paraId="6B2CE05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33A71B4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T7024</w:t>
            </w:r>
          </w:p>
        </w:tc>
      </w:tr>
      <w:tr w:rsidR="006A0EF9" w:rsidRPr="006A0EF9" w14:paraId="15232E80"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0996D5DC"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7A971A08"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4-Hydroxy-TEMPO</w:t>
            </w:r>
          </w:p>
        </w:tc>
        <w:tc>
          <w:tcPr>
            <w:tcW w:w="2049" w:type="dxa"/>
            <w:tcBorders>
              <w:top w:val="single" w:sz="4" w:space="0" w:color="auto"/>
              <w:left w:val="single" w:sz="4" w:space="0" w:color="auto"/>
              <w:bottom w:val="single" w:sz="4" w:space="0" w:color="auto"/>
              <w:right w:val="single" w:sz="4" w:space="0" w:color="auto"/>
            </w:tcBorders>
            <w:hideMark/>
          </w:tcPr>
          <w:p w14:paraId="11CE9F3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3EBDDF10"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176141</w:t>
            </w:r>
          </w:p>
        </w:tc>
      </w:tr>
      <w:tr w:rsidR="006A0EF9" w:rsidRPr="006A0EF9" w14:paraId="78737812" w14:textId="77777777" w:rsidTr="00C77E20">
        <w:tc>
          <w:tcPr>
            <w:tcW w:w="1925" w:type="dxa"/>
            <w:vMerge w:val="restart"/>
            <w:tcBorders>
              <w:top w:val="single" w:sz="4" w:space="0" w:color="auto"/>
              <w:left w:val="single" w:sz="4" w:space="0" w:color="auto"/>
              <w:bottom w:val="single" w:sz="4" w:space="0" w:color="auto"/>
              <w:right w:val="single" w:sz="4" w:space="0" w:color="auto"/>
            </w:tcBorders>
            <w:hideMark/>
          </w:tcPr>
          <w:p w14:paraId="01BB952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Fluorescent Dyes</w:t>
            </w:r>
          </w:p>
        </w:tc>
        <w:tc>
          <w:tcPr>
            <w:tcW w:w="3090" w:type="dxa"/>
            <w:tcBorders>
              <w:top w:val="single" w:sz="4" w:space="0" w:color="auto"/>
              <w:left w:val="single" w:sz="4" w:space="0" w:color="auto"/>
              <w:bottom w:val="single" w:sz="4" w:space="0" w:color="auto"/>
              <w:right w:val="single" w:sz="4" w:space="0" w:color="auto"/>
            </w:tcBorders>
            <w:hideMark/>
          </w:tcPr>
          <w:p w14:paraId="1454E86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Alexa 488 NHS ester</w:t>
            </w:r>
          </w:p>
        </w:tc>
        <w:tc>
          <w:tcPr>
            <w:tcW w:w="2049" w:type="dxa"/>
            <w:tcBorders>
              <w:top w:val="single" w:sz="4" w:space="0" w:color="auto"/>
              <w:left w:val="single" w:sz="4" w:space="0" w:color="auto"/>
              <w:bottom w:val="single" w:sz="4" w:space="0" w:color="auto"/>
              <w:right w:val="single" w:sz="4" w:space="0" w:color="auto"/>
            </w:tcBorders>
            <w:hideMark/>
          </w:tcPr>
          <w:p w14:paraId="1864BA5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Life Technologies</w:t>
            </w:r>
          </w:p>
        </w:tc>
        <w:tc>
          <w:tcPr>
            <w:tcW w:w="2111" w:type="dxa"/>
            <w:tcBorders>
              <w:top w:val="single" w:sz="4" w:space="0" w:color="auto"/>
              <w:left w:val="single" w:sz="4" w:space="0" w:color="auto"/>
              <w:bottom w:val="single" w:sz="4" w:space="0" w:color="auto"/>
              <w:right w:val="single" w:sz="4" w:space="0" w:color="auto"/>
            </w:tcBorders>
            <w:hideMark/>
          </w:tcPr>
          <w:p w14:paraId="6B4CB2C7"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A-20000</w:t>
            </w:r>
          </w:p>
        </w:tc>
      </w:tr>
      <w:tr w:rsidR="006A0EF9" w:rsidRPr="006A0EF9" w14:paraId="62799B7C"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00D24D71"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1EF1A81E" w14:textId="77777777" w:rsidR="006A0EF9" w:rsidRPr="006A0EF9" w:rsidRDefault="006A0EF9" w:rsidP="00C77E20">
            <w:pPr>
              <w:keepNext/>
              <w:keepLines/>
              <w:spacing w:before="200"/>
              <w:outlineLvl w:val="6"/>
              <w:rPr>
                <w:rFonts w:ascii="Times New Roman" w:hAnsi="Times New Roman"/>
                <w:sz w:val="24"/>
                <w:szCs w:val="24"/>
              </w:rPr>
            </w:pP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565 NHS Ester</w:t>
            </w:r>
          </w:p>
        </w:tc>
        <w:tc>
          <w:tcPr>
            <w:tcW w:w="2049" w:type="dxa"/>
            <w:tcBorders>
              <w:top w:val="single" w:sz="4" w:space="0" w:color="auto"/>
              <w:left w:val="single" w:sz="4" w:space="0" w:color="auto"/>
              <w:bottom w:val="single" w:sz="4" w:space="0" w:color="auto"/>
              <w:right w:val="single" w:sz="4" w:space="0" w:color="auto"/>
            </w:tcBorders>
            <w:hideMark/>
          </w:tcPr>
          <w:p w14:paraId="37CB45FD"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0C48DE0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72464</w:t>
            </w:r>
          </w:p>
        </w:tc>
      </w:tr>
      <w:tr w:rsidR="006A0EF9" w:rsidRPr="006A0EF9" w14:paraId="74CE774D"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6E4EDD0E"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62834956" w14:textId="77777777" w:rsidR="006A0EF9" w:rsidRPr="006A0EF9" w:rsidRDefault="006A0EF9" w:rsidP="00C77E20">
            <w:pPr>
              <w:keepNext/>
              <w:keepLines/>
              <w:spacing w:before="200"/>
              <w:outlineLvl w:val="6"/>
              <w:rPr>
                <w:rFonts w:ascii="Times New Roman" w:hAnsi="Times New Roman"/>
                <w:sz w:val="24"/>
                <w:szCs w:val="24"/>
              </w:rPr>
            </w:pP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647N NHS Ester</w:t>
            </w:r>
          </w:p>
        </w:tc>
        <w:tc>
          <w:tcPr>
            <w:tcW w:w="2049" w:type="dxa"/>
            <w:tcBorders>
              <w:top w:val="single" w:sz="4" w:space="0" w:color="auto"/>
              <w:left w:val="single" w:sz="4" w:space="0" w:color="auto"/>
              <w:bottom w:val="single" w:sz="4" w:space="0" w:color="auto"/>
              <w:right w:val="single" w:sz="4" w:space="0" w:color="auto"/>
            </w:tcBorders>
            <w:hideMark/>
          </w:tcPr>
          <w:p w14:paraId="61A14DC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04315D2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18373</w:t>
            </w:r>
          </w:p>
        </w:tc>
      </w:tr>
      <w:tr w:rsidR="006A0EF9" w:rsidRPr="006A0EF9" w14:paraId="449C7422" w14:textId="77777777" w:rsidTr="00C77E20">
        <w:tc>
          <w:tcPr>
            <w:tcW w:w="1925" w:type="dxa"/>
            <w:vMerge w:val="restart"/>
            <w:tcBorders>
              <w:top w:val="single" w:sz="4" w:space="0" w:color="auto"/>
              <w:left w:val="single" w:sz="4" w:space="0" w:color="auto"/>
              <w:bottom w:val="single" w:sz="4" w:space="0" w:color="auto"/>
              <w:right w:val="single" w:sz="4" w:space="0" w:color="auto"/>
            </w:tcBorders>
            <w:hideMark/>
          </w:tcPr>
          <w:p w14:paraId="2FC3CDA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Hybridization Buffer</w:t>
            </w:r>
          </w:p>
        </w:tc>
        <w:tc>
          <w:tcPr>
            <w:tcW w:w="3090" w:type="dxa"/>
            <w:tcBorders>
              <w:top w:val="single" w:sz="4" w:space="0" w:color="auto"/>
              <w:left w:val="single" w:sz="4" w:space="0" w:color="auto"/>
              <w:bottom w:val="single" w:sz="4" w:space="0" w:color="auto"/>
              <w:right w:val="single" w:sz="4" w:space="0" w:color="auto"/>
            </w:tcBorders>
            <w:hideMark/>
          </w:tcPr>
          <w:p w14:paraId="05B4F26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Dextran Sulfate</w:t>
            </w:r>
          </w:p>
        </w:tc>
        <w:tc>
          <w:tcPr>
            <w:tcW w:w="2049" w:type="dxa"/>
            <w:tcBorders>
              <w:top w:val="single" w:sz="4" w:space="0" w:color="auto"/>
              <w:left w:val="single" w:sz="4" w:space="0" w:color="auto"/>
              <w:bottom w:val="single" w:sz="4" w:space="0" w:color="auto"/>
              <w:right w:val="single" w:sz="4" w:space="0" w:color="auto"/>
            </w:tcBorders>
            <w:hideMark/>
          </w:tcPr>
          <w:p w14:paraId="09C453D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Millipore</w:t>
            </w:r>
          </w:p>
        </w:tc>
        <w:tc>
          <w:tcPr>
            <w:tcW w:w="2111" w:type="dxa"/>
            <w:tcBorders>
              <w:top w:val="single" w:sz="4" w:space="0" w:color="auto"/>
              <w:left w:val="single" w:sz="4" w:space="0" w:color="auto"/>
              <w:bottom w:val="single" w:sz="4" w:space="0" w:color="auto"/>
              <w:right w:val="single" w:sz="4" w:space="0" w:color="auto"/>
            </w:tcBorders>
            <w:hideMark/>
          </w:tcPr>
          <w:p w14:paraId="4BD1A46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S4030</w:t>
            </w:r>
          </w:p>
        </w:tc>
      </w:tr>
      <w:tr w:rsidR="006A0EF9" w:rsidRPr="006A0EF9" w14:paraId="717C955E"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41201418"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06AFAB1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SSC</w:t>
            </w:r>
          </w:p>
        </w:tc>
        <w:tc>
          <w:tcPr>
            <w:tcW w:w="2049" w:type="dxa"/>
            <w:tcBorders>
              <w:top w:val="single" w:sz="4" w:space="0" w:color="auto"/>
              <w:left w:val="single" w:sz="4" w:space="0" w:color="auto"/>
              <w:bottom w:val="single" w:sz="4" w:space="0" w:color="auto"/>
              <w:right w:val="single" w:sz="4" w:space="0" w:color="auto"/>
            </w:tcBorders>
            <w:hideMark/>
          </w:tcPr>
          <w:p w14:paraId="1C43916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Life Tech.</w:t>
            </w:r>
          </w:p>
        </w:tc>
        <w:tc>
          <w:tcPr>
            <w:tcW w:w="2111" w:type="dxa"/>
            <w:tcBorders>
              <w:top w:val="single" w:sz="4" w:space="0" w:color="auto"/>
              <w:left w:val="single" w:sz="4" w:space="0" w:color="auto"/>
              <w:bottom w:val="single" w:sz="4" w:space="0" w:color="auto"/>
              <w:right w:val="single" w:sz="4" w:space="0" w:color="auto"/>
            </w:tcBorders>
            <w:hideMark/>
          </w:tcPr>
          <w:p w14:paraId="672E2CE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15557</w:t>
            </w:r>
          </w:p>
        </w:tc>
      </w:tr>
      <w:tr w:rsidR="006A0EF9" w:rsidRPr="006A0EF9" w14:paraId="245F85B3"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537B2AFD"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372CFED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Yeast tRNA</w:t>
            </w:r>
          </w:p>
        </w:tc>
        <w:tc>
          <w:tcPr>
            <w:tcW w:w="2049" w:type="dxa"/>
            <w:tcBorders>
              <w:top w:val="single" w:sz="4" w:space="0" w:color="auto"/>
              <w:left w:val="single" w:sz="4" w:space="0" w:color="auto"/>
              <w:bottom w:val="single" w:sz="4" w:space="0" w:color="auto"/>
              <w:right w:val="single" w:sz="4" w:space="0" w:color="auto"/>
            </w:tcBorders>
            <w:hideMark/>
          </w:tcPr>
          <w:p w14:paraId="5439F45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Roche</w:t>
            </w:r>
          </w:p>
        </w:tc>
        <w:tc>
          <w:tcPr>
            <w:tcW w:w="2111" w:type="dxa"/>
            <w:tcBorders>
              <w:top w:val="single" w:sz="4" w:space="0" w:color="auto"/>
              <w:left w:val="single" w:sz="4" w:space="0" w:color="auto"/>
              <w:bottom w:val="single" w:sz="4" w:space="0" w:color="auto"/>
              <w:right w:val="single" w:sz="4" w:space="0" w:color="auto"/>
            </w:tcBorders>
            <w:hideMark/>
          </w:tcPr>
          <w:p w14:paraId="4E5EC2A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10109495001</w:t>
            </w:r>
          </w:p>
        </w:tc>
      </w:tr>
      <w:tr w:rsidR="006A0EF9" w:rsidRPr="006A0EF9" w14:paraId="791FA08D"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7F98DA7F" w14:textId="77777777" w:rsidR="006A0EF9" w:rsidRPr="006A0EF9" w:rsidRDefault="006A0EF9" w:rsidP="00C77E20">
            <w:pPr>
              <w:rPr>
                <w:rFonts w:ascii="Times New Roman" w:hAnsi="Times New Roman"/>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26033C5D"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Normal Donkey Serum</w:t>
            </w:r>
          </w:p>
        </w:tc>
        <w:tc>
          <w:tcPr>
            <w:tcW w:w="2049" w:type="dxa"/>
            <w:tcBorders>
              <w:top w:val="single" w:sz="4" w:space="0" w:color="auto"/>
              <w:left w:val="single" w:sz="4" w:space="0" w:color="auto"/>
              <w:bottom w:val="single" w:sz="4" w:space="0" w:color="auto"/>
              <w:right w:val="single" w:sz="4" w:space="0" w:color="auto"/>
            </w:tcBorders>
            <w:hideMark/>
          </w:tcPr>
          <w:p w14:paraId="652F89E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Jackson </w:t>
            </w:r>
            <w:proofErr w:type="spellStart"/>
            <w:r w:rsidRPr="006A0EF9">
              <w:rPr>
                <w:rFonts w:ascii="Times New Roman" w:hAnsi="Times New Roman"/>
                <w:sz w:val="24"/>
                <w:szCs w:val="24"/>
              </w:rPr>
              <w:t>Immunoresearch</w:t>
            </w:r>
            <w:proofErr w:type="spellEnd"/>
          </w:p>
        </w:tc>
        <w:tc>
          <w:tcPr>
            <w:tcW w:w="2111" w:type="dxa"/>
            <w:tcBorders>
              <w:top w:val="single" w:sz="4" w:space="0" w:color="auto"/>
              <w:left w:val="single" w:sz="4" w:space="0" w:color="auto"/>
              <w:bottom w:val="single" w:sz="4" w:space="0" w:color="auto"/>
              <w:right w:val="single" w:sz="4" w:space="0" w:color="auto"/>
            </w:tcBorders>
            <w:hideMark/>
          </w:tcPr>
          <w:p w14:paraId="6BCB80F8"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017-000-001</w:t>
            </w:r>
          </w:p>
        </w:tc>
      </w:tr>
      <w:tr w:rsidR="006A0EF9" w:rsidRPr="006A0EF9" w14:paraId="12639B1A" w14:textId="77777777" w:rsidTr="00C77E20">
        <w:tc>
          <w:tcPr>
            <w:tcW w:w="1925" w:type="dxa"/>
            <w:vMerge w:val="restart"/>
            <w:tcBorders>
              <w:top w:val="single" w:sz="4" w:space="0" w:color="auto"/>
              <w:left w:val="single" w:sz="4" w:space="0" w:color="auto"/>
              <w:bottom w:val="single" w:sz="4" w:space="0" w:color="auto"/>
              <w:right w:val="single" w:sz="4" w:space="0" w:color="auto"/>
            </w:tcBorders>
            <w:hideMark/>
          </w:tcPr>
          <w:p w14:paraId="4D5F482B" w14:textId="77777777" w:rsidR="006A0EF9" w:rsidRPr="006A0EF9" w:rsidRDefault="006A0EF9" w:rsidP="00C77E20">
            <w:pPr>
              <w:keepNext/>
              <w:keepLines/>
              <w:spacing w:before="200"/>
              <w:outlineLvl w:val="6"/>
              <w:rPr>
                <w:rFonts w:ascii="Times New Roman" w:hAnsi="Times New Roman"/>
                <w:color w:val="FF0000"/>
                <w:sz w:val="24"/>
                <w:szCs w:val="24"/>
              </w:rPr>
            </w:pPr>
            <w:r w:rsidRPr="006A0EF9">
              <w:rPr>
                <w:rFonts w:ascii="Times New Roman" w:hAnsi="Times New Roman"/>
                <w:sz w:val="24"/>
                <w:szCs w:val="24"/>
              </w:rPr>
              <w:t xml:space="preserve">Fixation and </w:t>
            </w:r>
            <w:proofErr w:type="spellStart"/>
            <w:r w:rsidRPr="006A0EF9">
              <w:rPr>
                <w:rFonts w:ascii="Times New Roman" w:hAnsi="Times New Roman"/>
                <w:sz w:val="24"/>
                <w:szCs w:val="24"/>
              </w:rPr>
              <w:t>Permeabilization</w:t>
            </w:r>
            <w:proofErr w:type="spellEnd"/>
          </w:p>
        </w:tc>
        <w:tc>
          <w:tcPr>
            <w:tcW w:w="3090" w:type="dxa"/>
            <w:tcBorders>
              <w:top w:val="single" w:sz="4" w:space="0" w:color="auto"/>
              <w:left w:val="single" w:sz="4" w:space="0" w:color="auto"/>
              <w:bottom w:val="single" w:sz="4" w:space="0" w:color="auto"/>
              <w:right w:val="single" w:sz="4" w:space="0" w:color="auto"/>
            </w:tcBorders>
            <w:hideMark/>
          </w:tcPr>
          <w:p w14:paraId="5B6078B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Paraformaldehyde</w:t>
            </w:r>
          </w:p>
        </w:tc>
        <w:tc>
          <w:tcPr>
            <w:tcW w:w="2049" w:type="dxa"/>
            <w:tcBorders>
              <w:top w:val="single" w:sz="4" w:space="0" w:color="auto"/>
              <w:left w:val="single" w:sz="4" w:space="0" w:color="auto"/>
              <w:bottom w:val="single" w:sz="4" w:space="0" w:color="auto"/>
              <w:right w:val="single" w:sz="4" w:space="0" w:color="auto"/>
            </w:tcBorders>
            <w:hideMark/>
          </w:tcPr>
          <w:p w14:paraId="1F037E7D"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Electron Microscopy Sciences</w:t>
            </w:r>
          </w:p>
        </w:tc>
        <w:tc>
          <w:tcPr>
            <w:tcW w:w="2111" w:type="dxa"/>
            <w:tcBorders>
              <w:top w:val="single" w:sz="4" w:space="0" w:color="auto"/>
              <w:left w:val="single" w:sz="4" w:space="0" w:color="auto"/>
              <w:bottom w:val="single" w:sz="4" w:space="0" w:color="auto"/>
              <w:right w:val="single" w:sz="4" w:space="0" w:color="auto"/>
            </w:tcBorders>
            <w:hideMark/>
          </w:tcPr>
          <w:p w14:paraId="641846DE"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15710</w:t>
            </w:r>
          </w:p>
        </w:tc>
      </w:tr>
      <w:tr w:rsidR="006A0EF9" w:rsidRPr="006A0EF9" w14:paraId="5E8BC77B"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1241EFDE"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069BCCB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Glutaraldehyde</w:t>
            </w:r>
          </w:p>
        </w:tc>
        <w:tc>
          <w:tcPr>
            <w:tcW w:w="2049" w:type="dxa"/>
            <w:tcBorders>
              <w:top w:val="single" w:sz="4" w:space="0" w:color="auto"/>
              <w:left w:val="single" w:sz="4" w:space="0" w:color="auto"/>
              <w:bottom w:val="single" w:sz="4" w:space="0" w:color="auto"/>
              <w:right w:val="single" w:sz="4" w:space="0" w:color="auto"/>
            </w:tcBorders>
            <w:hideMark/>
          </w:tcPr>
          <w:p w14:paraId="2208B99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Electron Microscopy Sciences</w:t>
            </w:r>
          </w:p>
        </w:tc>
        <w:tc>
          <w:tcPr>
            <w:tcW w:w="2111" w:type="dxa"/>
            <w:tcBorders>
              <w:top w:val="single" w:sz="4" w:space="0" w:color="auto"/>
              <w:left w:val="single" w:sz="4" w:space="0" w:color="auto"/>
              <w:bottom w:val="single" w:sz="4" w:space="0" w:color="auto"/>
              <w:right w:val="single" w:sz="4" w:space="0" w:color="auto"/>
            </w:tcBorders>
            <w:hideMark/>
          </w:tcPr>
          <w:p w14:paraId="43C458B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16020</w:t>
            </w:r>
          </w:p>
        </w:tc>
      </w:tr>
      <w:tr w:rsidR="006A0EF9" w:rsidRPr="006A0EF9" w14:paraId="07275D4F"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3370AE93"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04E5FEA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Triton X-100</w:t>
            </w:r>
          </w:p>
        </w:tc>
        <w:tc>
          <w:tcPr>
            <w:tcW w:w="2049" w:type="dxa"/>
            <w:tcBorders>
              <w:top w:val="single" w:sz="4" w:space="0" w:color="auto"/>
              <w:left w:val="single" w:sz="4" w:space="0" w:color="auto"/>
              <w:bottom w:val="single" w:sz="4" w:space="0" w:color="auto"/>
              <w:right w:val="single" w:sz="4" w:space="0" w:color="auto"/>
            </w:tcBorders>
            <w:hideMark/>
          </w:tcPr>
          <w:p w14:paraId="0667A19E"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50AFE66A"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93426</w:t>
            </w:r>
          </w:p>
        </w:tc>
      </w:tr>
      <w:tr w:rsidR="006A0EF9" w:rsidRPr="006A0EF9" w14:paraId="05E344BC"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0C33494A"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268F4818"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Glycine</w:t>
            </w:r>
          </w:p>
        </w:tc>
        <w:tc>
          <w:tcPr>
            <w:tcW w:w="2049" w:type="dxa"/>
            <w:tcBorders>
              <w:top w:val="single" w:sz="4" w:space="0" w:color="auto"/>
              <w:left w:val="single" w:sz="4" w:space="0" w:color="auto"/>
              <w:bottom w:val="single" w:sz="4" w:space="0" w:color="auto"/>
              <w:right w:val="single" w:sz="4" w:space="0" w:color="auto"/>
            </w:tcBorders>
            <w:hideMark/>
          </w:tcPr>
          <w:p w14:paraId="61CD7AA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22E6A8B7"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50046</w:t>
            </w:r>
          </w:p>
        </w:tc>
      </w:tr>
      <w:tr w:rsidR="006A0EF9" w:rsidRPr="006A0EF9" w14:paraId="0730A4CA"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7AD08203"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2C18A34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PBS</w:t>
            </w:r>
          </w:p>
        </w:tc>
        <w:tc>
          <w:tcPr>
            <w:tcW w:w="2049" w:type="dxa"/>
            <w:tcBorders>
              <w:top w:val="single" w:sz="4" w:space="0" w:color="auto"/>
              <w:left w:val="single" w:sz="4" w:space="0" w:color="auto"/>
              <w:bottom w:val="single" w:sz="4" w:space="0" w:color="auto"/>
              <w:right w:val="single" w:sz="4" w:space="0" w:color="auto"/>
            </w:tcBorders>
            <w:hideMark/>
          </w:tcPr>
          <w:p w14:paraId="483BB95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Life Technologies</w:t>
            </w:r>
          </w:p>
        </w:tc>
        <w:tc>
          <w:tcPr>
            <w:tcW w:w="2111" w:type="dxa"/>
            <w:tcBorders>
              <w:top w:val="single" w:sz="4" w:space="0" w:color="auto"/>
              <w:left w:val="single" w:sz="4" w:space="0" w:color="auto"/>
              <w:bottom w:val="single" w:sz="4" w:space="0" w:color="auto"/>
              <w:right w:val="single" w:sz="4" w:space="0" w:color="auto"/>
            </w:tcBorders>
            <w:hideMark/>
          </w:tcPr>
          <w:p w14:paraId="36416E4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70011-044</w:t>
            </w:r>
          </w:p>
        </w:tc>
      </w:tr>
      <w:tr w:rsidR="006A0EF9" w:rsidRPr="006A0EF9" w14:paraId="488FD67F" w14:textId="77777777" w:rsidTr="00C77E20">
        <w:tc>
          <w:tcPr>
            <w:tcW w:w="1925" w:type="dxa"/>
            <w:vMerge w:val="restart"/>
            <w:tcBorders>
              <w:top w:val="single" w:sz="4" w:space="0" w:color="auto"/>
              <w:left w:val="single" w:sz="4" w:space="0" w:color="auto"/>
              <w:bottom w:val="single" w:sz="4" w:space="0" w:color="auto"/>
              <w:right w:val="single" w:sz="4" w:space="0" w:color="auto"/>
            </w:tcBorders>
            <w:hideMark/>
          </w:tcPr>
          <w:p w14:paraId="702E8AAF" w14:textId="77777777" w:rsidR="006A0EF9" w:rsidRPr="006A0EF9" w:rsidRDefault="006A0EF9" w:rsidP="00C77E20">
            <w:pPr>
              <w:keepNext/>
              <w:keepLines/>
              <w:spacing w:before="200"/>
              <w:outlineLvl w:val="6"/>
              <w:rPr>
                <w:rFonts w:ascii="Times New Roman" w:hAnsi="Times New Roman"/>
                <w:color w:val="FF0000"/>
                <w:sz w:val="24"/>
                <w:szCs w:val="24"/>
              </w:rPr>
            </w:pPr>
            <w:r w:rsidRPr="006A0EF9">
              <w:rPr>
                <w:rFonts w:ascii="Times New Roman" w:hAnsi="Times New Roman"/>
                <w:sz w:val="24"/>
                <w:szCs w:val="24"/>
              </w:rPr>
              <w:t>Protein Digestion</w:t>
            </w:r>
          </w:p>
        </w:tc>
        <w:tc>
          <w:tcPr>
            <w:tcW w:w="3090" w:type="dxa"/>
            <w:tcBorders>
              <w:top w:val="single" w:sz="4" w:space="0" w:color="auto"/>
              <w:left w:val="single" w:sz="4" w:space="0" w:color="auto"/>
              <w:bottom w:val="single" w:sz="4" w:space="0" w:color="auto"/>
              <w:right w:val="single" w:sz="4" w:space="0" w:color="auto"/>
            </w:tcBorders>
            <w:hideMark/>
          </w:tcPr>
          <w:p w14:paraId="448B4958"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Proteinase K</w:t>
            </w:r>
          </w:p>
        </w:tc>
        <w:tc>
          <w:tcPr>
            <w:tcW w:w="2049" w:type="dxa"/>
            <w:tcBorders>
              <w:top w:val="single" w:sz="4" w:space="0" w:color="auto"/>
              <w:left w:val="single" w:sz="4" w:space="0" w:color="auto"/>
              <w:bottom w:val="single" w:sz="4" w:space="0" w:color="auto"/>
              <w:right w:val="single" w:sz="4" w:space="0" w:color="auto"/>
            </w:tcBorders>
            <w:hideMark/>
          </w:tcPr>
          <w:p w14:paraId="2E8992D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New England </w:t>
            </w:r>
            <w:proofErr w:type="spellStart"/>
            <w:r w:rsidRPr="006A0EF9">
              <w:rPr>
                <w:rFonts w:ascii="Times New Roman" w:hAnsi="Times New Roman"/>
                <w:sz w:val="24"/>
                <w:szCs w:val="24"/>
              </w:rPr>
              <w:t>Biolabs</w:t>
            </w:r>
            <w:proofErr w:type="spellEnd"/>
          </w:p>
        </w:tc>
        <w:tc>
          <w:tcPr>
            <w:tcW w:w="2111" w:type="dxa"/>
            <w:tcBorders>
              <w:top w:val="single" w:sz="4" w:space="0" w:color="auto"/>
              <w:left w:val="single" w:sz="4" w:space="0" w:color="auto"/>
              <w:bottom w:val="single" w:sz="4" w:space="0" w:color="auto"/>
              <w:right w:val="single" w:sz="4" w:space="0" w:color="auto"/>
            </w:tcBorders>
            <w:hideMark/>
          </w:tcPr>
          <w:p w14:paraId="6ED3A5E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P8107S</w:t>
            </w:r>
          </w:p>
        </w:tc>
      </w:tr>
      <w:tr w:rsidR="006A0EF9" w:rsidRPr="006A0EF9" w14:paraId="08BA169B"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5124A8AB"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06677C7F" w14:textId="77777777" w:rsidR="006A0EF9" w:rsidRPr="006A0EF9" w:rsidRDefault="006A0EF9" w:rsidP="00C77E20">
            <w:pPr>
              <w:keepNext/>
              <w:keepLines/>
              <w:spacing w:before="200"/>
              <w:outlineLvl w:val="6"/>
              <w:rPr>
                <w:rFonts w:ascii="Times New Roman" w:hAnsi="Times New Roman"/>
                <w:sz w:val="24"/>
                <w:szCs w:val="24"/>
              </w:rPr>
            </w:pPr>
            <w:proofErr w:type="spellStart"/>
            <w:r w:rsidRPr="006A0EF9">
              <w:rPr>
                <w:rFonts w:ascii="Times New Roman" w:hAnsi="Times New Roman"/>
                <w:sz w:val="24"/>
                <w:szCs w:val="24"/>
              </w:rPr>
              <w:t>Ethylenediaminetetraacetic</w:t>
            </w:r>
            <w:proofErr w:type="spellEnd"/>
            <w:r w:rsidRPr="006A0EF9">
              <w:rPr>
                <w:rFonts w:ascii="Times New Roman" w:hAnsi="Times New Roman"/>
                <w:sz w:val="24"/>
                <w:szCs w:val="24"/>
              </w:rPr>
              <w:t xml:space="preserve"> acid</w:t>
            </w:r>
          </w:p>
        </w:tc>
        <w:tc>
          <w:tcPr>
            <w:tcW w:w="2049" w:type="dxa"/>
            <w:tcBorders>
              <w:top w:val="single" w:sz="4" w:space="0" w:color="auto"/>
              <w:left w:val="single" w:sz="4" w:space="0" w:color="auto"/>
              <w:bottom w:val="single" w:sz="4" w:space="0" w:color="auto"/>
              <w:right w:val="single" w:sz="4" w:space="0" w:color="auto"/>
            </w:tcBorders>
            <w:hideMark/>
          </w:tcPr>
          <w:p w14:paraId="4B1FB57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1A82030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EDS</w:t>
            </w:r>
          </w:p>
        </w:tc>
      </w:tr>
      <w:tr w:rsidR="006A0EF9" w:rsidRPr="006A0EF9" w14:paraId="50D388E5"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6601F898"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74AAD99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Guanidine </w:t>
            </w:r>
            <w:proofErr w:type="spellStart"/>
            <w:r w:rsidRPr="006A0EF9">
              <w:rPr>
                <w:rFonts w:ascii="Times New Roman" w:hAnsi="Times New Roman"/>
                <w:sz w:val="24"/>
                <w:szCs w:val="24"/>
              </w:rPr>
              <w:t>HCl</w:t>
            </w:r>
            <w:proofErr w:type="spellEnd"/>
          </w:p>
        </w:tc>
        <w:tc>
          <w:tcPr>
            <w:tcW w:w="2049" w:type="dxa"/>
            <w:tcBorders>
              <w:top w:val="single" w:sz="4" w:space="0" w:color="auto"/>
              <w:left w:val="single" w:sz="4" w:space="0" w:color="auto"/>
              <w:bottom w:val="single" w:sz="4" w:space="0" w:color="auto"/>
              <w:right w:val="single" w:sz="4" w:space="0" w:color="auto"/>
            </w:tcBorders>
            <w:hideMark/>
          </w:tcPr>
          <w:p w14:paraId="5969CDFE"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Sigma</w:t>
            </w:r>
          </w:p>
        </w:tc>
        <w:tc>
          <w:tcPr>
            <w:tcW w:w="2111" w:type="dxa"/>
            <w:tcBorders>
              <w:top w:val="single" w:sz="4" w:space="0" w:color="auto"/>
              <w:left w:val="single" w:sz="4" w:space="0" w:color="auto"/>
              <w:bottom w:val="single" w:sz="4" w:space="0" w:color="auto"/>
              <w:right w:val="single" w:sz="4" w:space="0" w:color="auto"/>
            </w:tcBorders>
            <w:hideMark/>
          </w:tcPr>
          <w:p w14:paraId="4B10713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G3272</w:t>
            </w:r>
          </w:p>
        </w:tc>
      </w:tr>
      <w:tr w:rsidR="006A0EF9" w:rsidRPr="006A0EF9" w14:paraId="4E42631D" w14:textId="77777777" w:rsidTr="00C77E20">
        <w:tc>
          <w:tcPr>
            <w:tcW w:w="0" w:type="auto"/>
            <w:vMerge/>
            <w:tcBorders>
              <w:top w:val="single" w:sz="4" w:space="0" w:color="auto"/>
              <w:left w:val="single" w:sz="4" w:space="0" w:color="auto"/>
              <w:bottom w:val="single" w:sz="4" w:space="0" w:color="auto"/>
              <w:right w:val="single" w:sz="4" w:space="0" w:color="auto"/>
            </w:tcBorders>
            <w:vAlign w:val="center"/>
            <w:hideMark/>
          </w:tcPr>
          <w:p w14:paraId="5E378B16" w14:textId="77777777" w:rsidR="006A0EF9" w:rsidRPr="006A0EF9" w:rsidRDefault="006A0EF9" w:rsidP="00C77E20">
            <w:pPr>
              <w:rPr>
                <w:rFonts w:ascii="Times New Roman" w:hAnsi="Times New Roman"/>
                <w:color w:val="FF0000"/>
                <w:sz w:val="24"/>
                <w:szCs w:val="24"/>
              </w:rPr>
            </w:pPr>
          </w:p>
        </w:tc>
        <w:tc>
          <w:tcPr>
            <w:tcW w:w="3090" w:type="dxa"/>
            <w:tcBorders>
              <w:top w:val="single" w:sz="4" w:space="0" w:color="auto"/>
              <w:left w:val="single" w:sz="4" w:space="0" w:color="auto"/>
              <w:bottom w:val="single" w:sz="4" w:space="0" w:color="auto"/>
              <w:right w:val="single" w:sz="4" w:space="0" w:color="auto"/>
            </w:tcBorders>
            <w:hideMark/>
          </w:tcPr>
          <w:p w14:paraId="13DFB94A" w14:textId="77777777" w:rsidR="006A0EF9" w:rsidRPr="006A0EF9" w:rsidRDefault="006A0EF9" w:rsidP="00C77E20">
            <w:pPr>
              <w:keepNext/>
              <w:keepLines/>
              <w:spacing w:before="200"/>
              <w:outlineLvl w:val="6"/>
              <w:rPr>
                <w:rFonts w:ascii="Times New Roman" w:hAnsi="Times New Roman"/>
                <w:sz w:val="24"/>
                <w:szCs w:val="24"/>
              </w:rPr>
            </w:pPr>
            <w:proofErr w:type="spellStart"/>
            <w:r w:rsidRPr="006A0EF9">
              <w:rPr>
                <w:rFonts w:ascii="Times New Roman" w:hAnsi="Times New Roman"/>
                <w:sz w:val="24"/>
                <w:szCs w:val="24"/>
              </w:rPr>
              <w:t>Tris-HCl</w:t>
            </w:r>
            <w:proofErr w:type="spellEnd"/>
          </w:p>
        </w:tc>
        <w:tc>
          <w:tcPr>
            <w:tcW w:w="2049" w:type="dxa"/>
            <w:tcBorders>
              <w:top w:val="single" w:sz="4" w:space="0" w:color="auto"/>
              <w:left w:val="single" w:sz="4" w:space="0" w:color="auto"/>
              <w:bottom w:val="single" w:sz="4" w:space="0" w:color="auto"/>
              <w:right w:val="single" w:sz="4" w:space="0" w:color="auto"/>
            </w:tcBorders>
            <w:hideMark/>
          </w:tcPr>
          <w:p w14:paraId="08D40DC0"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Life Technologies</w:t>
            </w:r>
          </w:p>
        </w:tc>
        <w:tc>
          <w:tcPr>
            <w:tcW w:w="2111" w:type="dxa"/>
            <w:tcBorders>
              <w:top w:val="single" w:sz="4" w:space="0" w:color="auto"/>
              <w:left w:val="single" w:sz="4" w:space="0" w:color="auto"/>
              <w:bottom w:val="single" w:sz="4" w:space="0" w:color="auto"/>
              <w:right w:val="single" w:sz="4" w:space="0" w:color="auto"/>
            </w:tcBorders>
            <w:hideMark/>
          </w:tcPr>
          <w:p w14:paraId="4A20254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AM9855</w:t>
            </w:r>
          </w:p>
        </w:tc>
      </w:tr>
    </w:tbl>
    <w:p w14:paraId="63E13F54" w14:textId="77777777" w:rsidR="006A0EF9" w:rsidRPr="006A0EF9" w:rsidRDefault="006A0EF9" w:rsidP="006A0EF9">
      <w:pPr>
        <w:spacing w:line="256" w:lineRule="auto"/>
        <w:rPr>
          <w:sz w:val="24"/>
          <w:szCs w:val="24"/>
        </w:rPr>
      </w:pPr>
    </w:p>
    <w:p w14:paraId="534753A7" w14:textId="383B0AFB" w:rsidR="006A0EF9" w:rsidRPr="006A0EF9" w:rsidRDefault="006A0EF9" w:rsidP="006A0EF9">
      <w:pPr>
        <w:spacing w:line="256" w:lineRule="auto"/>
        <w:rPr>
          <w:sz w:val="24"/>
          <w:szCs w:val="24"/>
        </w:rPr>
      </w:pPr>
      <w:r w:rsidRPr="006A0EF9">
        <w:rPr>
          <w:b/>
          <w:sz w:val="24"/>
          <w:szCs w:val="24"/>
        </w:rPr>
        <w:t xml:space="preserve">Table </w:t>
      </w:r>
      <w:r w:rsidR="002A5EEE">
        <w:rPr>
          <w:b/>
          <w:sz w:val="24"/>
          <w:szCs w:val="24"/>
        </w:rPr>
        <w:t>S</w:t>
      </w:r>
      <w:r w:rsidRPr="006A0EF9">
        <w:rPr>
          <w:b/>
          <w:sz w:val="24"/>
          <w:szCs w:val="24"/>
        </w:rPr>
        <w:t>3</w:t>
      </w:r>
      <w:r>
        <w:rPr>
          <w:b/>
          <w:sz w:val="24"/>
          <w:szCs w:val="24"/>
        </w:rPr>
        <w:t>.</w:t>
      </w:r>
      <w:r w:rsidRPr="006A0EF9">
        <w:rPr>
          <w:sz w:val="24"/>
          <w:szCs w:val="24"/>
        </w:rPr>
        <w:t xml:space="preserve"> DNA sequences and modifications used for tri-functional labels. </w:t>
      </w:r>
    </w:p>
    <w:p w14:paraId="72611B36" w14:textId="77777777" w:rsidR="006A0EF9" w:rsidRPr="006A0EF9" w:rsidRDefault="006A0EF9" w:rsidP="006A0EF9">
      <w:pPr>
        <w:spacing w:line="256" w:lineRule="auto"/>
        <w:rPr>
          <w:sz w:val="24"/>
          <w:szCs w:val="24"/>
        </w:rPr>
      </w:pPr>
    </w:p>
    <w:p w14:paraId="125DD5E4" w14:textId="6D6DC289" w:rsidR="006A0EF9" w:rsidRPr="006A0EF9" w:rsidRDefault="006A0EF9" w:rsidP="006A0EF9">
      <w:pPr>
        <w:spacing w:line="256" w:lineRule="auto"/>
        <w:rPr>
          <w:sz w:val="24"/>
          <w:szCs w:val="24"/>
        </w:rPr>
      </w:pPr>
      <w:r w:rsidRPr="006A0EF9">
        <w:rPr>
          <w:sz w:val="24"/>
          <w:szCs w:val="24"/>
        </w:rPr>
        <w:t xml:space="preserve">All DNA sequences were ordered from Integrated DNA Technologies, and adapted from </w:t>
      </w:r>
      <w:r w:rsidRPr="006A0EF9">
        <w:rPr>
          <w:sz w:val="24"/>
          <w:szCs w:val="24"/>
        </w:rPr>
        <w:fldChar w:fldCharType="begin" w:fldLock="1"/>
      </w:r>
      <w:r w:rsidR="00A9334F">
        <w:rPr>
          <w:sz w:val="24"/>
          <w:szCs w:val="24"/>
        </w:rPr>
        <w:instrText>ADDIN CSL_CITATION { "citationItems" : [ { "id" : "ITEM-1", "itemData" : { "DOI" : "10.1038/nbt.1692", "ISBN" : "1546-1696 (Electronic)\\r1087-0156 (Linking)", "ISSN" : "1087-0156", "PMID" : "21037591", "abstract" : "In situ hybridization methods enable the mapping of mRNA expression within intact biological samples. With current approaches, it is challenging to simultaneously map multiple target mRNAs within whole-mount vertebrate embryos, representing a significant limitation in attempting to study interacting regulatory elements in systems most relevant to human development and disease. Here, we report a multiplexed fluorescent in situ hybridization method based on orthogonal amplification with hybridization chain reactions (HCR). With this approach, RNA probes complementary to mRNA targets trigger chain reactions in which fluorophore-labeled RNA hairpins self-assemble into tethered fluorescent amplification polymers. The programmability and sequence specificity of these amplification cascades enable multiple HCR amplifiers to operate orthogonally at the same time in the same sample. Robust performance is achieved when imaging five target mRNAs simultaneously in fixed whole-mount and sectioned zebrafish embryos. HCR amplifiers exhibit deep sample penetration, high signal-to-background ratios and sharp signal localization.", "author" : [ { "dropping-particle" : "", "family" : "Choi", "given" : "Harry M T", "non-dropping-particle" : "", "parse-names" : false, "suffix" : "" }, { "dropping-particle" : "", "family" : "Chang", "given" : "Joann Y", "non-dropping-particle" : "", "parse-names" : false, "suffix" : "" }, { "dropping-particle" : "", "family" : "Trinh", "given" : "Le A", "non-dropping-particle" : "", "parse-names" : false, "suffix" : "" }, { "dropping-particle" : "", "family" : "Padilla", "given" : "Jennifer E", "non-dropping-particle" : "", "parse-names" : false, "suffix" : "" }, { "dropping-particle" : "", "family" : "Fraser", "given" : "Scott E", "non-dropping-particle" : "", "parse-names" : false, "suffix" : "" }, { "dropping-particle" : "", "family" : "Pierce", "given" : "Niles A", "non-dropping-particle" : "", "parse-names" : false, "suffix" : "" } ], "container-title" : "Nature biotechnology", "id" : "ITEM-1", "issued" : { "date-parts" : [ [ "2010" ] ] }, "page" : "1208-1212", "title" : "Programmable in situ amplification for multiplexed imaging of mRNA expression.", "type" : "article-journal", "volume" : "28" }, "uris" : [ "http://www.mendeley.com/documents/?uuid=1040f0ad-1688-4dfa-a2ee-c0d8af989bee" ] } ], "mendeley" : { "previouslyFormattedCitation" : "(&lt;i&gt;28&lt;/i&gt;)" }, "properties" : { "noteIndex" : 0 }, "schema" : "https://github.com/citation-style-language/schema/raw/master/csl-citation.json" }</w:instrText>
      </w:r>
      <w:r w:rsidRPr="006A0EF9">
        <w:rPr>
          <w:sz w:val="24"/>
          <w:szCs w:val="24"/>
        </w:rPr>
        <w:fldChar w:fldCharType="separate"/>
      </w:r>
      <w:r w:rsidR="00A9334F" w:rsidRPr="00A9334F">
        <w:rPr>
          <w:noProof/>
          <w:sz w:val="24"/>
          <w:szCs w:val="24"/>
        </w:rPr>
        <w:t>(</w:t>
      </w:r>
      <w:r w:rsidR="00A9334F" w:rsidRPr="00A9334F">
        <w:rPr>
          <w:i/>
          <w:noProof/>
          <w:sz w:val="24"/>
          <w:szCs w:val="24"/>
        </w:rPr>
        <w:t>28</w:t>
      </w:r>
      <w:r w:rsidR="00A9334F" w:rsidRPr="00A9334F">
        <w:rPr>
          <w:noProof/>
          <w:sz w:val="24"/>
          <w:szCs w:val="24"/>
        </w:rPr>
        <w:t>)</w:t>
      </w:r>
      <w:r w:rsidRPr="006A0EF9">
        <w:rPr>
          <w:sz w:val="24"/>
          <w:szCs w:val="24"/>
        </w:rPr>
        <w:fldChar w:fldCharType="end"/>
      </w:r>
      <w:r w:rsidRPr="006A0EF9">
        <w:rPr>
          <w:sz w:val="24"/>
          <w:szCs w:val="24"/>
        </w:rPr>
        <w:t xml:space="preserve">. Each strand for antibody conjugation consists of two 20bp domains separated by two bases of A/T. </w:t>
      </w:r>
    </w:p>
    <w:tbl>
      <w:tblPr>
        <w:tblStyle w:val="TableGrid"/>
        <w:tblW w:w="0" w:type="auto"/>
        <w:tblLook w:val="04A0" w:firstRow="1" w:lastRow="0" w:firstColumn="1" w:lastColumn="0" w:noHBand="0" w:noVBand="1"/>
      </w:tblPr>
      <w:tblGrid>
        <w:gridCol w:w="1227"/>
        <w:gridCol w:w="6531"/>
        <w:gridCol w:w="1630"/>
      </w:tblGrid>
      <w:tr w:rsidR="006A0EF9" w:rsidRPr="006A0EF9" w14:paraId="036A6CF5"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34E33544"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lastRenderedPageBreak/>
              <w:t>Name</w:t>
            </w:r>
          </w:p>
        </w:tc>
        <w:tc>
          <w:tcPr>
            <w:tcW w:w="6531" w:type="dxa"/>
            <w:tcBorders>
              <w:top w:val="single" w:sz="4" w:space="0" w:color="auto"/>
              <w:left w:val="single" w:sz="4" w:space="0" w:color="auto"/>
              <w:bottom w:val="single" w:sz="4" w:space="0" w:color="auto"/>
              <w:right w:val="single" w:sz="4" w:space="0" w:color="auto"/>
            </w:tcBorders>
            <w:hideMark/>
          </w:tcPr>
          <w:p w14:paraId="0B7F3657"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t>Sequence</w:t>
            </w:r>
          </w:p>
        </w:tc>
        <w:tc>
          <w:tcPr>
            <w:tcW w:w="1592" w:type="dxa"/>
            <w:tcBorders>
              <w:top w:val="single" w:sz="4" w:space="0" w:color="auto"/>
              <w:left w:val="single" w:sz="4" w:space="0" w:color="auto"/>
              <w:bottom w:val="single" w:sz="4" w:space="0" w:color="auto"/>
              <w:right w:val="single" w:sz="4" w:space="0" w:color="auto"/>
            </w:tcBorders>
            <w:hideMark/>
          </w:tcPr>
          <w:p w14:paraId="2A5469C5" w14:textId="77777777" w:rsidR="006A0EF9" w:rsidRPr="006A0EF9" w:rsidRDefault="006A0EF9" w:rsidP="00C77E20">
            <w:pPr>
              <w:keepNext/>
              <w:keepLines/>
              <w:spacing w:before="200"/>
              <w:outlineLvl w:val="6"/>
              <w:rPr>
                <w:rFonts w:ascii="Times New Roman" w:hAnsi="Times New Roman"/>
                <w:b/>
                <w:sz w:val="24"/>
                <w:szCs w:val="24"/>
              </w:rPr>
            </w:pPr>
            <w:r w:rsidRPr="006A0EF9">
              <w:rPr>
                <w:rFonts w:ascii="Times New Roman" w:hAnsi="Times New Roman"/>
                <w:b/>
                <w:sz w:val="24"/>
                <w:szCs w:val="24"/>
              </w:rPr>
              <w:t>Modifications</w:t>
            </w:r>
          </w:p>
        </w:tc>
      </w:tr>
      <w:tr w:rsidR="006A0EF9" w:rsidRPr="006A0EF9" w14:paraId="2BE8ED1C"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24E2A3E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Antibody A</w:t>
            </w:r>
          </w:p>
        </w:tc>
        <w:tc>
          <w:tcPr>
            <w:tcW w:w="6531" w:type="dxa"/>
            <w:tcBorders>
              <w:top w:val="single" w:sz="4" w:space="0" w:color="auto"/>
              <w:left w:val="single" w:sz="4" w:space="0" w:color="auto"/>
              <w:bottom w:val="single" w:sz="4" w:space="0" w:color="auto"/>
              <w:right w:val="single" w:sz="4" w:space="0" w:color="auto"/>
            </w:tcBorders>
            <w:hideMark/>
          </w:tcPr>
          <w:p w14:paraId="25B7D2C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CCGAATACAAAGCATCAACG AA GGTGACAGGGATCACAATCT</w:t>
            </w:r>
          </w:p>
        </w:tc>
        <w:tc>
          <w:tcPr>
            <w:tcW w:w="1592" w:type="dxa"/>
            <w:tcBorders>
              <w:top w:val="single" w:sz="4" w:space="0" w:color="auto"/>
              <w:left w:val="single" w:sz="4" w:space="0" w:color="auto"/>
              <w:bottom w:val="single" w:sz="4" w:space="0" w:color="auto"/>
              <w:right w:val="single" w:sz="4" w:space="0" w:color="auto"/>
            </w:tcBorders>
            <w:hideMark/>
          </w:tcPr>
          <w:p w14:paraId="181D022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 Amine</w:t>
            </w:r>
          </w:p>
        </w:tc>
      </w:tr>
      <w:tr w:rsidR="006A0EF9" w:rsidRPr="006A0EF9" w14:paraId="4A52D31C" w14:textId="77777777" w:rsidTr="00C77E20">
        <w:trPr>
          <w:trHeight w:val="242"/>
        </w:trPr>
        <w:tc>
          <w:tcPr>
            <w:tcW w:w="1227" w:type="dxa"/>
            <w:tcBorders>
              <w:top w:val="single" w:sz="4" w:space="0" w:color="auto"/>
              <w:left w:val="single" w:sz="4" w:space="0" w:color="auto"/>
              <w:bottom w:val="single" w:sz="4" w:space="0" w:color="auto"/>
              <w:right w:val="single" w:sz="4" w:space="0" w:color="auto"/>
            </w:tcBorders>
            <w:hideMark/>
          </w:tcPr>
          <w:p w14:paraId="21DD1B9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Antibody B</w:t>
            </w:r>
          </w:p>
        </w:tc>
        <w:tc>
          <w:tcPr>
            <w:tcW w:w="6531" w:type="dxa"/>
            <w:tcBorders>
              <w:top w:val="single" w:sz="4" w:space="0" w:color="auto"/>
              <w:left w:val="single" w:sz="4" w:space="0" w:color="auto"/>
              <w:bottom w:val="single" w:sz="4" w:space="0" w:color="auto"/>
              <w:right w:val="single" w:sz="4" w:space="0" w:color="auto"/>
            </w:tcBorders>
            <w:hideMark/>
          </w:tcPr>
          <w:p w14:paraId="3A77860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TACGCCCTAAGAATCCGAAC TT  GCATTACAGTCCTCATAAGT</w:t>
            </w:r>
          </w:p>
        </w:tc>
        <w:tc>
          <w:tcPr>
            <w:tcW w:w="1592" w:type="dxa"/>
            <w:tcBorders>
              <w:top w:val="single" w:sz="4" w:space="0" w:color="auto"/>
              <w:left w:val="single" w:sz="4" w:space="0" w:color="auto"/>
              <w:bottom w:val="single" w:sz="4" w:space="0" w:color="auto"/>
              <w:right w:val="single" w:sz="4" w:space="0" w:color="auto"/>
            </w:tcBorders>
            <w:hideMark/>
          </w:tcPr>
          <w:p w14:paraId="165EB50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 Amine</w:t>
            </w:r>
          </w:p>
        </w:tc>
      </w:tr>
      <w:tr w:rsidR="006A0EF9" w:rsidRPr="006A0EF9" w14:paraId="6A490757"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6679BAA7"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Antibody C</w:t>
            </w:r>
          </w:p>
        </w:tc>
        <w:tc>
          <w:tcPr>
            <w:tcW w:w="6531" w:type="dxa"/>
            <w:tcBorders>
              <w:top w:val="single" w:sz="4" w:space="0" w:color="auto"/>
              <w:left w:val="single" w:sz="4" w:space="0" w:color="auto"/>
              <w:bottom w:val="single" w:sz="4" w:space="0" w:color="auto"/>
              <w:right w:val="single" w:sz="4" w:space="0" w:color="auto"/>
            </w:tcBorders>
            <w:hideMark/>
          </w:tcPr>
          <w:p w14:paraId="66FA7E9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GACCCTAAGCATACATCGTC TT  GACTACTGATAACTGGATTG</w:t>
            </w:r>
          </w:p>
        </w:tc>
        <w:tc>
          <w:tcPr>
            <w:tcW w:w="1592" w:type="dxa"/>
            <w:tcBorders>
              <w:top w:val="single" w:sz="4" w:space="0" w:color="auto"/>
              <w:left w:val="single" w:sz="4" w:space="0" w:color="auto"/>
              <w:bottom w:val="single" w:sz="4" w:space="0" w:color="auto"/>
              <w:right w:val="single" w:sz="4" w:space="0" w:color="auto"/>
            </w:tcBorders>
            <w:hideMark/>
          </w:tcPr>
          <w:p w14:paraId="32D6821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 Amine</w:t>
            </w:r>
          </w:p>
        </w:tc>
      </w:tr>
    </w:tbl>
    <w:p w14:paraId="0EAB78CA" w14:textId="77777777" w:rsidR="006A0EF9" w:rsidRPr="006A0EF9" w:rsidRDefault="006A0EF9" w:rsidP="006A0EF9">
      <w:pPr>
        <w:spacing w:line="256" w:lineRule="auto"/>
        <w:rPr>
          <w:sz w:val="24"/>
          <w:szCs w:val="24"/>
        </w:rPr>
      </w:pPr>
    </w:p>
    <w:p w14:paraId="63458B3D" w14:textId="77777777" w:rsidR="006A0EF9" w:rsidRPr="006A0EF9" w:rsidRDefault="006A0EF9" w:rsidP="006A0EF9">
      <w:pPr>
        <w:spacing w:line="256" w:lineRule="auto"/>
        <w:rPr>
          <w:sz w:val="24"/>
          <w:szCs w:val="24"/>
        </w:rPr>
      </w:pPr>
      <w:r w:rsidRPr="006A0EF9">
        <w:rPr>
          <w:sz w:val="24"/>
          <w:szCs w:val="24"/>
        </w:rPr>
        <w:t xml:space="preserve">Two complementary tri-functional label domains hybridize to each strand conjugated to an antibody. Each antibody strand corresponds to one color of dye. </w:t>
      </w:r>
    </w:p>
    <w:tbl>
      <w:tblPr>
        <w:tblStyle w:val="TableGrid"/>
        <w:tblW w:w="0" w:type="auto"/>
        <w:tblLook w:val="04A0" w:firstRow="1" w:lastRow="0" w:firstColumn="1" w:lastColumn="0" w:noHBand="0" w:noVBand="1"/>
      </w:tblPr>
      <w:tblGrid>
        <w:gridCol w:w="1227"/>
        <w:gridCol w:w="5158"/>
        <w:gridCol w:w="2965"/>
      </w:tblGrid>
      <w:tr w:rsidR="006A0EF9" w:rsidRPr="006A0EF9" w14:paraId="61CEBD5F"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7DFB834A"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Name</w:t>
            </w:r>
          </w:p>
        </w:tc>
        <w:tc>
          <w:tcPr>
            <w:tcW w:w="5158" w:type="dxa"/>
            <w:tcBorders>
              <w:top w:val="single" w:sz="4" w:space="0" w:color="auto"/>
              <w:left w:val="single" w:sz="4" w:space="0" w:color="auto"/>
              <w:bottom w:val="single" w:sz="4" w:space="0" w:color="auto"/>
              <w:right w:val="single" w:sz="4" w:space="0" w:color="auto"/>
            </w:tcBorders>
            <w:hideMark/>
          </w:tcPr>
          <w:p w14:paraId="34E8AFC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Sequence</w:t>
            </w:r>
          </w:p>
        </w:tc>
        <w:tc>
          <w:tcPr>
            <w:tcW w:w="2965" w:type="dxa"/>
            <w:tcBorders>
              <w:top w:val="single" w:sz="4" w:space="0" w:color="auto"/>
              <w:left w:val="single" w:sz="4" w:space="0" w:color="auto"/>
              <w:bottom w:val="single" w:sz="4" w:space="0" w:color="auto"/>
              <w:right w:val="single" w:sz="4" w:space="0" w:color="auto"/>
            </w:tcBorders>
            <w:hideMark/>
          </w:tcPr>
          <w:p w14:paraId="5DAD70D7"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Modifications</w:t>
            </w:r>
          </w:p>
        </w:tc>
      </w:tr>
      <w:tr w:rsidR="006A0EF9" w:rsidRPr="006A0EF9" w14:paraId="7D15B1D5"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5343DA7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A1</w:t>
            </w:r>
          </w:p>
        </w:tc>
        <w:tc>
          <w:tcPr>
            <w:tcW w:w="5158" w:type="dxa"/>
            <w:tcBorders>
              <w:top w:val="single" w:sz="4" w:space="0" w:color="auto"/>
              <w:left w:val="single" w:sz="4" w:space="0" w:color="auto"/>
              <w:bottom w:val="single" w:sz="4" w:space="0" w:color="auto"/>
              <w:right w:val="single" w:sz="4" w:space="0" w:color="auto"/>
            </w:tcBorders>
            <w:hideMark/>
          </w:tcPr>
          <w:p w14:paraId="6D21428C"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CGTTGATGCTTTGTATTCGG</w:t>
            </w:r>
          </w:p>
        </w:tc>
        <w:tc>
          <w:tcPr>
            <w:tcW w:w="2965" w:type="dxa"/>
            <w:tcBorders>
              <w:top w:val="single" w:sz="4" w:space="0" w:color="auto"/>
              <w:left w:val="single" w:sz="4" w:space="0" w:color="auto"/>
              <w:bottom w:val="single" w:sz="4" w:space="0" w:color="auto"/>
              <w:right w:val="single" w:sz="4" w:space="0" w:color="auto"/>
            </w:tcBorders>
            <w:hideMark/>
          </w:tcPr>
          <w:p w14:paraId="3002F8F6"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 Acrydite 3’ A488</w:t>
            </w:r>
          </w:p>
        </w:tc>
      </w:tr>
      <w:tr w:rsidR="006A0EF9" w:rsidRPr="006A0EF9" w14:paraId="34E3D741" w14:textId="77777777" w:rsidTr="00C77E20">
        <w:trPr>
          <w:trHeight w:val="242"/>
        </w:trPr>
        <w:tc>
          <w:tcPr>
            <w:tcW w:w="1227" w:type="dxa"/>
            <w:tcBorders>
              <w:top w:val="single" w:sz="4" w:space="0" w:color="auto"/>
              <w:left w:val="single" w:sz="4" w:space="0" w:color="auto"/>
              <w:bottom w:val="single" w:sz="4" w:space="0" w:color="auto"/>
              <w:right w:val="single" w:sz="4" w:space="0" w:color="auto"/>
            </w:tcBorders>
            <w:hideMark/>
          </w:tcPr>
          <w:p w14:paraId="4454289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A2</w:t>
            </w:r>
          </w:p>
        </w:tc>
        <w:tc>
          <w:tcPr>
            <w:tcW w:w="5158" w:type="dxa"/>
            <w:tcBorders>
              <w:top w:val="single" w:sz="4" w:space="0" w:color="auto"/>
              <w:left w:val="single" w:sz="4" w:space="0" w:color="auto"/>
              <w:bottom w:val="single" w:sz="4" w:space="0" w:color="auto"/>
              <w:right w:val="single" w:sz="4" w:space="0" w:color="auto"/>
            </w:tcBorders>
            <w:hideMark/>
          </w:tcPr>
          <w:p w14:paraId="6BA7397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AGATTGTGATCCCTGTCACC</w:t>
            </w:r>
          </w:p>
        </w:tc>
        <w:tc>
          <w:tcPr>
            <w:tcW w:w="2965" w:type="dxa"/>
            <w:tcBorders>
              <w:top w:val="single" w:sz="4" w:space="0" w:color="auto"/>
              <w:left w:val="single" w:sz="4" w:space="0" w:color="auto"/>
              <w:bottom w:val="single" w:sz="4" w:space="0" w:color="auto"/>
              <w:right w:val="single" w:sz="4" w:space="0" w:color="auto"/>
            </w:tcBorders>
            <w:hideMark/>
          </w:tcPr>
          <w:p w14:paraId="09559FE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5’ Acrydite 3’ A488</w:t>
            </w:r>
          </w:p>
        </w:tc>
      </w:tr>
      <w:tr w:rsidR="006A0EF9" w:rsidRPr="006A0EF9" w14:paraId="292F1B0E" w14:textId="77777777" w:rsidTr="00C77E20">
        <w:trPr>
          <w:trHeight w:val="242"/>
        </w:trPr>
        <w:tc>
          <w:tcPr>
            <w:tcW w:w="1227" w:type="dxa"/>
            <w:tcBorders>
              <w:top w:val="single" w:sz="4" w:space="0" w:color="auto"/>
              <w:left w:val="single" w:sz="4" w:space="0" w:color="auto"/>
              <w:bottom w:val="single" w:sz="4" w:space="0" w:color="auto"/>
              <w:right w:val="single" w:sz="4" w:space="0" w:color="auto"/>
            </w:tcBorders>
            <w:hideMark/>
          </w:tcPr>
          <w:p w14:paraId="23C5A1E5"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B1</w:t>
            </w:r>
          </w:p>
        </w:tc>
        <w:tc>
          <w:tcPr>
            <w:tcW w:w="5158" w:type="dxa"/>
            <w:tcBorders>
              <w:top w:val="single" w:sz="4" w:space="0" w:color="auto"/>
              <w:left w:val="single" w:sz="4" w:space="0" w:color="auto"/>
              <w:bottom w:val="single" w:sz="4" w:space="0" w:color="auto"/>
              <w:right w:val="single" w:sz="4" w:space="0" w:color="auto"/>
            </w:tcBorders>
            <w:hideMark/>
          </w:tcPr>
          <w:p w14:paraId="6FE09A64"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GTTCGGATTCTTAGGGCGTA T</w:t>
            </w:r>
          </w:p>
        </w:tc>
        <w:tc>
          <w:tcPr>
            <w:tcW w:w="2965" w:type="dxa"/>
            <w:tcBorders>
              <w:top w:val="single" w:sz="4" w:space="0" w:color="auto"/>
              <w:left w:val="single" w:sz="4" w:space="0" w:color="auto"/>
              <w:bottom w:val="single" w:sz="4" w:space="0" w:color="auto"/>
              <w:right w:val="single" w:sz="4" w:space="0" w:color="auto"/>
            </w:tcBorders>
            <w:hideMark/>
          </w:tcPr>
          <w:p w14:paraId="168FE41E"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5’ </w:t>
            </w:r>
            <w:proofErr w:type="spellStart"/>
            <w:r w:rsidRPr="006A0EF9">
              <w:rPr>
                <w:rFonts w:ascii="Times New Roman" w:hAnsi="Times New Roman"/>
                <w:sz w:val="24"/>
                <w:szCs w:val="24"/>
              </w:rPr>
              <w:t>Acrydite</w:t>
            </w:r>
            <w:proofErr w:type="spellEnd"/>
            <w:r w:rsidRPr="006A0EF9">
              <w:rPr>
                <w:rFonts w:ascii="Times New Roman" w:hAnsi="Times New Roman"/>
                <w:sz w:val="24"/>
                <w:szCs w:val="24"/>
              </w:rPr>
              <w:t xml:space="preserve"> 3’ </w:t>
            </w: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565</w:t>
            </w:r>
          </w:p>
        </w:tc>
      </w:tr>
      <w:tr w:rsidR="006A0EF9" w:rsidRPr="006A0EF9" w14:paraId="4CB154EA" w14:textId="77777777" w:rsidTr="00C77E20">
        <w:trPr>
          <w:trHeight w:val="242"/>
        </w:trPr>
        <w:tc>
          <w:tcPr>
            <w:tcW w:w="1227" w:type="dxa"/>
            <w:tcBorders>
              <w:top w:val="single" w:sz="4" w:space="0" w:color="auto"/>
              <w:left w:val="single" w:sz="4" w:space="0" w:color="auto"/>
              <w:bottom w:val="single" w:sz="4" w:space="0" w:color="auto"/>
              <w:right w:val="single" w:sz="4" w:space="0" w:color="auto"/>
            </w:tcBorders>
            <w:hideMark/>
          </w:tcPr>
          <w:p w14:paraId="0F2DBED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B2</w:t>
            </w:r>
          </w:p>
        </w:tc>
        <w:tc>
          <w:tcPr>
            <w:tcW w:w="5158" w:type="dxa"/>
            <w:tcBorders>
              <w:top w:val="single" w:sz="4" w:space="0" w:color="auto"/>
              <w:left w:val="single" w:sz="4" w:space="0" w:color="auto"/>
              <w:bottom w:val="single" w:sz="4" w:space="0" w:color="auto"/>
              <w:right w:val="single" w:sz="4" w:space="0" w:color="auto"/>
            </w:tcBorders>
            <w:hideMark/>
          </w:tcPr>
          <w:p w14:paraId="68FF9812"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ACTTATGAGGACTGTAATGC T</w:t>
            </w:r>
          </w:p>
        </w:tc>
        <w:tc>
          <w:tcPr>
            <w:tcW w:w="2965" w:type="dxa"/>
            <w:tcBorders>
              <w:top w:val="single" w:sz="4" w:space="0" w:color="auto"/>
              <w:left w:val="single" w:sz="4" w:space="0" w:color="auto"/>
              <w:bottom w:val="single" w:sz="4" w:space="0" w:color="auto"/>
              <w:right w:val="single" w:sz="4" w:space="0" w:color="auto"/>
            </w:tcBorders>
            <w:hideMark/>
          </w:tcPr>
          <w:p w14:paraId="3079D371"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5’ </w:t>
            </w:r>
            <w:proofErr w:type="spellStart"/>
            <w:r w:rsidRPr="006A0EF9">
              <w:rPr>
                <w:rFonts w:ascii="Times New Roman" w:hAnsi="Times New Roman"/>
                <w:sz w:val="24"/>
                <w:szCs w:val="24"/>
              </w:rPr>
              <w:t>Acrydite</w:t>
            </w:r>
            <w:proofErr w:type="spellEnd"/>
            <w:r w:rsidRPr="006A0EF9">
              <w:rPr>
                <w:rFonts w:ascii="Times New Roman" w:hAnsi="Times New Roman"/>
                <w:sz w:val="24"/>
                <w:szCs w:val="24"/>
              </w:rPr>
              <w:t xml:space="preserve"> 3’ </w:t>
            </w: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565</w:t>
            </w:r>
          </w:p>
        </w:tc>
      </w:tr>
      <w:tr w:rsidR="006A0EF9" w:rsidRPr="006A0EF9" w14:paraId="1D868701" w14:textId="77777777" w:rsidTr="00C77E20">
        <w:trPr>
          <w:trHeight w:val="242"/>
        </w:trPr>
        <w:tc>
          <w:tcPr>
            <w:tcW w:w="1227" w:type="dxa"/>
            <w:tcBorders>
              <w:top w:val="single" w:sz="4" w:space="0" w:color="auto"/>
              <w:left w:val="single" w:sz="4" w:space="0" w:color="auto"/>
              <w:bottom w:val="single" w:sz="4" w:space="0" w:color="auto"/>
              <w:right w:val="single" w:sz="4" w:space="0" w:color="auto"/>
            </w:tcBorders>
            <w:hideMark/>
          </w:tcPr>
          <w:p w14:paraId="4A137E0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C1</w:t>
            </w:r>
          </w:p>
        </w:tc>
        <w:tc>
          <w:tcPr>
            <w:tcW w:w="5158" w:type="dxa"/>
            <w:tcBorders>
              <w:top w:val="single" w:sz="4" w:space="0" w:color="auto"/>
              <w:left w:val="single" w:sz="4" w:space="0" w:color="auto"/>
              <w:bottom w:val="single" w:sz="4" w:space="0" w:color="auto"/>
              <w:right w:val="single" w:sz="4" w:space="0" w:color="auto"/>
            </w:tcBorders>
            <w:hideMark/>
          </w:tcPr>
          <w:p w14:paraId="68D7D240"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GACGATGTATGCTTAGGGTC T</w:t>
            </w:r>
          </w:p>
        </w:tc>
        <w:tc>
          <w:tcPr>
            <w:tcW w:w="2965" w:type="dxa"/>
            <w:tcBorders>
              <w:top w:val="single" w:sz="4" w:space="0" w:color="auto"/>
              <w:left w:val="single" w:sz="4" w:space="0" w:color="auto"/>
              <w:bottom w:val="single" w:sz="4" w:space="0" w:color="auto"/>
              <w:right w:val="single" w:sz="4" w:space="0" w:color="auto"/>
            </w:tcBorders>
            <w:hideMark/>
          </w:tcPr>
          <w:p w14:paraId="3AA9C20F"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5’ </w:t>
            </w:r>
            <w:proofErr w:type="spellStart"/>
            <w:r w:rsidRPr="006A0EF9">
              <w:rPr>
                <w:rFonts w:ascii="Times New Roman" w:hAnsi="Times New Roman"/>
                <w:sz w:val="24"/>
                <w:szCs w:val="24"/>
              </w:rPr>
              <w:t>Acrydite</w:t>
            </w:r>
            <w:proofErr w:type="spellEnd"/>
            <w:r w:rsidRPr="006A0EF9">
              <w:rPr>
                <w:rFonts w:ascii="Times New Roman" w:hAnsi="Times New Roman"/>
                <w:sz w:val="24"/>
                <w:szCs w:val="24"/>
              </w:rPr>
              <w:t xml:space="preserve"> 3’ </w:t>
            </w: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647N</w:t>
            </w:r>
          </w:p>
        </w:tc>
      </w:tr>
      <w:tr w:rsidR="006A0EF9" w:rsidRPr="006A0EF9" w14:paraId="1FAB5B99" w14:textId="77777777" w:rsidTr="00C77E20">
        <w:tc>
          <w:tcPr>
            <w:tcW w:w="1227" w:type="dxa"/>
            <w:tcBorders>
              <w:top w:val="single" w:sz="4" w:space="0" w:color="auto"/>
              <w:left w:val="single" w:sz="4" w:space="0" w:color="auto"/>
              <w:bottom w:val="single" w:sz="4" w:space="0" w:color="auto"/>
              <w:right w:val="single" w:sz="4" w:space="0" w:color="auto"/>
            </w:tcBorders>
            <w:hideMark/>
          </w:tcPr>
          <w:p w14:paraId="4CF5E4C3"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C2</w:t>
            </w:r>
          </w:p>
        </w:tc>
        <w:tc>
          <w:tcPr>
            <w:tcW w:w="5158" w:type="dxa"/>
            <w:tcBorders>
              <w:top w:val="single" w:sz="4" w:space="0" w:color="auto"/>
              <w:left w:val="single" w:sz="4" w:space="0" w:color="auto"/>
              <w:bottom w:val="single" w:sz="4" w:space="0" w:color="auto"/>
              <w:right w:val="single" w:sz="4" w:space="0" w:color="auto"/>
            </w:tcBorders>
            <w:hideMark/>
          </w:tcPr>
          <w:p w14:paraId="1055FDE9"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CAATCCAGTTATCAGTAGTC T</w:t>
            </w:r>
          </w:p>
        </w:tc>
        <w:tc>
          <w:tcPr>
            <w:tcW w:w="2965" w:type="dxa"/>
            <w:tcBorders>
              <w:top w:val="single" w:sz="4" w:space="0" w:color="auto"/>
              <w:left w:val="single" w:sz="4" w:space="0" w:color="auto"/>
              <w:bottom w:val="single" w:sz="4" w:space="0" w:color="auto"/>
              <w:right w:val="single" w:sz="4" w:space="0" w:color="auto"/>
            </w:tcBorders>
            <w:hideMark/>
          </w:tcPr>
          <w:p w14:paraId="4DFA8ACB" w14:textId="77777777" w:rsidR="006A0EF9" w:rsidRPr="006A0EF9" w:rsidRDefault="006A0EF9" w:rsidP="00C77E20">
            <w:pPr>
              <w:keepNext/>
              <w:keepLines/>
              <w:spacing w:before="200"/>
              <w:outlineLvl w:val="6"/>
              <w:rPr>
                <w:rFonts w:ascii="Times New Roman" w:hAnsi="Times New Roman"/>
                <w:sz w:val="24"/>
                <w:szCs w:val="24"/>
              </w:rPr>
            </w:pPr>
            <w:r w:rsidRPr="006A0EF9">
              <w:rPr>
                <w:rFonts w:ascii="Times New Roman" w:hAnsi="Times New Roman"/>
                <w:sz w:val="24"/>
                <w:szCs w:val="24"/>
              </w:rPr>
              <w:t xml:space="preserve">5’ </w:t>
            </w:r>
            <w:proofErr w:type="spellStart"/>
            <w:r w:rsidRPr="006A0EF9">
              <w:rPr>
                <w:rFonts w:ascii="Times New Roman" w:hAnsi="Times New Roman"/>
                <w:sz w:val="24"/>
                <w:szCs w:val="24"/>
              </w:rPr>
              <w:t>Acrydite</w:t>
            </w:r>
            <w:proofErr w:type="spellEnd"/>
            <w:r w:rsidRPr="006A0EF9">
              <w:rPr>
                <w:rFonts w:ascii="Times New Roman" w:hAnsi="Times New Roman"/>
                <w:sz w:val="24"/>
                <w:szCs w:val="24"/>
              </w:rPr>
              <w:t xml:space="preserve"> 3’ </w:t>
            </w:r>
            <w:proofErr w:type="spellStart"/>
            <w:r w:rsidRPr="006A0EF9">
              <w:rPr>
                <w:rFonts w:ascii="Times New Roman" w:hAnsi="Times New Roman"/>
                <w:sz w:val="24"/>
                <w:szCs w:val="24"/>
              </w:rPr>
              <w:t>Atto</w:t>
            </w:r>
            <w:proofErr w:type="spellEnd"/>
            <w:r w:rsidRPr="006A0EF9">
              <w:rPr>
                <w:rFonts w:ascii="Times New Roman" w:hAnsi="Times New Roman"/>
                <w:sz w:val="24"/>
                <w:szCs w:val="24"/>
              </w:rPr>
              <w:t xml:space="preserve"> 647N</w:t>
            </w:r>
          </w:p>
        </w:tc>
      </w:tr>
    </w:tbl>
    <w:p w14:paraId="0BE5CBDC" w14:textId="77777777" w:rsidR="006A0EF9" w:rsidRPr="006A0EF9" w:rsidRDefault="006A0EF9" w:rsidP="006A0EF9">
      <w:pPr>
        <w:rPr>
          <w:b/>
          <w:sz w:val="24"/>
          <w:szCs w:val="24"/>
        </w:rPr>
      </w:pPr>
    </w:p>
    <w:p w14:paraId="09CA7125" w14:textId="2CE0CBD2" w:rsidR="006A0EF9" w:rsidRPr="006A0EF9" w:rsidRDefault="006A0EF9" w:rsidP="006A0EF9">
      <w:pPr>
        <w:rPr>
          <w:sz w:val="24"/>
          <w:szCs w:val="24"/>
        </w:rPr>
      </w:pPr>
      <w:r w:rsidRPr="006A0EF9">
        <w:rPr>
          <w:b/>
          <w:sz w:val="24"/>
          <w:szCs w:val="24"/>
        </w:rPr>
        <w:t xml:space="preserve">Table </w:t>
      </w:r>
      <w:r w:rsidR="002A5EEE">
        <w:rPr>
          <w:b/>
          <w:sz w:val="24"/>
          <w:szCs w:val="24"/>
        </w:rPr>
        <w:t>S</w:t>
      </w:r>
      <w:r w:rsidRPr="006A0EF9">
        <w:rPr>
          <w:b/>
          <w:sz w:val="24"/>
          <w:szCs w:val="24"/>
        </w:rPr>
        <w:t>4</w:t>
      </w:r>
      <w:r>
        <w:rPr>
          <w:b/>
          <w:sz w:val="24"/>
          <w:szCs w:val="24"/>
        </w:rPr>
        <w:t>.</w:t>
      </w:r>
      <w:r w:rsidRPr="006A0EF9">
        <w:rPr>
          <w:sz w:val="24"/>
          <w:szCs w:val="24"/>
        </w:rPr>
        <w:t xml:space="preserve"> Monomer solution recipe.</w:t>
      </w:r>
    </w:p>
    <w:tbl>
      <w:tblPr>
        <w:tblStyle w:val="TableGrid"/>
        <w:tblW w:w="8533" w:type="dxa"/>
        <w:tblLook w:val="04A0" w:firstRow="1" w:lastRow="0" w:firstColumn="1" w:lastColumn="0" w:noHBand="0" w:noVBand="1"/>
      </w:tblPr>
      <w:tblGrid>
        <w:gridCol w:w="3223"/>
        <w:gridCol w:w="1883"/>
        <w:gridCol w:w="1677"/>
        <w:gridCol w:w="1750"/>
      </w:tblGrid>
      <w:tr w:rsidR="006A0EF9" w:rsidRPr="006A0EF9" w14:paraId="3F2AE304" w14:textId="77777777" w:rsidTr="00C77E20">
        <w:tc>
          <w:tcPr>
            <w:tcW w:w="3258" w:type="dxa"/>
          </w:tcPr>
          <w:p w14:paraId="36635117"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Component</w:t>
            </w:r>
          </w:p>
        </w:tc>
        <w:tc>
          <w:tcPr>
            <w:tcW w:w="1890" w:type="dxa"/>
          </w:tcPr>
          <w:p w14:paraId="1B2A9F1F"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Stock concentration*</w:t>
            </w:r>
          </w:p>
        </w:tc>
        <w:tc>
          <w:tcPr>
            <w:tcW w:w="1710" w:type="dxa"/>
          </w:tcPr>
          <w:p w14:paraId="4D2731D7"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Amount (mL)</w:t>
            </w:r>
          </w:p>
        </w:tc>
        <w:tc>
          <w:tcPr>
            <w:tcW w:w="1675" w:type="dxa"/>
          </w:tcPr>
          <w:p w14:paraId="73AFED2E"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Final concentration*</w:t>
            </w:r>
          </w:p>
        </w:tc>
      </w:tr>
      <w:tr w:rsidR="006A0EF9" w:rsidRPr="006A0EF9" w14:paraId="3ED1DF02" w14:textId="77777777" w:rsidTr="00C77E20">
        <w:tc>
          <w:tcPr>
            <w:tcW w:w="3258" w:type="dxa"/>
          </w:tcPr>
          <w:p w14:paraId="6B53DA1B"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Sodium acrylate</w:t>
            </w:r>
          </w:p>
        </w:tc>
        <w:tc>
          <w:tcPr>
            <w:tcW w:w="1890" w:type="dxa"/>
          </w:tcPr>
          <w:p w14:paraId="0AE32CDB"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38</w:t>
            </w:r>
          </w:p>
        </w:tc>
        <w:tc>
          <w:tcPr>
            <w:tcW w:w="1710" w:type="dxa"/>
          </w:tcPr>
          <w:p w14:paraId="483C8887"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2.25</w:t>
            </w:r>
          </w:p>
        </w:tc>
        <w:tc>
          <w:tcPr>
            <w:tcW w:w="1675" w:type="dxa"/>
          </w:tcPr>
          <w:p w14:paraId="554E7B02"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8.6</w:t>
            </w:r>
          </w:p>
        </w:tc>
      </w:tr>
      <w:tr w:rsidR="006A0EF9" w:rsidRPr="006A0EF9" w14:paraId="3A581688" w14:textId="77777777" w:rsidTr="00C77E20">
        <w:tc>
          <w:tcPr>
            <w:tcW w:w="3258" w:type="dxa"/>
          </w:tcPr>
          <w:p w14:paraId="14651D0E"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Acrylamide</w:t>
            </w:r>
          </w:p>
        </w:tc>
        <w:tc>
          <w:tcPr>
            <w:tcW w:w="1890" w:type="dxa"/>
          </w:tcPr>
          <w:p w14:paraId="061866F3"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50</w:t>
            </w:r>
          </w:p>
        </w:tc>
        <w:tc>
          <w:tcPr>
            <w:tcW w:w="1710" w:type="dxa"/>
          </w:tcPr>
          <w:p w14:paraId="713228FA"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0.5</w:t>
            </w:r>
          </w:p>
        </w:tc>
        <w:tc>
          <w:tcPr>
            <w:tcW w:w="1675" w:type="dxa"/>
          </w:tcPr>
          <w:p w14:paraId="2C5B0192"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2.5</w:t>
            </w:r>
          </w:p>
        </w:tc>
      </w:tr>
      <w:tr w:rsidR="006A0EF9" w:rsidRPr="006A0EF9" w14:paraId="573097FD" w14:textId="77777777" w:rsidTr="00C77E20">
        <w:tc>
          <w:tcPr>
            <w:tcW w:w="3258" w:type="dxa"/>
          </w:tcPr>
          <w:p w14:paraId="606526BD"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N,N′-</w:t>
            </w:r>
            <w:proofErr w:type="spellStart"/>
            <w:r w:rsidRPr="006A0EF9">
              <w:rPr>
                <w:rFonts w:ascii="Times New Roman" w:hAnsi="Times New Roman"/>
                <w:sz w:val="24"/>
                <w:szCs w:val="24"/>
              </w:rPr>
              <w:t>Methylenebisacrylamide</w:t>
            </w:r>
            <w:proofErr w:type="spellEnd"/>
          </w:p>
        </w:tc>
        <w:tc>
          <w:tcPr>
            <w:tcW w:w="1890" w:type="dxa"/>
          </w:tcPr>
          <w:p w14:paraId="238BF781"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2</w:t>
            </w:r>
          </w:p>
        </w:tc>
        <w:tc>
          <w:tcPr>
            <w:tcW w:w="1710" w:type="dxa"/>
          </w:tcPr>
          <w:p w14:paraId="4BA2D758"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0.75</w:t>
            </w:r>
          </w:p>
        </w:tc>
        <w:tc>
          <w:tcPr>
            <w:tcW w:w="1675" w:type="dxa"/>
          </w:tcPr>
          <w:p w14:paraId="412C2FBF"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0.15</w:t>
            </w:r>
          </w:p>
        </w:tc>
      </w:tr>
      <w:tr w:rsidR="006A0EF9" w:rsidRPr="006A0EF9" w14:paraId="08F83ACC" w14:textId="77777777" w:rsidTr="00C77E20">
        <w:tc>
          <w:tcPr>
            <w:tcW w:w="3258" w:type="dxa"/>
          </w:tcPr>
          <w:p w14:paraId="7E43AA6F"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Sodium chloride</w:t>
            </w:r>
          </w:p>
        </w:tc>
        <w:tc>
          <w:tcPr>
            <w:tcW w:w="1890" w:type="dxa"/>
          </w:tcPr>
          <w:p w14:paraId="04EE6940"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29.2</w:t>
            </w:r>
          </w:p>
        </w:tc>
        <w:tc>
          <w:tcPr>
            <w:tcW w:w="1710" w:type="dxa"/>
          </w:tcPr>
          <w:p w14:paraId="494878B8"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4</w:t>
            </w:r>
          </w:p>
        </w:tc>
        <w:tc>
          <w:tcPr>
            <w:tcW w:w="1675" w:type="dxa"/>
          </w:tcPr>
          <w:p w14:paraId="7C4BF4B8"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11.7</w:t>
            </w:r>
          </w:p>
        </w:tc>
      </w:tr>
      <w:tr w:rsidR="006A0EF9" w:rsidRPr="006A0EF9" w14:paraId="145883C1" w14:textId="77777777" w:rsidTr="00C77E20">
        <w:tc>
          <w:tcPr>
            <w:tcW w:w="3258" w:type="dxa"/>
          </w:tcPr>
          <w:p w14:paraId="35F452A4"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PBS</w:t>
            </w:r>
          </w:p>
        </w:tc>
        <w:tc>
          <w:tcPr>
            <w:tcW w:w="1890" w:type="dxa"/>
          </w:tcPr>
          <w:p w14:paraId="79132FB2"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10x</w:t>
            </w:r>
          </w:p>
        </w:tc>
        <w:tc>
          <w:tcPr>
            <w:tcW w:w="1710" w:type="dxa"/>
          </w:tcPr>
          <w:p w14:paraId="7019C2DC"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1</w:t>
            </w:r>
          </w:p>
        </w:tc>
        <w:tc>
          <w:tcPr>
            <w:tcW w:w="1675" w:type="dxa"/>
          </w:tcPr>
          <w:p w14:paraId="27557439"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1x</w:t>
            </w:r>
          </w:p>
        </w:tc>
      </w:tr>
      <w:tr w:rsidR="006A0EF9" w:rsidRPr="006A0EF9" w14:paraId="79307499" w14:textId="77777777" w:rsidTr="00C77E20">
        <w:tc>
          <w:tcPr>
            <w:tcW w:w="3258" w:type="dxa"/>
          </w:tcPr>
          <w:p w14:paraId="22C33CCF"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Water</w:t>
            </w:r>
          </w:p>
        </w:tc>
        <w:tc>
          <w:tcPr>
            <w:tcW w:w="1890" w:type="dxa"/>
          </w:tcPr>
          <w:p w14:paraId="3700A5CB" w14:textId="77777777" w:rsidR="006A0EF9" w:rsidRPr="006A0EF9" w:rsidRDefault="006A0EF9" w:rsidP="00C77E20">
            <w:pPr>
              <w:rPr>
                <w:rFonts w:ascii="Times New Roman" w:hAnsi="Times New Roman"/>
                <w:sz w:val="24"/>
                <w:szCs w:val="24"/>
              </w:rPr>
            </w:pPr>
          </w:p>
        </w:tc>
        <w:tc>
          <w:tcPr>
            <w:tcW w:w="1710" w:type="dxa"/>
          </w:tcPr>
          <w:p w14:paraId="2EE5395C" w14:textId="77777777" w:rsidR="006A0EF9" w:rsidRPr="006A0EF9" w:rsidRDefault="006A0EF9" w:rsidP="00C77E20">
            <w:pPr>
              <w:rPr>
                <w:rFonts w:ascii="Times New Roman" w:hAnsi="Times New Roman"/>
                <w:sz w:val="24"/>
                <w:szCs w:val="24"/>
              </w:rPr>
            </w:pPr>
            <w:r w:rsidRPr="006A0EF9">
              <w:rPr>
                <w:rFonts w:ascii="Times New Roman" w:hAnsi="Times New Roman"/>
                <w:sz w:val="24"/>
                <w:szCs w:val="24"/>
              </w:rPr>
              <w:t>1</w:t>
            </w:r>
          </w:p>
        </w:tc>
        <w:tc>
          <w:tcPr>
            <w:tcW w:w="1675" w:type="dxa"/>
          </w:tcPr>
          <w:p w14:paraId="2AD64561" w14:textId="77777777" w:rsidR="006A0EF9" w:rsidRPr="006A0EF9" w:rsidRDefault="006A0EF9" w:rsidP="00C77E20">
            <w:pPr>
              <w:rPr>
                <w:rFonts w:ascii="Times New Roman" w:hAnsi="Times New Roman"/>
                <w:sz w:val="24"/>
                <w:szCs w:val="24"/>
              </w:rPr>
            </w:pPr>
          </w:p>
        </w:tc>
      </w:tr>
      <w:tr w:rsidR="006A0EF9" w:rsidRPr="006A0EF9" w14:paraId="1C264012" w14:textId="77777777" w:rsidTr="00C77E20">
        <w:tc>
          <w:tcPr>
            <w:tcW w:w="3258" w:type="dxa"/>
          </w:tcPr>
          <w:p w14:paraId="52F61408"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Total</w:t>
            </w:r>
          </w:p>
        </w:tc>
        <w:tc>
          <w:tcPr>
            <w:tcW w:w="1890" w:type="dxa"/>
          </w:tcPr>
          <w:p w14:paraId="456B59E3" w14:textId="77777777" w:rsidR="006A0EF9" w:rsidRPr="006A0EF9" w:rsidRDefault="006A0EF9" w:rsidP="00C77E20">
            <w:pPr>
              <w:rPr>
                <w:rFonts w:ascii="Times New Roman" w:hAnsi="Times New Roman"/>
                <w:b/>
                <w:sz w:val="24"/>
                <w:szCs w:val="24"/>
              </w:rPr>
            </w:pPr>
          </w:p>
        </w:tc>
        <w:tc>
          <w:tcPr>
            <w:tcW w:w="1710" w:type="dxa"/>
          </w:tcPr>
          <w:p w14:paraId="42643148" w14:textId="77777777" w:rsidR="006A0EF9" w:rsidRPr="006A0EF9" w:rsidRDefault="006A0EF9" w:rsidP="00C77E20">
            <w:pPr>
              <w:rPr>
                <w:rFonts w:ascii="Times New Roman" w:hAnsi="Times New Roman"/>
                <w:b/>
                <w:sz w:val="24"/>
                <w:szCs w:val="24"/>
              </w:rPr>
            </w:pPr>
            <w:r w:rsidRPr="006A0EF9">
              <w:rPr>
                <w:rFonts w:ascii="Times New Roman" w:hAnsi="Times New Roman"/>
                <w:b/>
                <w:sz w:val="24"/>
                <w:szCs w:val="24"/>
              </w:rPr>
              <w:t>9.5**</w:t>
            </w:r>
          </w:p>
        </w:tc>
        <w:tc>
          <w:tcPr>
            <w:tcW w:w="1675" w:type="dxa"/>
          </w:tcPr>
          <w:p w14:paraId="18C36C81" w14:textId="77777777" w:rsidR="006A0EF9" w:rsidRPr="006A0EF9" w:rsidRDefault="006A0EF9" w:rsidP="00C77E20">
            <w:pPr>
              <w:rPr>
                <w:rFonts w:ascii="Times New Roman" w:hAnsi="Times New Roman"/>
                <w:sz w:val="24"/>
                <w:szCs w:val="24"/>
              </w:rPr>
            </w:pPr>
          </w:p>
        </w:tc>
      </w:tr>
    </w:tbl>
    <w:p w14:paraId="0274B6A7" w14:textId="77777777" w:rsidR="006A0EF9" w:rsidRPr="006A0EF9" w:rsidRDefault="006A0EF9" w:rsidP="006A0EF9">
      <w:pPr>
        <w:rPr>
          <w:sz w:val="24"/>
          <w:szCs w:val="24"/>
        </w:rPr>
      </w:pPr>
      <w:r w:rsidRPr="006A0EF9">
        <w:rPr>
          <w:sz w:val="24"/>
          <w:szCs w:val="24"/>
        </w:rPr>
        <w:t>*All concentrations in g/100 mL except PBS</w:t>
      </w:r>
    </w:p>
    <w:p w14:paraId="528FDC6A" w14:textId="77777777" w:rsidR="006A0EF9" w:rsidRPr="006A0EF9" w:rsidRDefault="006A0EF9" w:rsidP="006A0EF9">
      <w:pPr>
        <w:rPr>
          <w:sz w:val="24"/>
          <w:szCs w:val="24"/>
        </w:rPr>
      </w:pPr>
      <w:r w:rsidRPr="006A0EF9">
        <w:rPr>
          <w:sz w:val="24"/>
          <w:szCs w:val="24"/>
        </w:rPr>
        <w:t xml:space="preserve">**This solution is stored as 0.95 mL aliquots, with initiator, accelerator and inhibitor (as needed; see </w:t>
      </w:r>
      <w:r w:rsidRPr="006A0EF9">
        <w:rPr>
          <w:b/>
          <w:sz w:val="24"/>
          <w:szCs w:val="24"/>
        </w:rPr>
        <w:t>Methods</w:t>
      </w:r>
      <w:r w:rsidRPr="006A0EF9">
        <w:rPr>
          <w:sz w:val="24"/>
          <w:szCs w:val="24"/>
        </w:rPr>
        <w:t>) added to bring the final volume up to 1 mL per aliquot immediately before each experiment.</w:t>
      </w:r>
    </w:p>
    <w:p w14:paraId="77343400" w14:textId="77777777" w:rsidR="006A0EF9" w:rsidRPr="006A0EF9" w:rsidRDefault="006A0EF9" w:rsidP="00D73714">
      <w:pPr>
        <w:pStyle w:val="SOMContent"/>
      </w:pPr>
    </w:p>
    <w:p w14:paraId="28BBE0FB" w14:textId="77777777" w:rsidR="006A0EF9" w:rsidRPr="006A0EF9" w:rsidRDefault="006A0EF9" w:rsidP="006A0EF9">
      <w:pPr>
        <w:rPr>
          <w:b/>
          <w:sz w:val="24"/>
          <w:szCs w:val="24"/>
        </w:rPr>
      </w:pPr>
      <w:r w:rsidRPr="006A0EF9">
        <w:rPr>
          <w:b/>
          <w:sz w:val="24"/>
          <w:szCs w:val="24"/>
        </w:rPr>
        <w:t xml:space="preserve">Supplementary Movies </w:t>
      </w:r>
    </w:p>
    <w:p w14:paraId="4AB2D620" w14:textId="40238082" w:rsidR="006A0EF9" w:rsidRPr="006A0EF9" w:rsidRDefault="00C37C19" w:rsidP="006A0EF9">
      <w:pPr>
        <w:rPr>
          <w:sz w:val="24"/>
          <w:szCs w:val="24"/>
        </w:rPr>
      </w:pPr>
      <w:r>
        <w:rPr>
          <w:b/>
          <w:sz w:val="24"/>
          <w:szCs w:val="24"/>
        </w:rPr>
        <w:t>Movie S</w:t>
      </w:r>
      <w:r w:rsidR="006A0EF9" w:rsidRPr="006A0EF9">
        <w:rPr>
          <w:b/>
          <w:sz w:val="24"/>
          <w:szCs w:val="24"/>
        </w:rPr>
        <w:t>1:</w:t>
      </w:r>
      <w:r w:rsidR="006A0EF9" w:rsidRPr="006A0EF9">
        <w:rPr>
          <w:sz w:val="24"/>
          <w:szCs w:val="24"/>
        </w:rPr>
        <w:t xml:space="preserve"> 3D animation of large-scale rendering of hippocampal volume from </w:t>
      </w:r>
      <w:r w:rsidR="006A0EF9" w:rsidRPr="006A0EF9">
        <w:rPr>
          <w:b/>
          <w:sz w:val="24"/>
          <w:szCs w:val="24"/>
        </w:rPr>
        <w:t>Fig. 4A</w:t>
      </w:r>
      <w:r w:rsidR="006A0EF9" w:rsidRPr="006A0EF9">
        <w:rPr>
          <w:sz w:val="24"/>
          <w:szCs w:val="24"/>
        </w:rPr>
        <w:t xml:space="preserve">. First, the volume appears with YFP only (green), then staining for Bassoon (blue) and Homer1 (red) are added.  Scale bars: 100 </w:t>
      </w:r>
      <w:r w:rsidR="006A0EF9" w:rsidRPr="006A0EF9">
        <w:rPr>
          <w:rFonts w:ascii="Symbol" w:hAnsi="Symbol"/>
          <w:sz w:val="24"/>
          <w:szCs w:val="24"/>
        </w:rPr>
        <w:t></w:t>
      </w:r>
      <w:r w:rsidR="006A0EF9" w:rsidRPr="006A0EF9">
        <w:rPr>
          <w:sz w:val="24"/>
          <w:szCs w:val="24"/>
        </w:rPr>
        <w:t xml:space="preserve">m. </w:t>
      </w:r>
    </w:p>
    <w:p w14:paraId="49CD5467" w14:textId="77777777" w:rsidR="006A0EF9" w:rsidRPr="006A0EF9" w:rsidRDefault="006A0EF9" w:rsidP="006A0EF9">
      <w:pPr>
        <w:rPr>
          <w:sz w:val="24"/>
          <w:szCs w:val="24"/>
        </w:rPr>
      </w:pPr>
    </w:p>
    <w:p w14:paraId="652BD7E5" w14:textId="1AF8CBB8" w:rsidR="006A0EF9" w:rsidRPr="006A0EF9" w:rsidRDefault="00C37C19" w:rsidP="006A0EF9">
      <w:pPr>
        <w:rPr>
          <w:sz w:val="24"/>
          <w:szCs w:val="24"/>
        </w:rPr>
      </w:pPr>
      <w:r>
        <w:rPr>
          <w:b/>
          <w:sz w:val="24"/>
          <w:szCs w:val="24"/>
        </w:rPr>
        <w:t>Movie S</w:t>
      </w:r>
      <w:r w:rsidR="006A0EF9" w:rsidRPr="006A0EF9">
        <w:rPr>
          <w:b/>
          <w:sz w:val="24"/>
          <w:szCs w:val="24"/>
        </w:rPr>
        <w:t>2:</w:t>
      </w:r>
      <w:r w:rsidR="006A0EF9" w:rsidRPr="006A0EF9">
        <w:rPr>
          <w:sz w:val="24"/>
          <w:szCs w:val="24"/>
        </w:rPr>
        <w:t xml:space="preserve"> 3D animation of rendered CA1 </w:t>
      </w:r>
      <w:proofErr w:type="spellStart"/>
      <w:r w:rsidR="006A0EF9" w:rsidRPr="006A0EF9">
        <w:rPr>
          <w:sz w:val="24"/>
          <w:szCs w:val="24"/>
        </w:rPr>
        <w:t>slm</w:t>
      </w:r>
      <w:proofErr w:type="spellEnd"/>
      <w:r w:rsidR="006A0EF9" w:rsidRPr="006A0EF9">
        <w:rPr>
          <w:sz w:val="24"/>
          <w:szCs w:val="24"/>
        </w:rPr>
        <w:t xml:space="preserve"> dendrites from </w:t>
      </w:r>
      <w:r w:rsidR="006A0EF9" w:rsidRPr="006A0EF9">
        <w:rPr>
          <w:b/>
          <w:sz w:val="24"/>
          <w:szCs w:val="24"/>
        </w:rPr>
        <w:t>Fig 4B</w:t>
      </w:r>
      <w:r w:rsidR="006A0EF9" w:rsidRPr="006A0EF9">
        <w:rPr>
          <w:sz w:val="24"/>
          <w:szCs w:val="24"/>
        </w:rPr>
        <w:t xml:space="preserve">. Scale bars: 10 </w:t>
      </w:r>
      <w:r w:rsidR="006A0EF9" w:rsidRPr="006A0EF9">
        <w:rPr>
          <w:rFonts w:ascii="Symbol" w:hAnsi="Symbol"/>
          <w:sz w:val="24"/>
          <w:szCs w:val="24"/>
        </w:rPr>
        <w:t></w:t>
      </w:r>
      <w:r w:rsidR="006A0EF9" w:rsidRPr="006A0EF9">
        <w:rPr>
          <w:sz w:val="24"/>
          <w:szCs w:val="24"/>
        </w:rPr>
        <w:t>m.</w:t>
      </w:r>
    </w:p>
    <w:p w14:paraId="5E065C48" w14:textId="77777777" w:rsidR="006A0EF9" w:rsidRPr="006A0EF9" w:rsidRDefault="006A0EF9" w:rsidP="006A0EF9">
      <w:pPr>
        <w:rPr>
          <w:sz w:val="24"/>
          <w:szCs w:val="24"/>
        </w:rPr>
      </w:pPr>
    </w:p>
    <w:p w14:paraId="350F2C2B" w14:textId="29DB25FB" w:rsidR="006A0EF9" w:rsidRPr="006A0EF9" w:rsidRDefault="00C37C19" w:rsidP="006A0EF9">
      <w:pPr>
        <w:rPr>
          <w:rFonts w:ascii="Symbol" w:hAnsi="Symbol"/>
          <w:sz w:val="24"/>
          <w:szCs w:val="24"/>
        </w:rPr>
      </w:pPr>
      <w:r>
        <w:rPr>
          <w:b/>
          <w:sz w:val="24"/>
          <w:szCs w:val="24"/>
        </w:rPr>
        <w:t>Movie S3</w:t>
      </w:r>
      <w:r w:rsidR="006A0EF9" w:rsidRPr="006A0EF9">
        <w:rPr>
          <w:b/>
          <w:sz w:val="24"/>
          <w:szCs w:val="24"/>
        </w:rPr>
        <w:t>:</w:t>
      </w:r>
      <w:r w:rsidR="006A0EF9" w:rsidRPr="006A0EF9">
        <w:rPr>
          <w:sz w:val="24"/>
          <w:szCs w:val="24"/>
        </w:rPr>
        <w:t xml:space="preserve"> 3D animation of rendered dendritic branch of CA1 </w:t>
      </w:r>
      <w:proofErr w:type="spellStart"/>
      <w:r w:rsidR="006A0EF9" w:rsidRPr="006A0EF9">
        <w:rPr>
          <w:sz w:val="24"/>
          <w:szCs w:val="24"/>
        </w:rPr>
        <w:t>slm</w:t>
      </w:r>
      <w:proofErr w:type="spellEnd"/>
      <w:r w:rsidR="006A0EF9" w:rsidRPr="006A0EF9">
        <w:rPr>
          <w:sz w:val="24"/>
          <w:szCs w:val="24"/>
        </w:rPr>
        <w:t xml:space="preserve"> from </w:t>
      </w:r>
      <w:r w:rsidR="006A0EF9" w:rsidRPr="006A0EF9">
        <w:rPr>
          <w:b/>
          <w:sz w:val="24"/>
          <w:szCs w:val="24"/>
        </w:rPr>
        <w:t>Fig. 4C</w:t>
      </w:r>
      <w:r w:rsidR="006A0EF9" w:rsidRPr="006A0EF9">
        <w:rPr>
          <w:sz w:val="24"/>
          <w:szCs w:val="24"/>
        </w:rPr>
        <w:t xml:space="preserve">, showing YFP (green), Bassoon (blue), and Homer1 (red). Scale bars: 2.5 </w:t>
      </w:r>
      <w:r w:rsidR="006A0EF9" w:rsidRPr="006A0EF9">
        <w:rPr>
          <w:rFonts w:ascii="Symbol" w:hAnsi="Symbol"/>
          <w:sz w:val="24"/>
          <w:szCs w:val="24"/>
        </w:rPr>
        <w:t></w:t>
      </w:r>
      <w:r w:rsidR="006A0EF9" w:rsidRPr="006A0EF9">
        <w:rPr>
          <w:sz w:val="24"/>
          <w:szCs w:val="24"/>
        </w:rPr>
        <w:t>m</w:t>
      </w:r>
      <w:r w:rsidR="006A0EF9" w:rsidRPr="006A0EF9">
        <w:rPr>
          <w:rFonts w:ascii="Symbol" w:hAnsi="Symbol"/>
          <w:sz w:val="24"/>
          <w:szCs w:val="24"/>
        </w:rPr>
        <w:t></w:t>
      </w:r>
    </w:p>
    <w:p w14:paraId="26CCE846" w14:textId="77777777" w:rsidR="00A9334F" w:rsidRDefault="00A9334F" w:rsidP="00A9334F">
      <w:pPr>
        <w:pStyle w:val="Paragraph"/>
        <w:ind w:firstLine="0"/>
      </w:pPr>
    </w:p>
    <w:p w14:paraId="22B457EB" w14:textId="77777777" w:rsidR="00A9334F" w:rsidRDefault="00A9334F" w:rsidP="00A9334F">
      <w:pPr>
        <w:pStyle w:val="Paragraph"/>
        <w:ind w:firstLine="0"/>
        <w:rPr>
          <w:b/>
        </w:rPr>
      </w:pPr>
      <w:r>
        <w:rPr>
          <w:b/>
        </w:rPr>
        <w:t>Supplementary References</w:t>
      </w:r>
    </w:p>
    <w:p w14:paraId="1DF78B7D" w14:textId="7B9D8A6A" w:rsidR="00A9334F" w:rsidRPr="00A9334F" w:rsidRDefault="00A9334F" w:rsidP="00A9334F">
      <w:pPr>
        <w:pStyle w:val="Paragraph"/>
        <w:ind w:firstLine="0"/>
      </w:pPr>
      <w:r w:rsidRPr="00A9334F">
        <w:t>References 19-28 are for the supplementary materials.</w:t>
      </w:r>
    </w:p>
    <w:sectPr w:rsidR="00A9334F" w:rsidRPr="00A9334F" w:rsidSect="00D73714">
      <w:headerReference w:type="first" r:id="rId13"/>
      <w:pgSz w:w="12240" w:h="15840"/>
      <w:pgMar w:top="1440" w:right="1440" w:bottom="1440" w:left="1440" w:header="432"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99BFF5" w14:textId="77777777" w:rsidR="00391B7C" w:rsidRDefault="00391B7C" w:rsidP="00D73714">
      <w:r>
        <w:separator/>
      </w:r>
    </w:p>
  </w:endnote>
  <w:endnote w:type="continuationSeparator" w:id="0">
    <w:p w14:paraId="4CDE9E75" w14:textId="77777777" w:rsidR="00391B7C" w:rsidRDefault="00391B7C" w:rsidP="00D73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2A4A44" w14:textId="77777777" w:rsidR="00391B7C" w:rsidRDefault="00391B7C" w:rsidP="00D73714">
      <w:r>
        <w:separator/>
      </w:r>
    </w:p>
  </w:footnote>
  <w:footnote w:type="continuationSeparator" w:id="0">
    <w:p w14:paraId="407D2B1C" w14:textId="77777777" w:rsidR="00391B7C" w:rsidRDefault="00391B7C" w:rsidP="00D737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5FF1A5" w14:textId="0E560B3D" w:rsidR="00F52254" w:rsidRPr="00204015" w:rsidRDefault="00F52254" w:rsidP="00D73714">
    <w:pPr>
      <w:pStyle w:val="Header"/>
    </w:pPr>
    <w:r>
      <w:rPr>
        <w:noProof/>
      </w:rPr>
      <w:drawing>
        <wp:anchor distT="0" distB="0" distL="114300" distR="114300" simplePos="0" relativeHeight="251657728" behindDoc="0" locked="0" layoutInCell="1" allowOverlap="1" wp14:anchorId="1DE5BFD7" wp14:editId="11FD601E">
          <wp:simplePos x="0" y="0"/>
          <wp:positionH relativeFrom="column">
            <wp:posOffset>38100</wp:posOffset>
          </wp:positionH>
          <wp:positionV relativeFrom="paragraph">
            <wp:posOffset>-83185</wp:posOffset>
          </wp:positionV>
          <wp:extent cx="682625" cy="368300"/>
          <wp:effectExtent l="0" t="0" r="3175" b="0"/>
          <wp:wrapSquare wrapText="bothSides"/>
          <wp:docPr id="1" name="Picture 1" descr="science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ence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625" cy="368300"/>
                  </a:xfrm>
                  <a:prstGeom prst="rect">
                    <a:avLst/>
                  </a:prstGeom>
                  <a:noFill/>
                </pic:spPr>
              </pic:pic>
            </a:graphicData>
          </a:graphic>
          <wp14:sizeRelH relativeFrom="page">
            <wp14:pctWidth>0</wp14:pctWidth>
          </wp14:sizeRelH>
          <wp14:sizeRelV relativeFrom="page">
            <wp14:pctHeight>0</wp14:pctHeight>
          </wp14:sizeRelV>
        </wp:anchor>
      </w:drawing>
    </w:r>
    <w:r>
      <w:tab/>
    </w:r>
    <w:r>
      <w:tab/>
    </w:r>
  </w:p>
  <w:p w14:paraId="6DC60940" w14:textId="77777777" w:rsidR="00F52254" w:rsidRDefault="00F52254" w:rsidP="00D7371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C8306B60"/>
    <w:lvl w:ilvl="0">
      <w:start w:val="1"/>
      <w:numFmt w:val="decimal"/>
      <w:lvlText w:val="%1."/>
      <w:lvlJc w:val="left"/>
      <w:pPr>
        <w:tabs>
          <w:tab w:val="num" w:pos="1800"/>
        </w:tabs>
        <w:ind w:left="1800" w:hanging="360"/>
      </w:pPr>
    </w:lvl>
  </w:abstractNum>
  <w:abstractNum w:abstractNumId="1">
    <w:nsid w:val="FFFFFF7D"/>
    <w:multiLevelType w:val="singleLevel"/>
    <w:tmpl w:val="12C0A9CE"/>
    <w:lvl w:ilvl="0">
      <w:start w:val="1"/>
      <w:numFmt w:val="decimal"/>
      <w:lvlText w:val="%1."/>
      <w:lvlJc w:val="left"/>
      <w:pPr>
        <w:tabs>
          <w:tab w:val="num" w:pos="1440"/>
        </w:tabs>
        <w:ind w:left="1440" w:hanging="360"/>
      </w:pPr>
    </w:lvl>
  </w:abstractNum>
  <w:abstractNum w:abstractNumId="2">
    <w:nsid w:val="FFFFFF7E"/>
    <w:multiLevelType w:val="singleLevel"/>
    <w:tmpl w:val="FFF87976"/>
    <w:lvl w:ilvl="0">
      <w:start w:val="1"/>
      <w:numFmt w:val="decimal"/>
      <w:lvlText w:val="%1."/>
      <w:lvlJc w:val="left"/>
      <w:pPr>
        <w:tabs>
          <w:tab w:val="num" w:pos="1080"/>
        </w:tabs>
        <w:ind w:left="1080" w:hanging="360"/>
      </w:pPr>
    </w:lvl>
  </w:abstractNum>
  <w:abstractNum w:abstractNumId="3">
    <w:nsid w:val="FFFFFF7F"/>
    <w:multiLevelType w:val="singleLevel"/>
    <w:tmpl w:val="57B8ABE4"/>
    <w:lvl w:ilvl="0">
      <w:start w:val="1"/>
      <w:numFmt w:val="decimal"/>
      <w:lvlText w:val="%1."/>
      <w:lvlJc w:val="left"/>
      <w:pPr>
        <w:tabs>
          <w:tab w:val="num" w:pos="720"/>
        </w:tabs>
        <w:ind w:left="720" w:hanging="360"/>
      </w:pPr>
    </w:lvl>
  </w:abstractNum>
  <w:abstractNum w:abstractNumId="4">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A50088B0"/>
    <w:lvl w:ilvl="0">
      <w:start w:val="1"/>
      <w:numFmt w:val="decimal"/>
      <w:lvlText w:val="%1."/>
      <w:lvlJc w:val="left"/>
      <w:pPr>
        <w:tabs>
          <w:tab w:val="num" w:pos="360"/>
        </w:tabs>
        <w:ind w:left="360" w:hanging="360"/>
      </w:pPr>
    </w:lvl>
  </w:abstractNum>
  <w:abstractNum w:abstractNumId="9">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1"/>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261D"/>
    <w:rsid w:val="00037F6E"/>
    <w:rsid w:val="000562CC"/>
    <w:rsid w:val="00062BED"/>
    <w:rsid w:val="001049AB"/>
    <w:rsid w:val="002A5EEE"/>
    <w:rsid w:val="002F47BE"/>
    <w:rsid w:val="00391B7C"/>
    <w:rsid w:val="003B0531"/>
    <w:rsid w:val="003D0DFF"/>
    <w:rsid w:val="004E30D9"/>
    <w:rsid w:val="00514DC8"/>
    <w:rsid w:val="00546737"/>
    <w:rsid w:val="00560CE7"/>
    <w:rsid w:val="00577D9B"/>
    <w:rsid w:val="005B1E58"/>
    <w:rsid w:val="006049F0"/>
    <w:rsid w:val="0064261D"/>
    <w:rsid w:val="006A0EF9"/>
    <w:rsid w:val="006C145B"/>
    <w:rsid w:val="008112AA"/>
    <w:rsid w:val="00A1070E"/>
    <w:rsid w:val="00A31248"/>
    <w:rsid w:val="00A54FF0"/>
    <w:rsid w:val="00A83CE4"/>
    <w:rsid w:val="00A9334F"/>
    <w:rsid w:val="00B302FD"/>
    <w:rsid w:val="00B74EBC"/>
    <w:rsid w:val="00B83855"/>
    <w:rsid w:val="00C37C19"/>
    <w:rsid w:val="00C62125"/>
    <w:rsid w:val="00C77E20"/>
    <w:rsid w:val="00CB2DB3"/>
    <w:rsid w:val="00CC6554"/>
    <w:rsid w:val="00CC7FEB"/>
    <w:rsid w:val="00D73714"/>
    <w:rsid w:val="00E72365"/>
    <w:rsid w:val="00E91A60"/>
    <w:rsid w:val="00F52254"/>
    <w:rsid w:val="00F82A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F430B47"/>
  <w15:docId w15:val="{15BE70E0-AC7C-47BE-85CB-0A48E9DC4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7F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rsid w:val="009A3899"/>
    <w:pPr>
      <w:tabs>
        <w:tab w:val="center" w:pos="4320"/>
        <w:tab w:val="right" w:pos="8640"/>
      </w:tabs>
    </w:pPr>
    <w:rPr>
      <w:rFonts w:eastAsia="Times New Roman"/>
    </w:rPr>
  </w:style>
  <w:style w:type="character" w:customStyle="1" w:styleId="FooterChar">
    <w:name w:val="Footer Char"/>
    <w:basedOn w:val="DefaultParagraphFont"/>
    <w:link w:val="Footer"/>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paragraph" w:styleId="NormalWeb">
    <w:name w:val="Normal (Web)"/>
    <w:basedOn w:val="Normal"/>
    <w:uiPriority w:val="99"/>
    <w:unhideWhenUsed/>
    <w:rsid w:val="006A0EF9"/>
    <w:pPr>
      <w:spacing w:before="100" w:beforeAutospacing="1" w:after="100" w:afterAutospacing="1"/>
    </w:pPr>
    <w:rPr>
      <w:rFonts w:eastAsiaTheme="minorEastAsia"/>
      <w:sz w:val="24"/>
      <w:szCs w:val="24"/>
    </w:rPr>
  </w:style>
  <w:style w:type="table" w:styleId="TableGrid">
    <w:name w:val="Table Grid"/>
    <w:basedOn w:val="TableNormal"/>
    <w:uiPriority w:val="39"/>
    <w:rsid w:val="006A0EF9"/>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1048379">
      <w:bodyDiv w:val="1"/>
      <w:marLeft w:val="0"/>
      <w:marRight w:val="0"/>
      <w:marTop w:val="0"/>
      <w:marBottom w:val="0"/>
      <w:divBdr>
        <w:top w:val="none" w:sz="0" w:space="0" w:color="auto"/>
        <w:left w:val="none" w:sz="0" w:space="0" w:color="auto"/>
        <w:bottom w:val="none" w:sz="0" w:space="0" w:color="auto"/>
        <w:right w:val="none" w:sz="0" w:space="0" w:color="auto"/>
      </w:divBdr>
      <w:divsChild>
        <w:div w:id="661933614">
          <w:marLeft w:val="0"/>
          <w:marRight w:val="0"/>
          <w:marTop w:val="0"/>
          <w:marBottom w:val="0"/>
          <w:divBdr>
            <w:top w:val="none" w:sz="0" w:space="0" w:color="auto"/>
            <w:left w:val="none" w:sz="0" w:space="0" w:color="auto"/>
            <w:bottom w:val="none" w:sz="0" w:space="0" w:color="auto"/>
            <w:right w:val="none" w:sz="0" w:space="0" w:color="auto"/>
          </w:divBdr>
        </w:div>
      </w:divsChild>
    </w:div>
    <w:div w:id="530459729">
      <w:bodyDiv w:val="1"/>
      <w:marLeft w:val="0"/>
      <w:marRight w:val="0"/>
      <w:marTop w:val="0"/>
      <w:marBottom w:val="0"/>
      <w:divBdr>
        <w:top w:val="none" w:sz="0" w:space="0" w:color="auto"/>
        <w:left w:val="none" w:sz="0" w:space="0" w:color="auto"/>
        <w:bottom w:val="none" w:sz="0" w:space="0" w:color="auto"/>
        <w:right w:val="none" w:sz="0" w:space="0" w:color="auto"/>
      </w:divBdr>
      <w:divsChild>
        <w:div w:id="1812206961">
          <w:marLeft w:val="0"/>
          <w:marRight w:val="0"/>
          <w:marTop w:val="0"/>
          <w:marBottom w:val="0"/>
          <w:divBdr>
            <w:top w:val="none" w:sz="0" w:space="0" w:color="auto"/>
            <w:left w:val="none" w:sz="0" w:space="0" w:color="auto"/>
            <w:bottom w:val="none" w:sz="0" w:space="0" w:color="auto"/>
            <w:right w:val="none" w:sz="0" w:space="0" w:color="auto"/>
          </w:divBdr>
        </w:div>
        <w:div w:id="1599408530">
          <w:marLeft w:val="0"/>
          <w:marRight w:val="0"/>
          <w:marTop w:val="0"/>
          <w:marBottom w:val="0"/>
          <w:divBdr>
            <w:top w:val="none" w:sz="0" w:space="0" w:color="auto"/>
            <w:left w:val="none" w:sz="0" w:space="0" w:color="auto"/>
            <w:bottom w:val="none" w:sz="0" w:space="0" w:color="auto"/>
            <w:right w:val="none" w:sz="0" w:space="0" w:color="auto"/>
          </w:divBdr>
        </w:div>
      </w:divsChild>
    </w:div>
    <w:div w:id="658071574">
      <w:bodyDiv w:val="1"/>
      <w:marLeft w:val="0"/>
      <w:marRight w:val="0"/>
      <w:marTop w:val="0"/>
      <w:marBottom w:val="0"/>
      <w:divBdr>
        <w:top w:val="none" w:sz="0" w:space="0" w:color="auto"/>
        <w:left w:val="none" w:sz="0" w:space="0" w:color="auto"/>
        <w:bottom w:val="none" w:sz="0" w:space="0" w:color="auto"/>
        <w:right w:val="none" w:sz="0" w:space="0" w:color="auto"/>
      </w:divBdr>
    </w:div>
    <w:div w:id="755636620">
      <w:bodyDiv w:val="1"/>
      <w:marLeft w:val="0"/>
      <w:marRight w:val="0"/>
      <w:marTop w:val="0"/>
      <w:marBottom w:val="0"/>
      <w:divBdr>
        <w:top w:val="none" w:sz="0" w:space="0" w:color="auto"/>
        <w:left w:val="none" w:sz="0" w:space="0" w:color="auto"/>
        <w:bottom w:val="none" w:sz="0" w:space="0" w:color="auto"/>
        <w:right w:val="none" w:sz="0" w:space="0" w:color="auto"/>
      </w:divBdr>
    </w:div>
    <w:div w:id="819156279">
      <w:bodyDiv w:val="1"/>
      <w:marLeft w:val="0"/>
      <w:marRight w:val="0"/>
      <w:marTop w:val="0"/>
      <w:marBottom w:val="0"/>
      <w:divBdr>
        <w:top w:val="none" w:sz="0" w:space="0" w:color="auto"/>
        <w:left w:val="none" w:sz="0" w:space="0" w:color="auto"/>
        <w:bottom w:val="none" w:sz="0" w:space="0" w:color="auto"/>
        <w:right w:val="none" w:sz="0" w:space="0" w:color="auto"/>
      </w:divBdr>
    </w:div>
    <w:div w:id="9441172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753EC1-DB89-4863-A8F8-FD526B1EA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8249</Words>
  <Characters>47024</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55163</CharactersWithSpaces>
  <SharedDoc>false</SharedDoc>
  <HLinks>
    <vt:vector size="24" baseType="variant">
      <vt:variant>
        <vt:i4>7077934</vt:i4>
      </vt:variant>
      <vt:variant>
        <vt:i4>9</vt:i4>
      </vt:variant>
      <vt:variant>
        <vt:i4>0</vt:i4>
      </vt:variant>
      <vt:variant>
        <vt:i4>5</vt:i4>
      </vt:variant>
      <vt:variant>
        <vt:lpwstr>http://www.sciencemag.org/about/authors/prep/res/refs.xhtml</vt:lpwstr>
      </vt:variant>
      <vt:variant>
        <vt:lpwstr/>
      </vt:variant>
      <vt:variant>
        <vt:i4>5177356</vt:i4>
      </vt:variant>
      <vt:variant>
        <vt:i4>6</vt:i4>
      </vt:variant>
      <vt:variant>
        <vt:i4>0</vt:i4>
      </vt:variant>
      <vt:variant>
        <vt:i4>5</vt:i4>
      </vt:variant>
      <vt:variant>
        <vt:lpwstr>http://www.tug.org/utilities/texconv/textopc.html</vt:lpwstr>
      </vt:variant>
      <vt:variant>
        <vt:lpwstr/>
      </vt:variant>
      <vt:variant>
        <vt:i4>3801121</vt:i4>
      </vt:variant>
      <vt:variant>
        <vt:i4>3</vt:i4>
      </vt:variant>
      <vt:variant>
        <vt:i4>0</vt:i4>
      </vt:variant>
      <vt:variant>
        <vt:i4>5</vt:i4>
      </vt:variant>
      <vt:variant>
        <vt:lpwstr>http://www.sciencemag.org/site/feature/contribinfo/index.xhtml</vt:lpwstr>
      </vt:variant>
      <vt:variant>
        <vt:lpwstr/>
      </vt:variant>
      <vt:variant>
        <vt:i4>7798821</vt:i4>
      </vt:variant>
      <vt:variant>
        <vt:i4>0</vt:i4>
      </vt:variant>
      <vt:variant>
        <vt:i4>0</vt:i4>
      </vt:variant>
      <vt:variant>
        <vt:i4>5</vt:i4>
      </vt:variant>
      <vt:variant>
        <vt:lpwstr>http://www.submit2science.org/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bhanson</dc:creator>
  <cp:keywords/>
  <cp:lastModifiedBy>esb</cp:lastModifiedBy>
  <cp:revision>2</cp:revision>
  <dcterms:created xsi:type="dcterms:W3CDTF">2014-11-26T10:30:00Z</dcterms:created>
  <dcterms:modified xsi:type="dcterms:W3CDTF">2014-11-26T10:30:00Z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esb@media.mit.edu@www.mendeley.com</vt:lpwstr>
  </property>
  <property fmtid="{D5CDD505-2E9C-101B-9397-08002B2CF9AE}" pid="4" name="Mendeley Citation Style_1">
    <vt:lpwstr>http://www.zotero.org/styles/science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http://csl.mendeley.com/styles/10862651/nih-with-PMCID</vt:lpwstr>
  </property>
  <property fmtid="{D5CDD505-2E9C-101B-9397-08002B2CF9AE}" pid="22" name="Mendeley Recent Style Name 8_1">
    <vt:lpwstr>NIH with PMCID - Ted Pham</vt:lpwstr>
  </property>
  <property fmtid="{D5CDD505-2E9C-101B-9397-08002B2CF9AE}" pid="23" name="Mendeley Recent Style Id 9_1">
    <vt:lpwstr>http://www.zotero.org/styles/science</vt:lpwstr>
  </property>
  <property fmtid="{D5CDD505-2E9C-101B-9397-08002B2CF9AE}" pid="24" name="Mendeley Recent Style Name 9_1">
    <vt:lpwstr>Science</vt:lpwstr>
  </property>
</Properties>
</file>