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44" w:rsidRPr="002E0D03" w:rsidRDefault="00D20A44" w:rsidP="00D20A44">
      <w:pPr>
        <w:pStyle w:val="PlainText"/>
        <w:rPr>
          <w:rFonts w:eastAsia="Times New Roman" w:cs="Calibri"/>
          <w:b/>
          <w:color w:val="000000"/>
          <w:szCs w:val="22"/>
        </w:rPr>
      </w:pPr>
      <w:bookmarkStart w:id="0" w:name="_GoBack"/>
      <w:bookmarkEnd w:id="0"/>
      <w:proofErr w:type="gramStart"/>
      <w:r w:rsidRPr="002E0D03">
        <w:rPr>
          <w:rFonts w:ascii="Times New Roman" w:eastAsia="Times New Roman" w:hAnsi="Times New Roman" w:cs="Times New Roman"/>
          <w:b/>
          <w:color w:val="000000"/>
          <w:szCs w:val="22"/>
        </w:rPr>
        <w:t>Supplemental Table 1.</w:t>
      </w:r>
      <w:proofErr w:type="gramEnd"/>
      <w:r w:rsidRPr="002E0D03">
        <w:rPr>
          <w:rFonts w:ascii="Times New Roman" w:eastAsia="Times New Roman" w:hAnsi="Times New Roman" w:cs="Times New Roman"/>
          <w:b/>
          <w:color w:val="000000"/>
          <w:szCs w:val="22"/>
        </w:rPr>
        <w:t xml:space="preserve"> Pearson Correlation Coefficients between nutrients in AA and EA women</w:t>
      </w:r>
    </w:p>
    <w:tbl>
      <w:tblPr>
        <w:tblStyle w:val="TableGrid"/>
        <w:tblW w:w="900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1620"/>
        <w:gridCol w:w="1710"/>
        <w:gridCol w:w="1440"/>
        <w:gridCol w:w="1422"/>
      </w:tblGrid>
      <w:tr w:rsidR="00D20A44" w:rsidRPr="0061768C" w:rsidTr="003439EA">
        <w:trPr>
          <w:trHeight w:val="300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20A44" w:rsidRPr="007F65C1" w:rsidRDefault="00D20A44" w:rsidP="003439E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20A44" w:rsidRPr="007F65C1" w:rsidRDefault="00D20A44" w:rsidP="003439E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65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Natural Food </w:t>
            </w:r>
            <w:proofErr w:type="spellStart"/>
            <w:r w:rsidRPr="007F65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Folate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20A44" w:rsidRPr="007F65C1" w:rsidRDefault="00D20A44" w:rsidP="003439E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65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Synthetic </w:t>
            </w:r>
            <w:proofErr w:type="spellStart"/>
            <w:r w:rsidRPr="007F65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Folate</w:t>
            </w:r>
            <w:proofErr w:type="spellEnd"/>
          </w:p>
          <w:p w:rsidR="00D20A44" w:rsidRPr="007F65C1" w:rsidRDefault="00D20A44" w:rsidP="003439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20A44" w:rsidRPr="007F65C1" w:rsidRDefault="00D20A44" w:rsidP="003439E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</w:t>
            </w:r>
            <w:r w:rsidRPr="007F65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ethionine</w:t>
            </w:r>
          </w:p>
          <w:p w:rsidR="00D20A44" w:rsidRPr="007F65C1" w:rsidRDefault="00D20A44" w:rsidP="003439E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D20A44" w:rsidRPr="007F65C1" w:rsidRDefault="00D20A44" w:rsidP="003439E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65C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vitamin B6</w:t>
            </w:r>
          </w:p>
          <w:p w:rsidR="00D20A44" w:rsidRPr="007F65C1" w:rsidRDefault="00D20A44" w:rsidP="003439E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tcBorders>
              <w:top w:val="single" w:sz="4" w:space="0" w:color="auto"/>
            </w:tcBorders>
            <w:noWrap/>
          </w:tcPr>
          <w:p w:rsidR="00D20A44" w:rsidRPr="002E0D03" w:rsidRDefault="00D20A44" w:rsidP="003439E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AA women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noWrap/>
          </w:tcPr>
          <w:p w:rsidR="00D20A44" w:rsidRPr="002E0D03" w:rsidRDefault="00D20A44" w:rsidP="00343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Synthetic </w:t>
            </w:r>
            <w:proofErr w:type="spellStart"/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Folate</w:t>
            </w:r>
            <w:proofErr w:type="spellEnd"/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(folic acid) </w:t>
            </w:r>
          </w:p>
        </w:tc>
        <w:tc>
          <w:tcPr>
            <w:tcW w:w="162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71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Methionine </w:t>
            </w:r>
          </w:p>
        </w:tc>
        <w:tc>
          <w:tcPr>
            <w:tcW w:w="162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171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144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Vitamin B-6 </w:t>
            </w:r>
          </w:p>
        </w:tc>
        <w:tc>
          <w:tcPr>
            <w:tcW w:w="162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171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44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1422" w:type="dxa"/>
            <w:noWrap/>
          </w:tcPr>
          <w:p w:rsidR="00D20A44" w:rsidRPr="002E0D03" w:rsidRDefault="00D20A44" w:rsidP="003439E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Vitamin B-12</w:t>
            </w:r>
          </w:p>
        </w:tc>
        <w:tc>
          <w:tcPr>
            <w:tcW w:w="162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171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44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422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noWrap/>
          </w:tcPr>
          <w:p w:rsidR="00D20A44" w:rsidRPr="002E0D03" w:rsidRDefault="00D20A44" w:rsidP="003439E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0D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EA women</w:t>
            </w:r>
          </w:p>
        </w:tc>
        <w:tc>
          <w:tcPr>
            <w:tcW w:w="162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noWrap/>
          </w:tcPr>
          <w:p w:rsidR="00D20A44" w:rsidRPr="002E0D03" w:rsidRDefault="00D20A44" w:rsidP="00343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Synthetic </w:t>
            </w:r>
            <w:proofErr w:type="spellStart"/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Folate</w:t>
            </w:r>
            <w:proofErr w:type="spellEnd"/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(folic acid) </w:t>
            </w:r>
          </w:p>
        </w:tc>
        <w:tc>
          <w:tcPr>
            <w:tcW w:w="162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171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noWrap/>
          </w:tcPr>
          <w:p w:rsidR="00D20A44" w:rsidRPr="002E0D03" w:rsidRDefault="00D20A44" w:rsidP="00343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Methionine </w:t>
            </w:r>
          </w:p>
        </w:tc>
        <w:tc>
          <w:tcPr>
            <w:tcW w:w="162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171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44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noWrap/>
          </w:tcPr>
          <w:p w:rsidR="00D20A44" w:rsidRPr="002E0D03" w:rsidRDefault="00D20A44" w:rsidP="00343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Vitamin B-6 </w:t>
            </w:r>
          </w:p>
        </w:tc>
        <w:tc>
          <w:tcPr>
            <w:tcW w:w="162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71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144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1422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0A44" w:rsidRPr="0061768C" w:rsidTr="003439EA">
        <w:trPr>
          <w:trHeight w:val="300"/>
        </w:trPr>
        <w:tc>
          <w:tcPr>
            <w:tcW w:w="2808" w:type="dxa"/>
            <w:noWrap/>
          </w:tcPr>
          <w:p w:rsidR="00D20A44" w:rsidRPr="002E0D03" w:rsidRDefault="00D20A44" w:rsidP="003439E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Vitamin B-12</w:t>
            </w:r>
          </w:p>
        </w:tc>
        <w:tc>
          <w:tcPr>
            <w:tcW w:w="162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71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440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422" w:type="dxa"/>
            <w:noWrap/>
          </w:tcPr>
          <w:p w:rsidR="00D20A44" w:rsidRPr="002E0D03" w:rsidRDefault="00D20A44" w:rsidP="003439E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0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</w:t>
            </w:r>
          </w:p>
        </w:tc>
      </w:tr>
    </w:tbl>
    <w:p w:rsidR="00D20A44" w:rsidRDefault="00D20A44" w:rsidP="00D20A4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Default="00D20A44" w:rsidP="00D20A44">
      <w:pPr>
        <w:spacing w:after="120"/>
        <w:rPr>
          <w:rFonts w:ascii="Times New Roman" w:hAnsi="Times New Roman" w:cs="Times New Roman"/>
          <w:b/>
        </w:rPr>
      </w:pPr>
    </w:p>
    <w:p w:rsidR="00D20A44" w:rsidRPr="007F65C1" w:rsidRDefault="00D20A44" w:rsidP="00D20A44">
      <w:pPr>
        <w:spacing w:after="0" w:line="240" w:lineRule="auto"/>
      </w:pPr>
      <w:proofErr w:type="gramStart"/>
      <w:r w:rsidRPr="007F65C1">
        <w:rPr>
          <w:rFonts w:ascii="Times New Roman" w:hAnsi="Times New Roman" w:cs="Times New Roman"/>
          <w:b/>
        </w:rPr>
        <w:lastRenderedPageBreak/>
        <w:t>Supplemental Table 2.</w:t>
      </w:r>
      <w:proofErr w:type="gramEnd"/>
      <w:r w:rsidRPr="007F65C1">
        <w:t xml:space="preserve"> </w:t>
      </w:r>
      <w:r w:rsidRPr="007F65C1">
        <w:rPr>
          <w:rFonts w:ascii="Times New Roman" w:hAnsi="Times New Roman"/>
          <w:b/>
        </w:rPr>
        <w:t xml:space="preserve">Association between dietary intake of </w:t>
      </w:r>
      <w:proofErr w:type="spellStart"/>
      <w:r w:rsidRPr="007F65C1">
        <w:rPr>
          <w:rFonts w:ascii="Times New Roman" w:hAnsi="Times New Roman"/>
          <w:b/>
        </w:rPr>
        <w:t>folate</w:t>
      </w:r>
      <w:proofErr w:type="spellEnd"/>
      <w:r w:rsidRPr="007F65C1">
        <w:rPr>
          <w:rFonts w:ascii="Times New Roman" w:hAnsi="Times New Roman"/>
          <w:b/>
        </w:rPr>
        <w:t xml:space="preserve">, vitamin B6, </w:t>
      </w:r>
      <w:proofErr w:type="gramStart"/>
      <w:r w:rsidRPr="007F65C1">
        <w:rPr>
          <w:rFonts w:ascii="Times New Roman" w:hAnsi="Times New Roman"/>
          <w:b/>
        </w:rPr>
        <w:t>B12</w:t>
      </w:r>
      <w:proofErr w:type="gramEnd"/>
      <w:r w:rsidRPr="007F65C1">
        <w:rPr>
          <w:rFonts w:ascii="Times New Roman" w:hAnsi="Times New Roman"/>
          <w:b/>
        </w:rPr>
        <w:t xml:space="preserve">, methionine and breast cancer risk </w:t>
      </w:r>
      <w:r w:rsidRPr="007F65C1">
        <w:rPr>
          <w:rFonts w:ascii="Times New Roman" w:hAnsi="Times New Roman"/>
          <w:b/>
          <w:u w:val="single"/>
        </w:rPr>
        <w:t>among AA and EA women combined</w:t>
      </w:r>
      <w:r w:rsidRPr="007F65C1">
        <w:rPr>
          <w:rFonts w:ascii="Times New Roman" w:hAnsi="Times New Roman"/>
          <w:b/>
        </w:rPr>
        <w:t xml:space="preserve"> in the WCHS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898"/>
        <w:gridCol w:w="965"/>
        <w:gridCol w:w="967"/>
        <w:gridCol w:w="1128"/>
        <w:gridCol w:w="1973"/>
        <w:gridCol w:w="1933"/>
      </w:tblGrid>
      <w:tr w:rsidR="00D20A44" w:rsidRPr="00605038" w:rsidTr="003439EA">
        <w:tc>
          <w:tcPr>
            <w:tcW w:w="1469" w:type="pct"/>
            <w:tcBorders>
              <w:top w:val="single" w:sz="4" w:space="0" w:color="auto"/>
              <w:bottom w:val="single" w:sz="4" w:space="0" w:color="auto"/>
            </w:tcBorders>
          </w:tcPr>
          <w:p w:rsidR="00D20A44" w:rsidRPr="00605038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20A44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Ca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(n)</w:t>
            </w:r>
          </w:p>
        </w:tc>
        <w:tc>
          <w:tcPr>
            <w:tcW w:w="49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20A44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Co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(n)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95% CI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D20A44" w:rsidRPr="009C542D" w:rsidRDefault="00D20A44" w:rsidP="003439E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P</w:t>
            </w:r>
            <w:r w:rsidRPr="009C542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for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linear</w:t>
            </w:r>
            <w:r w:rsidRPr="009C542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trend</w:t>
            </w:r>
          </w:p>
        </w:tc>
      </w:tr>
      <w:tr w:rsidR="00D20A44" w:rsidRPr="00605038" w:rsidTr="003439EA">
        <w:tc>
          <w:tcPr>
            <w:tcW w:w="4020" w:type="pct"/>
            <w:gridSpan w:val="5"/>
            <w:tcBorders>
              <w:top w:val="single" w:sz="4" w:space="0" w:color="auto"/>
            </w:tcBorders>
            <w:hideMark/>
          </w:tcPr>
          <w:p w:rsidR="00D20A44" w:rsidRPr="00605038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605038">
              <w:rPr>
                <w:rFonts w:ascii="Times New Roman" w:hAnsi="Times New Roman"/>
                <w:b/>
                <w:sz w:val="20"/>
                <w:szCs w:val="20"/>
              </w:rPr>
              <w:t xml:space="preserve">Total dietary </w:t>
            </w:r>
            <w:proofErr w:type="spellStart"/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folate</w:t>
            </w:r>
            <w:proofErr w:type="spellEnd"/>
            <w:r w:rsidRPr="0060503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DFE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, mcg/day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D20A44" w:rsidRPr="00605038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0A44" w:rsidRPr="00605038" w:rsidTr="003439EA">
        <w:tc>
          <w:tcPr>
            <w:tcW w:w="1469" w:type="pct"/>
            <w:hideMark/>
          </w:tcPr>
          <w:p w:rsidR="00D20A44" w:rsidRPr="00605038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605038">
              <w:rPr>
                <w:rFonts w:ascii="Times New Roman" w:hAnsi="Times New Roman"/>
                <w:sz w:val="20"/>
                <w:szCs w:val="20"/>
              </w:rPr>
              <w:t>Q1 (≤334.8)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</w:t>
            </w:r>
          </w:p>
        </w:tc>
        <w:tc>
          <w:tcPr>
            <w:tcW w:w="49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572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00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0.80</w:t>
            </w:r>
          </w:p>
        </w:tc>
      </w:tr>
      <w:tr w:rsidR="00D20A44" w:rsidRPr="00605038" w:rsidTr="003439EA">
        <w:tc>
          <w:tcPr>
            <w:tcW w:w="1469" w:type="pct"/>
            <w:hideMark/>
          </w:tcPr>
          <w:p w:rsidR="00D20A44" w:rsidRPr="00605038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605038">
              <w:rPr>
                <w:rFonts w:ascii="Times New Roman" w:hAnsi="Times New Roman"/>
                <w:sz w:val="20"/>
                <w:szCs w:val="20"/>
              </w:rPr>
              <w:t>Q2 (334.9-468.8)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49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572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0.82</w:t>
            </w:r>
          </w:p>
        </w:tc>
        <w:tc>
          <w:tcPr>
            <w:tcW w:w="100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0.66-1.03</w:t>
            </w:r>
          </w:p>
        </w:tc>
        <w:tc>
          <w:tcPr>
            <w:tcW w:w="98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605038" w:rsidTr="003439EA">
        <w:tc>
          <w:tcPr>
            <w:tcW w:w="1469" w:type="pct"/>
            <w:hideMark/>
          </w:tcPr>
          <w:p w:rsidR="00D20A44" w:rsidRPr="00605038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605038">
              <w:rPr>
                <w:rFonts w:ascii="Times New Roman" w:hAnsi="Times New Roman"/>
                <w:sz w:val="20"/>
                <w:szCs w:val="20"/>
              </w:rPr>
              <w:t>Q3 (468.9-636.4)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49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572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0.86</w:t>
            </w:r>
          </w:p>
        </w:tc>
        <w:tc>
          <w:tcPr>
            <w:tcW w:w="100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0.67-1.10</w:t>
            </w:r>
          </w:p>
        </w:tc>
        <w:tc>
          <w:tcPr>
            <w:tcW w:w="98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605038" w:rsidTr="003439EA">
        <w:tc>
          <w:tcPr>
            <w:tcW w:w="1469" w:type="pct"/>
            <w:hideMark/>
          </w:tcPr>
          <w:p w:rsidR="00D20A44" w:rsidRPr="00605038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605038">
              <w:rPr>
                <w:rFonts w:ascii="Times New Roman" w:hAnsi="Times New Roman"/>
                <w:sz w:val="20"/>
                <w:szCs w:val="20"/>
              </w:rPr>
              <w:t>Q4 (&gt;636.4)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49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</w:t>
            </w:r>
          </w:p>
        </w:tc>
        <w:tc>
          <w:tcPr>
            <w:tcW w:w="572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0.91</w:t>
            </w:r>
          </w:p>
        </w:tc>
        <w:tc>
          <w:tcPr>
            <w:tcW w:w="100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0.67-1.23</w:t>
            </w:r>
          </w:p>
        </w:tc>
        <w:tc>
          <w:tcPr>
            <w:tcW w:w="98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605038" w:rsidTr="003439EA">
        <w:tc>
          <w:tcPr>
            <w:tcW w:w="1469" w:type="pct"/>
            <w:hideMark/>
          </w:tcPr>
          <w:p w:rsidR="00D20A44" w:rsidRPr="00605038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605038">
              <w:rPr>
                <w:rFonts w:ascii="Times New Roman" w:hAnsi="Times New Roman"/>
                <w:i/>
                <w:sz w:val="20"/>
                <w:szCs w:val="20"/>
              </w:rPr>
              <w:t xml:space="preserve">p for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interaction</w:t>
            </w:r>
            <w:r w:rsidRPr="0030025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pct"/>
            <w:gridSpan w:val="2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0.93</w:t>
            </w:r>
          </w:p>
        </w:tc>
        <w:tc>
          <w:tcPr>
            <w:tcW w:w="98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605038" w:rsidTr="003439EA">
        <w:tc>
          <w:tcPr>
            <w:tcW w:w="4020" w:type="pct"/>
            <w:gridSpan w:val="5"/>
            <w:hideMark/>
          </w:tcPr>
          <w:p w:rsidR="00D20A44" w:rsidRPr="00605038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605038">
              <w:rPr>
                <w:rFonts w:ascii="Times New Roman" w:hAnsi="Times New Roman"/>
                <w:b/>
                <w:sz w:val="20"/>
                <w:szCs w:val="20"/>
              </w:rPr>
              <w:t xml:space="preserve">Natural </w:t>
            </w:r>
            <w:proofErr w:type="spellStart"/>
            <w:r w:rsidRPr="00605038">
              <w:rPr>
                <w:rFonts w:ascii="Times New Roman" w:hAnsi="Times New Roman"/>
                <w:b/>
                <w:sz w:val="20"/>
                <w:szCs w:val="20"/>
              </w:rPr>
              <w:t>folate</w:t>
            </w:r>
            <w:proofErr w:type="spellEnd"/>
            <w:r w:rsidRPr="00605038">
              <w:rPr>
                <w:rFonts w:ascii="Times New Roman" w:hAnsi="Times New Roman"/>
                <w:b/>
                <w:sz w:val="20"/>
                <w:szCs w:val="20"/>
              </w:rPr>
              <w:t xml:space="preserve"> from food, mcg/day</w:t>
            </w:r>
          </w:p>
        </w:tc>
        <w:tc>
          <w:tcPr>
            <w:tcW w:w="980" w:type="pct"/>
          </w:tcPr>
          <w:p w:rsidR="00D20A44" w:rsidRPr="00605038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Q1 (≤159.6)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387</w:t>
            </w:r>
          </w:p>
        </w:tc>
        <w:tc>
          <w:tcPr>
            <w:tcW w:w="490" w:type="pct"/>
          </w:tcPr>
          <w:p w:rsidR="00D20A44" w:rsidRPr="00605038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572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00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0.04</w:t>
            </w: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Q2 (159.7-230.6)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49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</w:t>
            </w:r>
          </w:p>
        </w:tc>
        <w:tc>
          <w:tcPr>
            <w:tcW w:w="572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1.01</w:t>
            </w:r>
          </w:p>
        </w:tc>
        <w:tc>
          <w:tcPr>
            <w:tcW w:w="100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0.82-1.26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Q3 (230.7-315.1)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49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572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0.80</w:t>
            </w:r>
          </w:p>
        </w:tc>
        <w:tc>
          <w:tcPr>
            <w:tcW w:w="100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0.62-1.02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Q4 (&gt;315.1)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</w:t>
            </w:r>
          </w:p>
        </w:tc>
        <w:tc>
          <w:tcPr>
            <w:tcW w:w="49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572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0.78</w:t>
            </w:r>
          </w:p>
        </w:tc>
        <w:tc>
          <w:tcPr>
            <w:tcW w:w="100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0.58-1.04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605038">
              <w:rPr>
                <w:rFonts w:ascii="Times New Roman" w:hAnsi="Times New Roman"/>
                <w:i/>
                <w:sz w:val="20"/>
                <w:szCs w:val="20"/>
              </w:rPr>
              <w:t xml:space="preserve">p for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interaction</w:t>
            </w:r>
            <w:r w:rsidRPr="0030025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9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pct"/>
            <w:gridSpan w:val="2"/>
          </w:tcPr>
          <w:p w:rsidR="00D20A44" w:rsidRPr="00605038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0.38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4020" w:type="pct"/>
            <w:gridSpan w:val="5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b/>
                <w:sz w:val="20"/>
                <w:szCs w:val="20"/>
              </w:rPr>
              <w:t xml:space="preserve">Synthetic </w:t>
            </w:r>
            <w:proofErr w:type="spellStart"/>
            <w:r w:rsidRPr="00C93CDA">
              <w:rPr>
                <w:rFonts w:ascii="Times New Roman" w:hAnsi="Times New Roman"/>
                <w:b/>
                <w:sz w:val="20"/>
                <w:szCs w:val="20"/>
              </w:rPr>
              <w:t>folate</w:t>
            </w:r>
            <w:proofErr w:type="spellEnd"/>
            <w:r w:rsidRPr="00C93CDA">
              <w:rPr>
                <w:rFonts w:ascii="Times New Roman" w:hAnsi="Times New Roman"/>
                <w:b/>
                <w:sz w:val="20"/>
                <w:szCs w:val="20"/>
              </w:rPr>
              <w:t xml:space="preserve"> from fortified food, mcg/day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Q1 (≤78.1)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0.02</w:t>
            </w: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Q2 (78.2-129.8)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362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0.83-1.29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Q3 (129.9-188.6)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0.94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0.74-1.19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Q4 (&gt;188.6)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1.32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1.02-1.70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</w:tcPr>
          <w:p w:rsidR="00D20A44" w:rsidRPr="00C93CDA" w:rsidRDefault="00D20A44" w:rsidP="003439E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605038">
              <w:rPr>
                <w:rFonts w:ascii="Times New Roman" w:hAnsi="Times New Roman"/>
                <w:i/>
                <w:sz w:val="20"/>
                <w:szCs w:val="20"/>
              </w:rPr>
              <w:t xml:space="preserve">p for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interaction</w:t>
            </w:r>
            <w:r w:rsidRPr="0030025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pct"/>
            <w:gridSpan w:val="2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0.90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4020" w:type="pct"/>
            <w:gridSpan w:val="5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b/>
                <w:sz w:val="20"/>
                <w:szCs w:val="20"/>
              </w:rPr>
              <w:t>Vitamin B6, mg/day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Q1 (≤1.17)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399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0.96</w:t>
            </w: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Q2 (1.18-1.63)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0.92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0.73-1.15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Q3 (1.64-2.13)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0.84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0.65-1.08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Q4 (&gt;2.13)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0.76-1.41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605038">
              <w:rPr>
                <w:rFonts w:ascii="Times New Roman" w:hAnsi="Times New Roman"/>
                <w:i/>
                <w:sz w:val="20"/>
                <w:szCs w:val="20"/>
              </w:rPr>
              <w:t xml:space="preserve">p for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interaction</w:t>
            </w:r>
            <w:r w:rsidRPr="0030025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pct"/>
            <w:gridSpan w:val="2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0.66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4020" w:type="pct"/>
            <w:gridSpan w:val="5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b/>
                <w:sz w:val="20"/>
                <w:szCs w:val="20"/>
              </w:rPr>
              <w:t>Vitamin B12, mcg/day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Q1 (≤3.13)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0.90</w:t>
            </w: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Q2 (3.14-4.93)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0.94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0.76-1.17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Q3 (4.94-7.08)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0.84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0.66-1.06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Q4 (&gt;7.08)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0.78-1.29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</w:tcPr>
          <w:p w:rsidR="00D20A44" w:rsidRPr="00C93CDA" w:rsidRDefault="00D20A44" w:rsidP="003439E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605038">
              <w:rPr>
                <w:rFonts w:ascii="Times New Roman" w:hAnsi="Times New Roman"/>
                <w:i/>
                <w:sz w:val="20"/>
                <w:szCs w:val="20"/>
              </w:rPr>
              <w:t xml:space="preserve">p for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interaction</w:t>
            </w:r>
            <w:r w:rsidRPr="0030025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pct"/>
            <w:gridSpan w:val="2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0.65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4020" w:type="pct"/>
            <w:gridSpan w:val="5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b/>
                <w:sz w:val="20"/>
                <w:szCs w:val="20"/>
              </w:rPr>
              <w:t>Methionine, g/day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Q1 (≤1.03)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0.76</w:t>
            </w: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Q2 (1.04-1.47)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0.88-1.37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Q3 (1.48-1.96)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0.88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0.68-1.14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Q4 (&gt;1.96)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572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1.06</w:t>
            </w:r>
          </w:p>
        </w:tc>
        <w:tc>
          <w:tcPr>
            <w:tcW w:w="100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0.76-1.48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1469" w:type="pct"/>
          </w:tcPr>
          <w:p w:rsidR="00D20A44" w:rsidRPr="00C93CDA" w:rsidRDefault="00D20A44" w:rsidP="003439E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605038">
              <w:rPr>
                <w:rFonts w:ascii="Times New Roman" w:hAnsi="Times New Roman"/>
                <w:i/>
                <w:sz w:val="20"/>
                <w:szCs w:val="20"/>
              </w:rPr>
              <w:t xml:space="preserve">p for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interaction</w:t>
            </w:r>
            <w:r w:rsidRPr="0030025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9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pct"/>
            <w:gridSpan w:val="2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0.37</w:t>
            </w:r>
          </w:p>
        </w:tc>
        <w:tc>
          <w:tcPr>
            <w:tcW w:w="980" w:type="pct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20A44" w:rsidRDefault="00D20A44" w:rsidP="00D20A4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Abbreviations:  </w:t>
      </w:r>
      <w:proofErr w:type="spellStart"/>
      <w:r>
        <w:rPr>
          <w:rFonts w:ascii="Times New Roman" w:hAnsi="Times New Roman"/>
          <w:sz w:val="20"/>
          <w:szCs w:val="20"/>
        </w:rPr>
        <w:t>Ca</w:t>
      </w:r>
      <w:proofErr w:type="spellEnd"/>
      <w:r>
        <w:rPr>
          <w:rFonts w:ascii="Times New Roman" w:hAnsi="Times New Roman"/>
          <w:sz w:val="20"/>
          <w:szCs w:val="20"/>
        </w:rPr>
        <w:t>, Cases; Co, Controls;</w:t>
      </w:r>
      <w:r w:rsidRPr="001B52D5">
        <w:rPr>
          <w:rFonts w:ascii="Times New Roman" w:hAnsi="Times New Roman"/>
          <w:sz w:val="20"/>
          <w:szCs w:val="20"/>
        </w:rPr>
        <w:t xml:space="preserve"> </w:t>
      </w:r>
      <w:r w:rsidRPr="00A44820">
        <w:rPr>
          <w:rFonts w:ascii="Times New Roman" w:hAnsi="Times New Roman"/>
          <w:sz w:val="20"/>
          <w:szCs w:val="20"/>
        </w:rPr>
        <w:t>OR</w:t>
      </w:r>
      <w:r>
        <w:rPr>
          <w:rFonts w:ascii="Times New Roman" w:hAnsi="Times New Roman"/>
          <w:sz w:val="20"/>
          <w:szCs w:val="20"/>
        </w:rPr>
        <w:t xml:space="preserve">, Odds ratio; 95% CI, 95% confidence interval.  </w:t>
      </w:r>
    </w:p>
    <w:p w:rsidR="00D20A44" w:rsidRDefault="00D20A44" w:rsidP="00D20A4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 w:rsidRPr="00126A71">
        <w:rPr>
          <w:rFonts w:ascii="Times New Roman" w:hAnsi="Times New Roman"/>
          <w:sz w:val="20"/>
          <w:szCs w:val="20"/>
          <w:vertAlign w:val="superscript"/>
        </w:rPr>
        <w:t xml:space="preserve">, </w:t>
      </w:r>
      <w:r>
        <w:rPr>
          <w:rFonts w:ascii="Times New Roman" w:hAnsi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/>
          <w:sz w:val="20"/>
          <w:szCs w:val="20"/>
        </w:rPr>
        <w:t xml:space="preserve">Models </w:t>
      </w:r>
      <w:r w:rsidRPr="00605038">
        <w:rPr>
          <w:rFonts w:ascii="Times New Roman" w:hAnsi="Times New Roman"/>
          <w:sz w:val="20"/>
          <w:szCs w:val="20"/>
        </w:rPr>
        <w:t xml:space="preserve">are adjusted for age, </w:t>
      </w:r>
      <w:r>
        <w:rPr>
          <w:rFonts w:ascii="Times New Roman" w:hAnsi="Times New Roman"/>
          <w:sz w:val="20"/>
          <w:szCs w:val="20"/>
        </w:rPr>
        <w:t xml:space="preserve">race, </w:t>
      </w:r>
      <w:r w:rsidRPr="00605038">
        <w:rPr>
          <w:rFonts w:ascii="Times New Roman" w:hAnsi="Times New Roman"/>
          <w:sz w:val="20"/>
          <w:szCs w:val="20"/>
        </w:rPr>
        <w:t xml:space="preserve">ethnicity, country of origin, education, BMI, age at menarche, menopausal status (when not stratified by this variable), </w:t>
      </w:r>
      <w:r>
        <w:rPr>
          <w:rFonts w:ascii="Times New Roman" w:hAnsi="Times New Roman"/>
          <w:sz w:val="20"/>
          <w:szCs w:val="20"/>
        </w:rPr>
        <w:t>menopausal status</w:t>
      </w:r>
      <w:r w:rsidRPr="00605038">
        <w:rPr>
          <w:rFonts w:ascii="Times New Roman" w:hAnsi="Times New Roman"/>
          <w:sz w:val="20"/>
          <w:szCs w:val="20"/>
        </w:rPr>
        <w:t>, parity, age at first birth, breastfeeding status, family history of breast cancer, OC use, history of benign breast disease, HRT use, smoking status, alcohol consu</w:t>
      </w:r>
      <w:r>
        <w:rPr>
          <w:rFonts w:ascii="Times New Roman" w:hAnsi="Times New Roman"/>
          <w:sz w:val="20"/>
          <w:szCs w:val="20"/>
        </w:rPr>
        <w:t>mption, and total energy intake.</w:t>
      </w:r>
      <w:r w:rsidRPr="00605038">
        <w:rPr>
          <w:rFonts w:ascii="Times New Roman" w:hAnsi="Times New Roman"/>
          <w:sz w:val="20"/>
          <w:szCs w:val="20"/>
        </w:rPr>
        <w:t xml:space="preserve"> </w:t>
      </w:r>
    </w:p>
    <w:p w:rsidR="00D20A44" w:rsidRPr="0030025A" w:rsidRDefault="00D20A44" w:rsidP="00D20A44">
      <w:pPr>
        <w:spacing w:line="240" w:lineRule="auto"/>
        <w:rPr>
          <w:rFonts w:ascii="Times New Roman" w:hAnsi="Times New Roman"/>
          <w:sz w:val="20"/>
          <w:szCs w:val="20"/>
        </w:rPr>
      </w:pPr>
      <w:r w:rsidRPr="0030025A">
        <w:rPr>
          <w:rFonts w:ascii="Times New Roman" w:hAnsi="Times New Roman"/>
          <w:sz w:val="20"/>
          <w:szCs w:val="20"/>
          <w:vertAlign w:val="superscript"/>
        </w:rPr>
        <w:t>3</w:t>
      </w:r>
      <w:r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30025A">
        <w:rPr>
          <w:rFonts w:ascii="Times New Roman" w:hAnsi="Times New Roman"/>
          <w:i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>-value for the test for interaction between race and each nutrient</w:t>
      </w:r>
    </w:p>
    <w:p w:rsidR="00D20A44" w:rsidRDefault="00D20A44" w:rsidP="00D20A44"/>
    <w:p w:rsidR="00D20A44" w:rsidRDefault="00D20A44" w:rsidP="00D20A44"/>
    <w:p w:rsidR="00D20A44" w:rsidRDefault="00D20A44" w:rsidP="00D20A44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D20A44" w:rsidRDefault="00D20A44" w:rsidP="00D20A44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D20A44" w:rsidRDefault="00D20A44" w:rsidP="00D20A44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D20A44" w:rsidRPr="007F65C1" w:rsidRDefault="00D20A44" w:rsidP="00D20A44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7F65C1">
        <w:rPr>
          <w:rFonts w:ascii="Times New Roman" w:hAnsi="Times New Roman"/>
          <w:b/>
        </w:rPr>
        <w:lastRenderedPageBreak/>
        <w:t>Supplemental Table 3.</w:t>
      </w:r>
      <w:proofErr w:type="gramEnd"/>
      <w:r w:rsidRPr="007F65C1">
        <w:rPr>
          <w:rFonts w:ascii="Times New Roman" w:hAnsi="Times New Roman"/>
          <w:b/>
        </w:rPr>
        <w:t xml:space="preserve"> Association between dietary intake of </w:t>
      </w:r>
      <w:proofErr w:type="spellStart"/>
      <w:r w:rsidRPr="007F65C1">
        <w:rPr>
          <w:rFonts w:ascii="Times New Roman" w:hAnsi="Times New Roman"/>
          <w:b/>
        </w:rPr>
        <w:t>folate</w:t>
      </w:r>
      <w:proofErr w:type="spellEnd"/>
      <w:r w:rsidRPr="007F65C1">
        <w:rPr>
          <w:rFonts w:ascii="Times New Roman" w:hAnsi="Times New Roman"/>
          <w:b/>
        </w:rPr>
        <w:t xml:space="preserve">, vitamin B6, B12, methionine and breast cancer risk among </w:t>
      </w:r>
      <w:r w:rsidRPr="007F65C1">
        <w:rPr>
          <w:rFonts w:ascii="Times New Roman" w:hAnsi="Times New Roman"/>
          <w:b/>
          <w:u w:val="single"/>
        </w:rPr>
        <w:t>AA and EA women combined</w:t>
      </w:r>
      <w:r w:rsidRPr="007F65C1">
        <w:rPr>
          <w:rFonts w:ascii="Times New Roman" w:hAnsi="Times New Roman"/>
          <w:b/>
        </w:rPr>
        <w:t xml:space="preserve"> by estrogen receptor (ER) status in the WCHS</w:t>
      </w:r>
    </w:p>
    <w:tbl>
      <w:tblPr>
        <w:tblStyle w:val="TableGrid"/>
        <w:tblW w:w="922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2"/>
        <w:gridCol w:w="900"/>
        <w:gridCol w:w="810"/>
        <w:gridCol w:w="989"/>
        <w:gridCol w:w="695"/>
        <w:gridCol w:w="991"/>
        <w:gridCol w:w="630"/>
        <w:gridCol w:w="1127"/>
      </w:tblGrid>
      <w:tr w:rsidR="00D20A44" w:rsidRPr="00CE4A17" w:rsidTr="003439EA">
        <w:tc>
          <w:tcPr>
            <w:tcW w:w="3082" w:type="dxa"/>
            <w:tcBorders>
              <w:bottom w:val="nil"/>
            </w:tcBorders>
          </w:tcPr>
          <w:p w:rsidR="00D20A44" w:rsidRPr="002E423E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E423E">
              <w:rPr>
                <w:rFonts w:ascii="Times New Roman" w:hAnsi="Times New Roman"/>
                <w:b/>
                <w:sz w:val="20"/>
                <w:szCs w:val="20"/>
              </w:rPr>
              <w:t>Nutrients</w:t>
            </w:r>
          </w:p>
        </w:tc>
        <w:tc>
          <w:tcPr>
            <w:tcW w:w="1710" w:type="dxa"/>
            <w:gridSpan w:val="2"/>
            <w:tcBorders>
              <w:bottom w:val="nil"/>
            </w:tcBorders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Cases</w:t>
            </w:r>
          </w:p>
        </w:tc>
        <w:tc>
          <w:tcPr>
            <w:tcW w:w="989" w:type="dxa"/>
            <w:tcBorders>
              <w:bottom w:val="nil"/>
            </w:tcBorders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Co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ntrols</w:t>
            </w: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6" w:type="dxa"/>
            <w:gridSpan w:val="2"/>
            <w:tcBorders>
              <w:bottom w:val="nil"/>
            </w:tcBorders>
            <w:hideMark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ER+ vs. Co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ntrols</w:t>
            </w:r>
          </w:p>
        </w:tc>
        <w:tc>
          <w:tcPr>
            <w:tcW w:w="1757" w:type="dxa"/>
            <w:gridSpan w:val="2"/>
            <w:tcBorders>
              <w:bottom w:val="nil"/>
            </w:tcBorders>
            <w:hideMark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ER- vs. Co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ntrols</w:t>
            </w:r>
          </w:p>
        </w:tc>
      </w:tr>
      <w:tr w:rsidR="00D20A44" w:rsidRPr="00CE4A17" w:rsidTr="003439EA">
        <w:tc>
          <w:tcPr>
            <w:tcW w:w="3082" w:type="dxa"/>
            <w:tcBorders>
              <w:top w:val="nil"/>
              <w:bottom w:val="single" w:sz="4" w:space="0" w:color="auto"/>
            </w:tcBorders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hideMark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ER+</w:t>
            </w:r>
          </w:p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(n)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hideMark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ER-</w:t>
            </w:r>
          </w:p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 xml:space="preserve"> (n)</w:t>
            </w:r>
          </w:p>
        </w:tc>
        <w:tc>
          <w:tcPr>
            <w:tcW w:w="989" w:type="dxa"/>
            <w:tcBorders>
              <w:top w:val="nil"/>
              <w:bottom w:val="single" w:sz="4" w:space="0" w:color="auto"/>
            </w:tcBorders>
            <w:hideMark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(n)</w:t>
            </w:r>
          </w:p>
        </w:tc>
        <w:tc>
          <w:tcPr>
            <w:tcW w:w="695" w:type="dxa"/>
            <w:tcBorders>
              <w:top w:val="nil"/>
              <w:bottom w:val="single" w:sz="4" w:space="0" w:color="auto"/>
            </w:tcBorders>
            <w:hideMark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hideMark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95% CI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hideMark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OR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  <w:hideMark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95% CI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D20A44" w:rsidRPr="00CE4A17" w:rsidTr="003439EA">
        <w:tc>
          <w:tcPr>
            <w:tcW w:w="9224" w:type="dxa"/>
            <w:gridSpan w:val="8"/>
            <w:tcBorders>
              <w:top w:val="single" w:sz="4" w:space="0" w:color="auto"/>
            </w:tcBorders>
            <w:hideMark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 xml:space="preserve">Total dietary </w:t>
            </w:r>
            <w:proofErr w:type="spellStart"/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folate</w:t>
            </w:r>
            <w:proofErr w:type="spellEnd"/>
            <w:r w:rsidRPr="00CE4A17">
              <w:rPr>
                <w:rFonts w:ascii="Times New Roman" w:hAnsi="Times New Roman"/>
                <w:b/>
                <w:sz w:val="20"/>
                <w:szCs w:val="20"/>
              </w:rPr>
              <w:t xml:space="preserve"> DFE, mcg/day</w:t>
            </w:r>
          </w:p>
        </w:tc>
      </w:tr>
      <w:tr w:rsidR="00D20A44" w:rsidRPr="00CE4A17" w:rsidTr="003439EA">
        <w:tc>
          <w:tcPr>
            <w:tcW w:w="3082" w:type="dxa"/>
            <w:hideMark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Q1 (≤334.8)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E4A17" w:rsidTr="003439EA">
        <w:tc>
          <w:tcPr>
            <w:tcW w:w="3082" w:type="dxa"/>
            <w:hideMark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Q2 (334.9-468.8)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0.64-1.08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0.87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0.57-1.32</w:t>
            </w:r>
          </w:p>
        </w:tc>
      </w:tr>
      <w:tr w:rsidR="00D20A44" w:rsidRPr="00CE4A17" w:rsidTr="003439EA">
        <w:tc>
          <w:tcPr>
            <w:tcW w:w="3082" w:type="dxa"/>
            <w:hideMark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Q3 (468.9-636.4)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0.75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0.56-1.01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0.70-1.72</w:t>
            </w:r>
          </w:p>
        </w:tc>
      </w:tr>
      <w:tr w:rsidR="00D20A44" w:rsidRPr="00CE4A17" w:rsidTr="003439EA">
        <w:tc>
          <w:tcPr>
            <w:tcW w:w="3082" w:type="dxa"/>
            <w:hideMark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Q4 (&gt;636.4)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0.78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0.55-1.11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0.65-1.98</w:t>
            </w:r>
          </w:p>
        </w:tc>
      </w:tr>
      <w:tr w:rsidR="00D20A44" w:rsidRPr="00CE4A17" w:rsidTr="003439EA">
        <w:tc>
          <w:tcPr>
            <w:tcW w:w="3082" w:type="dxa"/>
            <w:hideMark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i/>
                <w:sz w:val="20"/>
                <w:szCs w:val="20"/>
              </w:rPr>
              <w:t>p for linear trend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0.22</w:t>
            </w:r>
          </w:p>
        </w:tc>
        <w:tc>
          <w:tcPr>
            <w:tcW w:w="1757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0.48</w:t>
            </w:r>
          </w:p>
        </w:tc>
      </w:tr>
      <w:tr w:rsidR="00D20A44" w:rsidRPr="00C93CDA" w:rsidTr="003439EA">
        <w:tc>
          <w:tcPr>
            <w:tcW w:w="3982" w:type="dxa"/>
            <w:gridSpan w:val="2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b/>
                <w:sz w:val="20"/>
                <w:szCs w:val="20"/>
              </w:rPr>
              <w:t xml:space="preserve">Natural </w:t>
            </w:r>
            <w:proofErr w:type="spellStart"/>
            <w:r w:rsidRPr="00C93CDA">
              <w:rPr>
                <w:rFonts w:ascii="Times New Roman" w:hAnsi="Times New Roman"/>
                <w:b/>
                <w:sz w:val="20"/>
                <w:szCs w:val="20"/>
              </w:rPr>
              <w:t>folate</w:t>
            </w:r>
            <w:proofErr w:type="spellEnd"/>
            <w:r w:rsidRPr="00C93CDA">
              <w:rPr>
                <w:rFonts w:ascii="Times New Roman" w:hAnsi="Times New Roman"/>
                <w:b/>
                <w:sz w:val="20"/>
                <w:szCs w:val="20"/>
              </w:rPr>
              <w:t xml:space="preserve"> from food, mcg/day</w:t>
            </w:r>
          </w:p>
        </w:tc>
        <w:tc>
          <w:tcPr>
            <w:tcW w:w="81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5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1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27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3082" w:type="dxa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Q1 (≤159.6)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127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93CDA" w:rsidTr="003439EA">
        <w:tc>
          <w:tcPr>
            <w:tcW w:w="3082" w:type="dxa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Q2 (159.7-230.6)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0.90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0.70-1.17</w:t>
            </w:r>
          </w:p>
        </w:tc>
        <w:tc>
          <w:tcPr>
            <w:tcW w:w="63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1.25</w:t>
            </w:r>
          </w:p>
        </w:tc>
        <w:tc>
          <w:tcPr>
            <w:tcW w:w="1127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0.84-1.86</w:t>
            </w:r>
          </w:p>
        </w:tc>
      </w:tr>
      <w:tr w:rsidR="00D20A44" w:rsidRPr="00C93CDA" w:rsidTr="003439EA">
        <w:tc>
          <w:tcPr>
            <w:tcW w:w="3082" w:type="dxa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Q3 (230.7-315.1)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0.73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0.55-0.98</w:t>
            </w:r>
          </w:p>
        </w:tc>
        <w:tc>
          <w:tcPr>
            <w:tcW w:w="63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1127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0.66-1.62</w:t>
            </w:r>
          </w:p>
        </w:tc>
      </w:tr>
      <w:tr w:rsidR="00D20A44" w:rsidRPr="00C93CDA" w:rsidTr="003439EA">
        <w:tc>
          <w:tcPr>
            <w:tcW w:w="3082" w:type="dxa"/>
            <w:hideMark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sz w:val="20"/>
                <w:szCs w:val="20"/>
              </w:rPr>
              <w:t>Q4 (&gt;315.1)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0.65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0.46-0.91</w:t>
            </w:r>
          </w:p>
        </w:tc>
        <w:tc>
          <w:tcPr>
            <w:tcW w:w="63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1.06</w:t>
            </w:r>
          </w:p>
        </w:tc>
        <w:tc>
          <w:tcPr>
            <w:tcW w:w="1127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0.63-1.78</w:t>
            </w:r>
          </w:p>
        </w:tc>
      </w:tr>
      <w:tr w:rsidR="00D20A44" w:rsidRPr="00C93CDA" w:rsidTr="003439EA">
        <w:tc>
          <w:tcPr>
            <w:tcW w:w="3082" w:type="dxa"/>
          </w:tcPr>
          <w:p w:rsidR="00D20A44" w:rsidRPr="00C93CDA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93CDA">
              <w:rPr>
                <w:rFonts w:ascii="Times New Roman" w:hAnsi="Times New Roman"/>
                <w:i/>
                <w:sz w:val="20"/>
                <w:szCs w:val="20"/>
              </w:rPr>
              <w:t>p for linear trend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w="1757" w:type="dxa"/>
            <w:gridSpan w:val="2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0.92</w:t>
            </w:r>
          </w:p>
        </w:tc>
      </w:tr>
      <w:tr w:rsidR="00D20A44" w:rsidRPr="00CE4A17" w:rsidTr="003439EA">
        <w:tc>
          <w:tcPr>
            <w:tcW w:w="9224" w:type="dxa"/>
            <w:gridSpan w:val="8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 xml:space="preserve">Synthetic </w:t>
            </w:r>
            <w:proofErr w:type="spellStart"/>
            <w:r w:rsidRPr="00CE4A17">
              <w:rPr>
                <w:rFonts w:ascii="Times New Roman" w:hAnsi="Times New Roman"/>
                <w:b/>
                <w:sz w:val="20"/>
                <w:szCs w:val="20"/>
              </w:rPr>
              <w:t>folate</w:t>
            </w:r>
            <w:proofErr w:type="spellEnd"/>
            <w:r w:rsidRPr="00CE4A17">
              <w:rPr>
                <w:rFonts w:ascii="Times New Roman" w:hAnsi="Times New Roman"/>
                <w:b/>
                <w:sz w:val="20"/>
                <w:szCs w:val="20"/>
              </w:rPr>
              <w:t xml:space="preserve"> from fortified food, mcg/day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Q1 (≤78.1)</w:t>
            </w:r>
          </w:p>
        </w:tc>
        <w:tc>
          <w:tcPr>
            <w:tcW w:w="90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81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989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695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991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Q2 (78.2-129.8)</w:t>
            </w:r>
          </w:p>
        </w:tc>
        <w:tc>
          <w:tcPr>
            <w:tcW w:w="90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</w:t>
            </w:r>
          </w:p>
        </w:tc>
        <w:tc>
          <w:tcPr>
            <w:tcW w:w="81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89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695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0.99</w:t>
            </w:r>
          </w:p>
        </w:tc>
        <w:tc>
          <w:tcPr>
            <w:tcW w:w="991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0.77-1.28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0.97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0.64-1.45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Q3 (129.9-188.6)</w:t>
            </w:r>
          </w:p>
        </w:tc>
        <w:tc>
          <w:tcPr>
            <w:tcW w:w="90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81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89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695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0.84</w:t>
            </w:r>
          </w:p>
        </w:tc>
        <w:tc>
          <w:tcPr>
            <w:tcW w:w="991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0.63-1.11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1.06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0.69-1.63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Q4 (&gt;188.6)</w:t>
            </w:r>
          </w:p>
        </w:tc>
        <w:tc>
          <w:tcPr>
            <w:tcW w:w="90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81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989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695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991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0.89-1.61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1.41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0.88-2.24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CE4A17">
              <w:rPr>
                <w:rFonts w:ascii="Times New Roman" w:hAnsi="Times New Roman"/>
                <w:i/>
                <w:sz w:val="20"/>
                <w:szCs w:val="20"/>
              </w:rPr>
              <w:t>p for linear trend</w:t>
            </w:r>
          </w:p>
        </w:tc>
        <w:tc>
          <w:tcPr>
            <w:tcW w:w="90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gridSpan w:val="2"/>
          </w:tcPr>
          <w:p w:rsidR="00D20A44" w:rsidRPr="00C93CDA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0.19</w:t>
            </w:r>
          </w:p>
        </w:tc>
        <w:tc>
          <w:tcPr>
            <w:tcW w:w="1757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0.09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 xml:space="preserve">Vitamin B6, mg/day 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Q1 (≤1.17)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Q2 (1.18-1.63)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0.99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0.76-1.28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0.86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0.56-1.33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Q3 (1.64-2.13)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0.74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0.54-1.00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0.71-1.80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Q4 (&gt;2.13)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0.94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0.65-1.37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0.68-2.12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i/>
                <w:sz w:val="20"/>
                <w:szCs w:val="20"/>
              </w:rPr>
              <w:t>p for linear trend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0.62</w:t>
            </w:r>
          </w:p>
        </w:tc>
        <w:tc>
          <w:tcPr>
            <w:tcW w:w="1757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0.38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 xml:space="preserve">Vitamin B12, mcg/day 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Q1 (≤3.13)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Q2 (3.14-4.93)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0.87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0.67-1.12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0.76-1.67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Q3 (4.94-7.08)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0.79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0.60-1.04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0.73-1.72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Q4 (&gt;7.08)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0.90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0.66-1.22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1.01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0.63-1.62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CE4A17">
              <w:rPr>
                <w:rFonts w:ascii="Times New Roman" w:hAnsi="Times New Roman"/>
                <w:i/>
                <w:sz w:val="20"/>
                <w:szCs w:val="20"/>
              </w:rPr>
              <w:t>p for linear trend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0.62</w:t>
            </w:r>
          </w:p>
        </w:tc>
        <w:tc>
          <w:tcPr>
            <w:tcW w:w="1757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0.89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E4A17">
              <w:rPr>
                <w:rFonts w:ascii="Times New Roman" w:hAnsi="Times New Roman"/>
                <w:b/>
                <w:sz w:val="20"/>
                <w:szCs w:val="20"/>
              </w:rPr>
              <w:t xml:space="preserve">Methionine, g/day 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Q1 (≤1.03)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Q2 (1.04-1.47)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0.96-1.62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0.74-1.68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Q3 (1.48-1.96)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0.79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0.58-1.09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0.99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0.61-1.59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sz w:val="20"/>
                <w:szCs w:val="20"/>
              </w:rPr>
            </w:pPr>
            <w:r w:rsidRPr="00CE4A17">
              <w:rPr>
                <w:rFonts w:ascii="Times New Roman" w:hAnsi="Times New Roman"/>
                <w:sz w:val="20"/>
                <w:szCs w:val="20"/>
              </w:rPr>
              <w:t>Q4 (&gt;1.96)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695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991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0.78-1.77</w:t>
            </w:r>
          </w:p>
        </w:tc>
        <w:tc>
          <w:tcPr>
            <w:tcW w:w="63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1127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0.60-2.04</w:t>
            </w:r>
          </w:p>
        </w:tc>
      </w:tr>
      <w:tr w:rsidR="00D20A44" w:rsidRPr="00CE4A17" w:rsidTr="003439EA">
        <w:tc>
          <w:tcPr>
            <w:tcW w:w="3082" w:type="dxa"/>
          </w:tcPr>
          <w:p w:rsidR="00D20A44" w:rsidRPr="00CE4A17" w:rsidRDefault="00D20A44" w:rsidP="003439E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CE4A17">
              <w:rPr>
                <w:rFonts w:ascii="Times New Roman" w:hAnsi="Times New Roman"/>
                <w:i/>
                <w:sz w:val="20"/>
                <w:szCs w:val="20"/>
              </w:rPr>
              <w:t>p for linear trend</w:t>
            </w:r>
          </w:p>
        </w:tc>
        <w:tc>
          <w:tcPr>
            <w:tcW w:w="90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0.99</w:t>
            </w:r>
          </w:p>
        </w:tc>
        <w:tc>
          <w:tcPr>
            <w:tcW w:w="1757" w:type="dxa"/>
            <w:gridSpan w:val="2"/>
          </w:tcPr>
          <w:p w:rsidR="00D20A44" w:rsidRPr="00CE4A17" w:rsidRDefault="00D20A44" w:rsidP="003439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0.87</w:t>
            </w:r>
          </w:p>
        </w:tc>
      </w:tr>
    </w:tbl>
    <w:p w:rsidR="00D20A44" w:rsidRDefault="00D20A44" w:rsidP="00D20A4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Abbreviations:  </w:t>
      </w:r>
      <w:r w:rsidRPr="00A44820">
        <w:rPr>
          <w:rFonts w:ascii="Times New Roman" w:hAnsi="Times New Roman"/>
          <w:sz w:val="20"/>
          <w:szCs w:val="20"/>
        </w:rPr>
        <w:t>OR</w:t>
      </w:r>
      <w:r>
        <w:rPr>
          <w:rFonts w:ascii="Times New Roman" w:hAnsi="Times New Roman"/>
          <w:sz w:val="20"/>
          <w:szCs w:val="20"/>
        </w:rPr>
        <w:t xml:space="preserve">, Odds ratio; 95% CI, 95% confidence interval.  </w:t>
      </w:r>
    </w:p>
    <w:p w:rsidR="00D20A44" w:rsidRPr="00CE4A17" w:rsidRDefault="00D20A44" w:rsidP="00D20A44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1, 2</w:t>
      </w:r>
      <w:r w:rsidRPr="00CE4A1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Models</w:t>
      </w:r>
      <w:r w:rsidRPr="00CE4A17">
        <w:rPr>
          <w:rFonts w:ascii="Times New Roman" w:hAnsi="Times New Roman"/>
          <w:sz w:val="20"/>
          <w:szCs w:val="20"/>
        </w:rPr>
        <w:t xml:space="preserve"> are adjusted for age, </w:t>
      </w:r>
      <w:r>
        <w:rPr>
          <w:rFonts w:ascii="Times New Roman" w:hAnsi="Times New Roman"/>
          <w:sz w:val="20"/>
          <w:szCs w:val="20"/>
        </w:rPr>
        <w:t xml:space="preserve">race, </w:t>
      </w:r>
      <w:r w:rsidRPr="00CE4A17">
        <w:rPr>
          <w:rFonts w:ascii="Times New Roman" w:hAnsi="Times New Roman"/>
          <w:sz w:val="20"/>
          <w:szCs w:val="20"/>
        </w:rPr>
        <w:t>ethnicity, country of origin,</w:t>
      </w:r>
      <w:r>
        <w:rPr>
          <w:rFonts w:ascii="Times New Roman" w:hAnsi="Times New Roman"/>
          <w:sz w:val="20"/>
          <w:szCs w:val="20"/>
        </w:rPr>
        <w:t xml:space="preserve"> </w:t>
      </w:r>
      <w:r w:rsidRPr="00CE4A17">
        <w:rPr>
          <w:rFonts w:ascii="Times New Roman" w:hAnsi="Times New Roman"/>
          <w:sz w:val="20"/>
          <w:szCs w:val="20"/>
        </w:rPr>
        <w:t>education, BMI, age at menarche, menopausal status, parity, age at first birth, breastfeeding status, family history of</w:t>
      </w:r>
      <w:r>
        <w:rPr>
          <w:rFonts w:ascii="Times New Roman" w:hAnsi="Times New Roman"/>
          <w:sz w:val="20"/>
          <w:szCs w:val="20"/>
        </w:rPr>
        <w:t xml:space="preserve"> </w:t>
      </w:r>
      <w:r w:rsidRPr="00CE4A17">
        <w:rPr>
          <w:rFonts w:ascii="Times New Roman" w:hAnsi="Times New Roman"/>
          <w:sz w:val="20"/>
          <w:szCs w:val="20"/>
        </w:rPr>
        <w:t>breast cancer, OC use, history of benign breast disease,</w:t>
      </w:r>
      <w:r>
        <w:rPr>
          <w:rFonts w:ascii="Times New Roman" w:hAnsi="Times New Roman"/>
          <w:sz w:val="20"/>
          <w:szCs w:val="20"/>
        </w:rPr>
        <w:t xml:space="preserve"> </w:t>
      </w:r>
      <w:r w:rsidRPr="00CE4A17">
        <w:rPr>
          <w:rFonts w:ascii="Times New Roman" w:hAnsi="Times New Roman"/>
          <w:sz w:val="20"/>
          <w:szCs w:val="20"/>
        </w:rPr>
        <w:t>HRT use, smoking status, alcohol consumption, and total</w:t>
      </w:r>
      <w:r>
        <w:rPr>
          <w:rFonts w:ascii="Times New Roman" w:hAnsi="Times New Roman"/>
          <w:sz w:val="20"/>
          <w:szCs w:val="20"/>
        </w:rPr>
        <w:t xml:space="preserve"> </w:t>
      </w:r>
      <w:r w:rsidRPr="00CE4A17">
        <w:rPr>
          <w:rFonts w:ascii="Times New Roman" w:hAnsi="Times New Roman"/>
          <w:sz w:val="20"/>
          <w:szCs w:val="20"/>
        </w:rPr>
        <w:t xml:space="preserve">energy intake. </w:t>
      </w:r>
    </w:p>
    <w:p w:rsidR="00D20A44" w:rsidRDefault="00D20A44" w:rsidP="00D20A44"/>
    <w:p w:rsidR="00055171" w:rsidRDefault="00055171"/>
    <w:sectPr w:rsidR="00055171" w:rsidSect="007517CD">
      <w:footerReference w:type="default" r:id="rId7"/>
      <w:pgSz w:w="12240" w:h="15840"/>
      <w:pgMar w:top="1440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065D">
      <w:pPr>
        <w:spacing w:after="0" w:line="240" w:lineRule="auto"/>
      </w:pPr>
      <w:r>
        <w:separator/>
      </w:r>
    </w:p>
  </w:endnote>
  <w:endnote w:type="continuationSeparator" w:id="0">
    <w:p w:rsidR="00000000" w:rsidRDefault="00890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6853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12EC" w:rsidRDefault="00D20A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2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12EC" w:rsidRDefault="008906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065D">
      <w:pPr>
        <w:spacing w:after="0" w:line="240" w:lineRule="auto"/>
      </w:pPr>
      <w:r>
        <w:separator/>
      </w:r>
    </w:p>
  </w:footnote>
  <w:footnote w:type="continuationSeparator" w:id="0">
    <w:p w:rsidR="00000000" w:rsidRDefault="00890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A44"/>
    <w:rsid w:val="00055171"/>
    <w:rsid w:val="003700B2"/>
    <w:rsid w:val="0089065D"/>
    <w:rsid w:val="00D20A44"/>
    <w:rsid w:val="00D312BF"/>
    <w:rsid w:val="00FC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20A44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20A44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20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D20A4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20A44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20A44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20A44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20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D20A4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20A4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4086</Characters>
  <Application>Microsoft Office Word</Application>
  <DocSecurity>0</DocSecurity>
  <Lines>34</Lines>
  <Paragraphs>9</Paragraphs>
  <ScaleCrop>false</ScaleCrop>
  <Company>Roswell Park Cancer Institute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Gong, Zhihong</dc:creator>
  <cp:keywords/>
  <dc:description/>
  <cp:lastModifiedBy>Gong, Zhihong</cp:lastModifiedBy>
  <cp:revision>2</cp:revision>
  <dcterms:created xsi:type="dcterms:W3CDTF">2013-08-06T14:41:00Z</dcterms:created>
  <dcterms:modified xsi:type="dcterms:W3CDTF">2013-08-06T14:41:00Z</dcterms:modified>
</cp:coreProperties>
</file>