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90" w:rsidRDefault="00B86090" w:rsidP="00B86090">
      <w:pPr>
        <w:jc w:val="both"/>
        <w:rPr>
          <w:rFonts w:ascii="Garamond" w:hAnsi="Garamond"/>
          <w:b/>
          <w:bCs/>
          <w:iCs/>
          <w:lang w:eastAsia="zh-CN"/>
        </w:rPr>
      </w:pPr>
      <w:r w:rsidRPr="00651941">
        <w:rPr>
          <w:rFonts w:ascii="Garamond" w:hAnsi="Garamond"/>
          <w:b/>
          <w:bCs/>
          <w:iCs/>
          <w:highlight w:val="yellow"/>
          <w:lang w:eastAsia="zh-CN"/>
        </w:rPr>
        <w:t xml:space="preserve">Methods Supplement </w:t>
      </w:r>
    </w:p>
    <w:p w:rsidR="00B86090" w:rsidRPr="00723696" w:rsidRDefault="00B86090" w:rsidP="00B86090">
      <w:pPr>
        <w:jc w:val="both"/>
        <w:rPr>
          <w:rFonts w:ascii="Garamond" w:hAnsi="Garamond"/>
          <w:b/>
          <w:bCs/>
          <w:iCs/>
          <w:lang w:eastAsia="zh-CN"/>
        </w:rPr>
      </w:pPr>
    </w:p>
    <w:p w:rsidR="00B86090" w:rsidRDefault="00B86090" w:rsidP="00B86090">
      <w:pPr>
        <w:pStyle w:val="Default"/>
        <w:spacing w:line="480" w:lineRule="auto"/>
        <w:jc w:val="both"/>
        <w:rPr>
          <w:rFonts w:ascii="Garamond" w:hAnsi="Garamond"/>
          <w:color w:val="auto"/>
          <w:highlight w:val="yellow"/>
          <w:lang w:val="en-GB" w:eastAsia="en-US"/>
        </w:rPr>
      </w:pPr>
      <w:r w:rsidRPr="00CB301A">
        <w:rPr>
          <w:rFonts w:ascii="Garamond" w:hAnsi="Garamond"/>
          <w:b/>
          <w:color w:val="auto"/>
          <w:highlight w:val="yellow"/>
          <w:lang w:val="en-GB" w:eastAsia="en-US"/>
        </w:rPr>
        <w:t>Clinical specimens</w:t>
      </w:r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 </w:t>
      </w:r>
    </w:p>
    <w:p w:rsidR="00B86090" w:rsidRPr="00CB301A" w:rsidRDefault="00B86090" w:rsidP="00B86090">
      <w:pPr>
        <w:pStyle w:val="Default"/>
        <w:spacing w:line="480" w:lineRule="auto"/>
        <w:jc w:val="both"/>
        <w:rPr>
          <w:rFonts w:ascii="Garamond" w:hAnsi="Garamond"/>
          <w:color w:val="auto"/>
          <w:highlight w:val="yellow"/>
          <w:lang w:val="en-GB" w:eastAsia="en-US"/>
        </w:rPr>
      </w:pPr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Venous blood was taken </w:t>
      </w:r>
      <w:proofErr w:type="spellStart"/>
      <w:r w:rsidRPr="00CB301A">
        <w:rPr>
          <w:rFonts w:ascii="Garamond" w:hAnsi="Garamond"/>
          <w:color w:val="auto"/>
          <w:highlight w:val="yellow"/>
          <w:lang w:val="en-GB" w:eastAsia="en-US"/>
        </w:rPr>
        <w:t>antenatally</w:t>
      </w:r>
      <w:proofErr w:type="spellEnd"/>
      <w:r w:rsidRPr="00CB301A">
        <w:rPr>
          <w:rFonts w:ascii="Garamond" w:hAnsi="Garamond"/>
          <w:color w:val="auto"/>
          <w:highlight w:val="yellow"/>
          <w:lang w:val="en-GB" w:eastAsia="en-US"/>
        </w:rPr>
        <w:t>. Serum was prepared by centrifugation and specimens were frozen at -80°C until analysis. Case-control pairs were batch assayed to minimize any effect of inter-assay variability.</w:t>
      </w:r>
    </w:p>
    <w:p w:rsidR="00B86090" w:rsidRDefault="00B86090" w:rsidP="00B8609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B301A">
        <w:rPr>
          <w:rFonts w:ascii="Garamond" w:hAnsi="Garamond"/>
          <w:b/>
          <w:color w:val="auto"/>
          <w:highlight w:val="yellow"/>
          <w:lang w:val="en-GB" w:eastAsia="en-US"/>
        </w:rPr>
        <w:t xml:space="preserve">Detection anti-CMV </w:t>
      </w:r>
      <w:proofErr w:type="spellStart"/>
      <w:r w:rsidRPr="00CB301A">
        <w:rPr>
          <w:rFonts w:ascii="Garamond" w:hAnsi="Garamond"/>
          <w:b/>
          <w:color w:val="auto"/>
          <w:highlight w:val="yellow"/>
          <w:lang w:val="en-GB" w:eastAsia="en-US"/>
        </w:rPr>
        <w:t>IgG</w:t>
      </w:r>
      <w:proofErr w:type="spellEnd"/>
      <w:r w:rsidRPr="00CB301A">
        <w:rPr>
          <w:rFonts w:ascii="Garamond" w:hAnsi="Garamond"/>
          <w:b/>
          <w:color w:val="auto"/>
          <w:highlight w:val="yellow"/>
          <w:lang w:val="en-GB" w:eastAsia="en-US"/>
        </w:rPr>
        <w:t xml:space="preserve">, </w:t>
      </w:r>
      <w:proofErr w:type="spellStart"/>
      <w:r w:rsidRPr="00CB301A">
        <w:rPr>
          <w:rFonts w:ascii="Garamond" w:hAnsi="Garamond"/>
          <w:b/>
          <w:color w:val="auto"/>
          <w:highlight w:val="yellow"/>
          <w:lang w:val="en-GB" w:eastAsia="en-US"/>
        </w:rPr>
        <w:t>IgM</w:t>
      </w:r>
      <w:proofErr w:type="spellEnd"/>
      <w:r w:rsidRPr="00CB301A">
        <w:rPr>
          <w:rFonts w:ascii="Garamond" w:hAnsi="Garamond"/>
          <w:b/>
          <w:color w:val="auto"/>
          <w:highlight w:val="yellow"/>
          <w:lang w:val="en-GB" w:eastAsia="en-US"/>
        </w:rPr>
        <w:t xml:space="preserve"> and </w:t>
      </w:r>
      <w:proofErr w:type="spellStart"/>
      <w:r w:rsidRPr="00CB301A">
        <w:rPr>
          <w:rFonts w:ascii="Garamond" w:hAnsi="Garamond"/>
          <w:b/>
          <w:color w:val="auto"/>
          <w:highlight w:val="yellow"/>
          <w:lang w:val="en-GB" w:eastAsia="en-US"/>
        </w:rPr>
        <w:t>IgA</w:t>
      </w:r>
      <w:proofErr w:type="spellEnd"/>
      <w:r w:rsidRPr="00CB301A">
        <w:rPr>
          <w:rFonts w:ascii="Garamond" w:hAnsi="Garamond"/>
          <w:b/>
          <w:color w:val="auto"/>
          <w:highlight w:val="yellow"/>
          <w:lang w:val="en-GB" w:eastAsia="en-US"/>
        </w:rPr>
        <w:t xml:space="preserve"> serology</w:t>
      </w:r>
    </w:p>
    <w:p w:rsidR="00B86090" w:rsidRDefault="00B86090" w:rsidP="00B8609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B86090" w:rsidRPr="00CB301A" w:rsidRDefault="00B86090" w:rsidP="00B86090">
      <w:pPr>
        <w:pStyle w:val="Default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Enzyme-linked </w:t>
      </w:r>
      <w:proofErr w:type="spellStart"/>
      <w:r w:rsidRPr="00CB301A">
        <w:rPr>
          <w:rFonts w:ascii="Garamond" w:hAnsi="Garamond"/>
          <w:color w:val="auto"/>
          <w:highlight w:val="yellow"/>
          <w:lang w:val="en-GB" w:eastAsia="en-US"/>
        </w:rPr>
        <w:t>immunosorbent</w:t>
      </w:r>
      <w:proofErr w:type="spellEnd"/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 assays (ELISA) were performed to detect anti-CMV </w:t>
      </w:r>
      <w:proofErr w:type="spellStart"/>
      <w:r w:rsidRPr="00CB301A">
        <w:rPr>
          <w:rFonts w:ascii="Garamond" w:hAnsi="Garamond"/>
          <w:color w:val="auto"/>
          <w:highlight w:val="yellow"/>
          <w:lang w:val="en-GB" w:eastAsia="en-US"/>
        </w:rPr>
        <w:t>IgG</w:t>
      </w:r>
      <w:proofErr w:type="spellEnd"/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, anti-CMV </w:t>
      </w:r>
      <w:proofErr w:type="spellStart"/>
      <w:r w:rsidRPr="00CB301A">
        <w:rPr>
          <w:rFonts w:ascii="Garamond" w:hAnsi="Garamond"/>
          <w:color w:val="auto"/>
          <w:highlight w:val="yellow"/>
          <w:lang w:val="en-GB" w:eastAsia="en-US"/>
        </w:rPr>
        <w:t>IgM</w:t>
      </w:r>
      <w:proofErr w:type="spellEnd"/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 (</w:t>
      </w:r>
      <w:proofErr w:type="spellStart"/>
      <w:r w:rsidRPr="00CB301A">
        <w:rPr>
          <w:rFonts w:ascii="Garamond" w:hAnsi="Garamond"/>
          <w:color w:val="auto"/>
          <w:highlight w:val="yellow"/>
          <w:lang w:val="en-GB" w:eastAsia="en-US"/>
        </w:rPr>
        <w:t>Calbiotech</w:t>
      </w:r>
      <w:proofErr w:type="spellEnd"/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, Sprint Valley, CA, USA), and anti-CMV </w:t>
      </w:r>
      <w:proofErr w:type="spellStart"/>
      <w:r w:rsidRPr="00CB301A">
        <w:rPr>
          <w:rFonts w:ascii="Garamond" w:hAnsi="Garamond"/>
          <w:color w:val="auto"/>
          <w:highlight w:val="yellow"/>
          <w:lang w:val="en-GB" w:eastAsia="en-US"/>
        </w:rPr>
        <w:t>IgA</w:t>
      </w:r>
      <w:proofErr w:type="spellEnd"/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 (Diagnostic Automation Inc, CA, USA) in maternal serum samples according to the manufacturers’ instructions. CMV </w:t>
      </w:r>
      <w:proofErr w:type="spellStart"/>
      <w:r w:rsidRPr="00CB301A">
        <w:rPr>
          <w:rFonts w:ascii="Garamond" w:hAnsi="Garamond"/>
          <w:color w:val="auto"/>
          <w:highlight w:val="yellow"/>
          <w:lang w:val="en-GB" w:eastAsia="en-US"/>
        </w:rPr>
        <w:t>IgG</w:t>
      </w:r>
      <w:proofErr w:type="spellEnd"/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 or </w:t>
      </w:r>
      <w:proofErr w:type="spellStart"/>
      <w:r w:rsidRPr="00CB301A">
        <w:rPr>
          <w:rFonts w:ascii="Garamond" w:hAnsi="Garamond"/>
          <w:color w:val="auto"/>
          <w:highlight w:val="yellow"/>
          <w:lang w:val="en-GB" w:eastAsia="en-US"/>
        </w:rPr>
        <w:t>IgM</w:t>
      </w:r>
      <w:proofErr w:type="spellEnd"/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 antibody indices greater than 1.1 were considered positive. CMV </w:t>
      </w:r>
      <w:proofErr w:type="spellStart"/>
      <w:r w:rsidRPr="00CB301A">
        <w:rPr>
          <w:rFonts w:ascii="Garamond" w:hAnsi="Garamond"/>
          <w:color w:val="auto"/>
          <w:highlight w:val="yellow"/>
          <w:lang w:val="en-GB" w:eastAsia="en-US"/>
        </w:rPr>
        <w:t>IgA</w:t>
      </w:r>
      <w:proofErr w:type="spellEnd"/>
      <w:r w:rsidRPr="00CB301A">
        <w:rPr>
          <w:rFonts w:ascii="Garamond" w:hAnsi="Garamond"/>
          <w:color w:val="auto"/>
          <w:highlight w:val="yellow"/>
          <w:lang w:val="en-GB" w:eastAsia="en-US"/>
        </w:rPr>
        <w:t xml:space="preserve"> antibody indices greater than 1.0 were considered positive.</w:t>
      </w:r>
    </w:p>
    <w:p w:rsidR="00B86090" w:rsidRPr="00651941" w:rsidRDefault="00B86090" w:rsidP="00B86090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kern w:val="2"/>
          <w:highlight w:val="yellow"/>
        </w:rPr>
      </w:pPr>
      <w:proofErr w:type="spellStart"/>
      <w:r w:rsidRPr="00651941">
        <w:rPr>
          <w:rFonts w:ascii="Garamond" w:hAnsi="Garamond" w:cs="Garamond"/>
          <w:b/>
          <w:color w:val="000000"/>
          <w:highlight w:val="yellow"/>
        </w:rPr>
        <w:t>Neutrophil</w:t>
      </w:r>
      <w:proofErr w:type="spellEnd"/>
      <w:r w:rsidRPr="00651941">
        <w:rPr>
          <w:rFonts w:ascii="Garamond" w:hAnsi="Garamond" w:cs="Garamond"/>
          <w:b/>
          <w:color w:val="000000"/>
          <w:highlight w:val="yellow"/>
        </w:rPr>
        <w:t xml:space="preserve"> isolation </w:t>
      </w:r>
    </w:p>
    <w:p w:rsidR="00B86090" w:rsidRDefault="00B86090" w:rsidP="00B86090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Garamond" w:hAnsi="Garamond" w:hint="eastAsia"/>
          <w:kern w:val="2"/>
          <w:lang w:eastAsia="zh-CN"/>
        </w:rPr>
      </w:pPr>
      <w:r w:rsidRPr="00651941">
        <w:rPr>
          <w:rFonts w:ascii="Garamond" w:hAnsi="Garamond"/>
          <w:highlight w:val="yellow"/>
        </w:rPr>
        <w:t>Briefly, 25ml blood was transferred to 50ml polypropylene tubes with Ca</w:t>
      </w:r>
      <w:r w:rsidRPr="00651941">
        <w:rPr>
          <w:rFonts w:ascii="Garamond" w:hAnsi="Garamond"/>
          <w:highlight w:val="yellow"/>
          <w:vertAlign w:val="superscript"/>
        </w:rPr>
        <w:t>2+</w:t>
      </w:r>
      <w:r w:rsidRPr="00651941">
        <w:rPr>
          <w:rFonts w:ascii="Garamond" w:hAnsi="Garamond"/>
          <w:highlight w:val="yellow"/>
        </w:rPr>
        <w:t>- and Mg</w:t>
      </w:r>
      <w:r w:rsidRPr="00651941">
        <w:rPr>
          <w:rFonts w:ascii="Garamond" w:hAnsi="Garamond"/>
          <w:highlight w:val="yellow"/>
          <w:vertAlign w:val="superscript"/>
        </w:rPr>
        <w:t>2+</w:t>
      </w:r>
      <w:r w:rsidRPr="00651941">
        <w:rPr>
          <w:rFonts w:ascii="Garamond" w:hAnsi="Garamond"/>
          <w:highlight w:val="yellow"/>
        </w:rPr>
        <w:t>- free Dulbecco PBS (</w:t>
      </w:r>
      <w:r w:rsidRPr="00651941">
        <w:rPr>
          <w:rFonts w:ascii="Garamond" w:hAnsi="Garamond"/>
          <w:iCs/>
          <w:highlight w:val="yellow"/>
        </w:rPr>
        <w:t>Phosphate buffered saline)</w:t>
      </w:r>
      <w:r w:rsidRPr="00651941">
        <w:rPr>
          <w:rFonts w:ascii="Garamond" w:hAnsi="Garamond"/>
          <w:highlight w:val="yellow"/>
        </w:rPr>
        <w:t xml:space="preserve"> (</w:t>
      </w:r>
      <w:proofErr w:type="spellStart"/>
      <w:r w:rsidRPr="00651941">
        <w:rPr>
          <w:rFonts w:ascii="Garamond" w:hAnsi="Garamond"/>
          <w:highlight w:val="yellow"/>
        </w:rPr>
        <w:t>Gibco</w:t>
      </w:r>
      <w:proofErr w:type="spellEnd"/>
      <w:r w:rsidRPr="00651941">
        <w:rPr>
          <w:rFonts w:ascii="Garamond" w:hAnsi="Garamond"/>
          <w:highlight w:val="yellow"/>
        </w:rPr>
        <w:t xml:space="preserve">, Grand Island, NY; total volume 40ml). 6% </w:t>
      </w:r>
      <w:proofErr w:type="spellStart"/>
      <w:r w:rsidRPr="00651941">
        <w:rPr>
          <w:rFonts w:ascii="Garamond" w:hAnsi="Garamond"/>
          <w:highlight w:val="yellow"/>
        </w:rPr>
        <w:t>Dextran</w:t>
      </w:r>
      <w:proofErr w:type="spellEnd"/>
      <w:r w:rsidRPr="00651941">
        <w:rPr>
          <w:rFonts w:ascii="Garamond" w:hAnsi="Garamond"/>
          <w:highlight w:val="yellow"/>
        </w:rPr>
        <w:t xml:space="preserve"> sedimentation was performed for 30 minutes, and the resulting leukocyte-rich plasma (LRP) transferred into a new Falcon 50ml tube for centrifugation, re-suspension in 20ml of PBS layered onto 10 ml of </w:t>
      </w:r>
      <w:proofErr w:type="spellStart"/>
      <w:r w:rsidRPr="00651941">
        <w:rPr>
          <w:rFonts w:ascii="Garamond" w:hAnsi="Garamond"/>
          <w:highlight w:val="yellow"/>
        </w:rPr>
        <w:t>Ficoll-Paque</w:t>
      </w:r>
      <w:proofErr w:type="spellEnd"/>
      <w:r w:rsidRPr="00651941">
        <w:rPr>
          <w:rFonts w:ascii="Garamond" w:hAnsi="Garamond"/>
          <w:highlight w:val="yellow"/>
        </w:rPr>
        <w:t xml:space="preserve"> Plus, and differential centrifugation. The resulting </w:t>
      </w:r>
      <w:proofErr w:type="spellStart"/>
      <w:r w:rsidRPr="00651941">
        <w:rPr>
          <w:rFonts w:ascii="Garamond" w:hAnsi="Garamond"/>
          <w:highlight w:val="yellow"/>
        </w:rPr>
        <w:t>neutrophil</w:t>
      </w:r>
      <w:proofErr w:type="spellEnd"/>
      <w:r w:rsidRPr="00651941">
        <w:rPr>
          <w:rFonts w:ascii="Garamond" w:hAnsi="Garamond"/>
          <w:highlight w:val="yellow"/>
        </w:rPr>
        <w:t xml:space="preserve">-enriched cell pellet was washed twice in PBS, and red cell </w:t>
      </w:r>
      <w:proofErr w:type="spellStart"/>
      <w:r w:rsidRPr="00651941">
        <w:rPr>
          <w:rFonts w:ascii="Garamond" w:hAnsi="Garamond"/>
          <w:highlight w:val="yellow"/>
        </w:rPr>
        <w:t>lysis</w:t>
      </w:r>
      <w:proofErr w:type="spellEnd"/>
      <w:r w:rsidRPr="00651941">
        <w:rPr>
          <w:rFonts w:ascii="Garamond" w:hAnsi="Garamond"/>
          <w:highlight w:val="yellow"/>
        </w:rPr>
        <w:t xml:space="preserve"> performed in 5ml of 1 x RBC </w:t>
      </w:r>
      <w:proofErr w:type="spellStart"/>
      <w:r w:rsidRPr="00651941">
        <w:rPr>
          <w:rFonts w:ascii="Garamond" w:hAnsi="Garamond"/>
          <w:highlight w:val="yellow"/>
        </w:rPr>
        <w:t>lysis</w:t>
      </w:r>
      <w:proofErr w:type="spellEnd"/>
      <w:r w:rsidRPr="00651941">
        <w:rPr>
          <w:rFonts w:ascii="Garamond" w:hAnsi="Garamond"/>
          <w:highlight w:val="yellow"/>
        </w:rPr>
        <w:t xml:space="preserve"> buffer for 5min prior to add</w:t>
      </w:r>
      <w:r>
        <w:rPr>
          <w:rFonts w:ascii="Garamond" w:hAnsi="Garamond"/>
          <w:highlight w:val="yellow"/>
        </w:rPr>
        <w:t>ing</w:t>
      </w:r>
      <w:r w:rsidRPr="00651941">
        <w:rPr>
          <w:rFonts w:ascii="Garamond" w:hAnsi="Garamond"/>
          <w:highlight w:val="yellow"/>
        </w:rPr>
        <w:t xml:space="preserve"> with PBS. </w:t>
      </w:r>
      <w:r w:rsidRPr="00D94918">
        <w:rPr>
          <w:sz w:val="23"/>
          <w:szCs w:val="23"/>
          <w:highlight w:val="yellow"/>
        </w:rPr>
        <w:t>Two further washes in PBS were performed and the number of cells counted using a</w:t>
      </w:r>
      <w:r w:rsidRPr="00D94918">
        <w:rPr>
          <w:rFonts w:hint="eastAsia"/>
          <w:sz w:val="23"/>
          <w:szCs w:val="23"/>
          <w:highlight w:val="yellow"/>
          <w:lang w:eastAsia="zh-CN"/>
        </w:rPr>
        <w:t xml:space="preserve"> </w:t>
      </w:r>
      <w:r w:rsidRPr="00D94918">
        <w:rPr>
          <w:sz w:val="23"/>
          <w:szCs w:val="23"/>
          <w:highlight w:val="yellow"/>
        </w:rPr>
        <w:t>haemocytometer.</w:t>
      </w:r>
    </w:p>
    <w:p w:rsidR="00B86090" w:rsidRPr="00651941" w:rsidRDefault="00B86090" w:rsidP="00B86090">
      <w:pPr>
        <w:tabs>
          <w:tab w:val="left" w:pos="0"/>
        </w:tabs>
        <w:spacing w:line="480" w:lineRule="auto"/>
        <w:jc w:val="both"/>
        <w:rPr>
          <w:rFonts w:ascii="Garamond" w:hAnsi="Garamond" w:cs="Garamond"/>
          <w:b/>
          <w:color w:val="000000"/>
          <w:highlight w:val="yellow"/>
        </w:rPr>
      </w:pPr>
      <w:r w:rsidRPr="00651941">
        <w:rPr>
          <w:rFonts w:ascii="Garamond" w:hAnsi="Garamond" w:cs="Garamond"/>
          <w:b/>
          <w:color w:val="000000"/>
          <w:highlight w:val="yellow"/>
        </w:rPr>
        <w:t>Relative quantitative SYBR Green real-time polymerase chain reaction (PCR)</w:t>
      </w:r>
    </w:p>
    <w:p w:rsidR="00B86090" w:rsidRPr="00651941" w:rsidRDefault="00B86090" w:rsidP="00B86090">
      <w:pPr>
        <w:tabs>
          <w:tab w:val="left" w:pos="0"/>
        </w:tabs>
        <w:spacing w:line="480" w:lineRule="auto"/>
        <w:jc w:val="both"/>
        <w:rPr>
          <w:rFonts w:ascii="Garamond" w:hAnsi="Garamond" w:cs="Garamond"/>
          <w:color w:val="000000"/>
          <w:highlight w:val="yellow"/>
        </w:rPr>
      </w:pPr>
      <w:r w:rsidRPr="00651941">
        <w:rPr>
          <w:rFonts w:ascii="Garamond" w:hAnsi="Garamond" w:cs="Garamond"/>
          <w:color w:val="000000"/>
          <w:highlight w:val="yellow"/>
        </w:rPr>
        <w:t>The sequences of the primer pairs for TLR</w:t>
      </w:r>
      <w:r>
        <w:rPr>
          <w:rFonts w:ascii="Garamond" w:hAnsi="Garamond" w:cs="Garamond"/>
          <w:color w:val="000000"/>
          <w:highlight w:val="yellow"/>
        </w:rPr>
        <w:t>-</w:t>
      </w:r>
      <w:r w:rsidRPr="00651941">
        <w:rPr>
          <w:rFonts w:ascii="Garamond" w:hAnsi="Garamond" w:cs="Garamond"/>
          <w:color w:val="000000"/>
          <w:highlight w:val="yellow"/>
        </w:rPr>
        <w:t>2 and TLR</w:t>
      </w:r>
      <w:r>
        <w:rPr>
          <w:rFonts w:ascii="Garamond" w:hAnsi="Garamond" w:cs="Garamond"/>
          <w:color w:val="000000"/>
          <w:highlight w:val="yellow"/>
        </w:rPr>
        <w:t>-</w:t>
      </w:r>
      <w:r w:rsidRPr="00651941">
        <w:rPr>
          <w:rFonts w:ascii="Garamond" w:hAnsi="Garamond" w:cs="Garamond"/>
          <w:color w:val="000000"/>
          <w:highlight w:val="yellow"/>
        </w:rPr>
        <w:t xml:space="preserve">4 are listed as follows: </w:t>
      </w:r>
    </w:p>
    <w:p w:rsidR="00B86090" w:rsidRPr="00651941" w:rsidRDefault="00B86090" w:rsidP="00B86090">
      <w:pPr>
        <w:tabs>
          <w:tab w:val="left" w:pos="0"/>
        </w:tabs>
        <w:kinsoku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Garamond"/>
          <w:highlight w:val="yellow"/>
        </w:rPr>
      </w:pPr>
      <w:proofErr w:type="gramStart"/>
      <w:r w:rsidRPr="00651941">
        <w:rPr>
          <w:rFonts w:ascii="Garamond" w:hAnsi="Garamond" w:cs="Garamond"/>
          <w:highlight w:val="yellow"/>
        </w:rPr>
        <w:t>human</w:t>
      </w:r>
      <w:proofErr w:type="gramEnd"/>
      <w:r w:rsidRPr="00651941">
        <w:rPr>
          <w:rFonts w:ascii="Garamond" w:hAnsi="Garamond" w:cs="Garamond"/>
          <w:highlight w:val="yellow"/>
        </w:rPr>
        <w:t xml:space="preserve">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2-sense: 5'-GAATCCTCCAATCAGGCTTCTCT-3'</w:t>
      </w:r>
    </w:p>
    <w:p w:rsidR="00B86090" w:rsidRPr="00651941" w:rsidRDefault="00B86090" w:rsidP="00B86090">
      <w:pPr>
        <w:tabs>
          <w:tab w:val="left" w:pos="0"/>
        </w:tabs>
        <w:kinsoku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Garamond"/>
          <w:highlight w:val="yellow"/>
        </w:rPr>
      </w:pPr>
      <w:proofErr w:type="gramStart"/>
      <w:r w:rsidRPr="00651941">
        <w:rPr>
          <w:rFonts w:ascii="Garamond" w:hAnsi="Garamond" w:cs="Garamond"/>
          <w:highlight w:val="yellow"/>
        </w:rPr>
        <w:t>human</w:t>
      </w:r>
      <w:proofErr w:type="gramEnd"/>
      <w:r w:rsidRPr="00651941">
        <w:rPr>
          <w:rFonts w:ascii="Garamond" w:hAnsi="Garamond" w:cs="Garamond"/>
          <w:highlight w:val="yellow"/>
        </w:rPr>
        <w:t xml:space="preserve">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2-antisense: 5'-CCTGAGCTGCCCTTGCA-3'</w:t>
      </w:r>
    </w:p>
    <w:p w:rsidR="00B86090" w:rsidRPr="00651941" w:rsidRDefault="00B86090" w:rsidP="00B86090">
      <w:pPr>
        <w:tabs>
          <w:tab w:val="left" w:pos="0"/>
        </w:tabs>
        <w:kinsoku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Garamond"/>
          <w:highlight w:val="yellow"/>
        </w:rPr>
      </w:pPr>
      <w:proofErr w:type="gramStart"/>
      <w:r w:rsidRPr="00651941">
        <w:rPr>
          <w:rFonts w:ascii="Garamond" w:hAnsi="Garamond" w:cs="Garamond"/>
          <w:highlight w:val="yellow"/>
        </w:rPr>
        <w:t>human</w:t>
      </w:r>
      <w:proofErr w:type="gramEnd"/>
      <w:r w:rsidRPr="00651941">
        <w:rPr>
          <w:rFonts w:ascii="Garamond" w:hAnsi="Garamond" w:cs="Garamond"/>
          <w:highlight w:val="yellow"/>
        </w:rPr>
        <w:t xml:space="preserve">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4-sense: 5'-GGCATGCCTGTGCTGAGTT-3'</w:t>
      </w:r>
    </w:p>
    <w:p w:rsidR="00B86090" w:rsidRPr="00651941" w:rsidRDefault="00B86090" w:rsidP="00B86090">
      <w:pPr>
        <w:tabs>
          <w:tab w:val="left" w:pos="0"/>
        </w:tabs>
        <w:kinsoku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Garamond"/>
          <w:highlight w:val="yellow"/>
        </w:rPr>
      </w:pPr>
      <w:proofErr w:type="gramStart"/>
      <w:r w:rsidRPr="00651941">
        <w:rPr>
          <w:rFonts w:ascii="Garamond" w:hAnsi="Garamond" w:cs="Garamond"/>
          <w:highlight w:val="yellow"/>
        </w:rPr>
        <w:t>human</w:t>
      </w:r>
      <w:proofErr w:type="gramEnd"/>
      <w:r w:rsidRPr="00651941">
        <w:rPr>
          <w:rFonts w:ascii="Garamond" w:hAnsi="Garamond" w:cs="Garamond"/>
          <w:highlight w:val="yellow"/>
        </w:rPr>
        <w:t xml:space="preserve">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4-antisense: 5'-GGACCGACACACCAATGATG-3'</w:t>
      </w:r>
    </w:p>
    <w:p w:rsidR="00B86090" w:rsidRPr="00651941" w:rsidRDefault="00B86090" w:rsidP="00B86090">
      <w:pPr>
        <w:spacing w:line="480" w:lineRule="auto"/>
        <w:jc w:val="both"/>
        <w:rPr>
          <w:rFonts w:ascii="Garamond" w:hAnsi="Garamond" w:cs="Garamond"/>
          <w:highlight w:val="yellow"/>
        </w:rPr>
      </w:pPr>
      <w:r w:rsidRPr="00651941">
        <w:rPr>
          <w:rFonts w:ascii="Garamond" w:hAnsi="Garamond" w:cs="Garamond"/>
          <w:highlight w:val="yellow"/>
        </w:rPr>
        <w:lastRenderedPageBreak/>
        <w:t>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2 and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 xml:space="preserve">4 mRNA levels were measured with SYBR Green real-time PCR on a Sequence Detection System (ABI Prism 7300, Applied </w:t>
      </w:r>
      <w:proofErr w:type="spellStart"/>
      <w:r w:rsidRPr="00651941">
        <w:rPr>
          <w:rFonts w:ascii="Garamond" w:hAnsi="Garamond" w:cs="Garamond"/>
          <w:highlight w:val="yellow"/>
        </w:rPr>
        <w:t>Biosystems</w:t>
      </w:r>
      <w:proofErr w:type="spellEnd"/>
      <w:r w:rsidRPr="00651941">
        <w:rPr>
          <w:rFonts w:ascii="Garamond" w:hAnsi="Garamond" w:cs="Garamond"/>
          <w:highlight w:val="yellow"/>
        </w:rPr>
        <w:t xml:space="preserve">). Reactions were prepared in a 96-well </w:t>
      </w:r>
      <w:proofErr w:type="spellStart"/>
      <w:r w:rsidRPr="00651941">
        <w:rPr>
          <w:rFonts w:ascii="Garamond" w:hAnsi="Garamond" w:cs="Garamond"/>
          <w:highlight w:val="yellow"/>
        </w:rPr>
        <w:t>MicroAmp</w:t>
      </w:r>
      <w:proofErr w:type="spellEnd"/>
      <w:r w:rsidRPr="00651941">
        <w:rPr>
          <w:rFonts w:ascii="Garamond" w:hAnsi="Garamond" w:cs="Garamond"/>
          <w:highlight w:val="yellow"/>
        </w:rPr>
        <w:t xml:space="preserve"> optical plate by the addition of a 5µL of </w:t>
      </w:r>
      <w:proofErr w:type="spellStart"/>
      <w:r w:rsidRPr="00651941">
        <w:rPr>
          <w:rFonts w:ascii="Garamond" w:hAnsi="Garamond" w:cs="Garamond"/>
          <w:highlight w:val="yellow"/>
        </w:rPr>
        <w:t>cDNA</w:t>
      </w:r>
      <w:proofErr w:type="spellEnd"/>
      <w:r w:rsidRPr="00651941">
        <w:rPr>
          <w:rFonts w:ascii="Garamond" w:hAnsi="Garamond" w:cs="Garamond"/>
          <w:highlight w:val="yellow"/>
        </w:rPr>
        <w:t xml:space="preserve"> to 20µL of a PCR master mixture consisting of SYBR Green universal PCR master mix and primers. Primers were titrated to check for amplification efficiency. The relative level of the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2 and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 xml:space="preserve">4 expression in clinical samples was compared with a calibrator.  The calibrator used in all subjects was </w:t>
      </w:r>
      <w:proofErr w:type="spellStart"/>
      <w:r w:rsidRPr="00651941">
        <w:rPr>
          <w:rFonts w:ascii="Garamond" w:hAnsi="Garamond" w:cs="Garamond"/>
          <w:highlight w:val="yellow"/>
        </w:rPr>
        <w:t>cDNA</w:t>
      </w:r>
      <w:proofErr w:type="spellEnd"/>
      <w:r w:rsidRPr="00651941">
        <w:rPr>
          <w:rFonts w:ascii="Garamond" w:hAnsi="Garamond" w:cs="Garamond"/>
          <w:highlight w:val="yellow"/>
        </w:rPr>
        <w:t xml:space="preserve"> generated from a single volunteer at a single time point in the same manner as test samples and aliquot into small samples to avoid freeze-thaw cycles. </w:t>
      </w:r>
      <w:proofErr w:type="spellStart"/>
      <w:r w:rsidRPr="00651941">
        <w:rPr>
          <w:rFonts w:ascii="Garamond" w:hAnsi="Garamond" w:cs="Garamond"/>
          <w:highlight w:val="yellow"/>
        </w:rPr>
        <w:t>Quantitation</w:t>
      </w:r>
      <w:proofErr w:type="spellEnd"/>
      <w:r w:rsidRPr="00651941">
        <w:rPr>
          <w:rFonts w:ascii="Garamond" w:hAnsi="Garamond" w:cs="Garamond"/>
          <w:highlight w:val="yellow"/>
        </w:rPr>
        <w:t xml:space="preserve"> was normalised to an endogenous control 18s </w:t>
      </w:r>
      <w:proofErr w:type="spellStart"/>
      <w:r w:rsidRPr="00651941">
        <w:rPr>
          <w:rFonts w:ascii="Garamond" w:hAnsi="Garamond" w:cs="Garamond"/>
          <w:highlight w:val="yellow"/>
        </w:rPr>
        <w:t>rRNA</w:t>
      </w:r>
      <w:proofErr w:type="spellEnd"/>
      <w:r w:rsidRPr="00651941">
        <w:rPr>
          <w:rFonts w:ascii="Garamond" w:hAnsi="Garamond" w:cs="Garamond"/>
          <w:highlight w:val="yellow"/>
        </w:rPr>
        <w:t>. The calculation formula was shown in the following. For each clinical sample, the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2/TLR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4 C</w:t>
      </w:r>
      <w:r w:rsidRPr="00651941">
        <w:rPr>
          <w:rFonts w:ascii="Garamond" w:hAnsi="Garamond" w:cs="Garamond"/>
          <w:i/>
          <w:iCs/>
          <w:highlight w:val="yellow"/>
          <w:vertAlign w:val="subscript"/>
        </w:rPr>
        <w:t>T</w:t>
      </w:r>
      <w:r w:rsidRPr="00651941">
        <w:rPr>
          <w:rFonts w:ascii="Garamond" w:hAnsi="Garamond" w:cs="Garamond"/>
          <w:highlight w:val="yellow"/>
        </w:rPr>
        <w:t xml:space="preserve"> value was normalized as </w:t>
      </w:r>
      <w:r w:rsidRPr="00651941">
        <w:rPr>
          <w:rFonts w:ascii="Symbol" w:hAnsi="Symbol" w:cs="Garamond"/>
          <w:highlight w:val="yellow"/>
        </w:rPr>
        <w:t></w:t>
      </w:r>
      <w:r w:rsidRPr="00651941">
        <w:rPr>
          <w:rFonts w:ascii="Garamond" w:hAnsi="Garamond" w:cs="Garamond"/>
          <w:highlight w:val="yellow"/>
        </w:rPr>
        <w:t>C = C</w:t>
      </w:r>
      <w:r w:rsidRPr="00651941">
        <w:rPr>
          <w:rFonts w:ascii="Garamond" w:hAnsi="Garamond" w:cs="Garamond"/>
          <w:i/>
          <w:iCs/>
          <w:highlight w:val="yellow"/>
          <w:vertAlign w:val="subscript"/>
        </w:rPr>
        <w:t>T</w:t>
      </w:r>
      <w:r w:rsidRPr="00651941">
        <w:rPr>
          <w:rFonts w:ascii="Garamond" w:hAnsi="Garamond" w:cs="Garamond"/>
          <w:highlight w:val="yellow"/>
        </w:rPr>
        <w:t xml:space="preserve"> (TLR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2/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4) - C</w:t>
      </w:r>
      <w:r w:rsidRPr="00651941">
        <w:rPr>
          <w:rFonts w:ascii="Garamond" w:hAnsi="Garamond" w:cs="Garamond"/>
          <w:i/>
          <w:iCs/>
          <w:highlight w:val="yellow"/>
          <w:vertAlign w:val="subscript"/>
        </w:rPr>
        <w:t>T</w:t>
      </w:r>
      <w:r w:rsidRPr="00651941">
        <w:rPr>
          <w:rFonts w:ascii="Garamond" w:hAnsi="Garamond" w:cs="Garamond"/>
          <w:highlight w:val="yellow"/>
        </w:rPr>
        <w:t xml:space="preserve"> (18s).</w:t>
      </w:r>
      <w:hyperlink w:anchor="_ENREF_30" w:tooltip="Xie, 2010 #1524" w:history="1">
        <w:r>
          <w:rPr>
            <w:rFonts w:ascii="Garamond" w:hAnsi="Garamond" w:cs="Garamond"/>
            <w:highlight w:val="yellow"/>
          </w:rPr>
          <w:fldChar w:fldCharType="begin">
            <w:fldData xml:space="preserve">PEVuZE5vdGU+PENpdGU+PEF1dGhvcj5YaWU8L0F1dGhvcj48WWVhcj4yMDEwPC9ZZWFyPjxSZWNO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</w:fldData>
          </w:fldChar>
        </w:r>
        <w:r>
          <w:rPr>
            <w:rFonts w:ascii="Garamond" w:hAnsi="Garamond" w:cs="Garamond"/>
            <w:highlight w:val="yellow"/>
          </w:rPr>
          <w:instrText xml:space="preserve"> ADDIN EN.CITE </w:instrText>
        </w:r>
        <w:r>
          <w:rPr>
            <w:rFonts w:ascii="Garamond" w:hAnsi="Garamond" w:cs="Garamond"/>
            <w:highlight w:val="yellow"/>
          </w:rPr>
          <w:fldChar w:fldCharType="begin">
            <w:fldData xml:space="preserve">PEVuZE5vdGU+PENpdGU+PEF1dGhvcj5YaWU8L0F1dGhvcj48WWVhcj4yMDEwPC9ZZWFyPjxSZWNO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</w:fldData>
          </w:fldChar>
        </w:r>
        <w:r>
          <w:rPr>
            <w:rFonts w:ascii="Garamond" w:hAnsi="Garamond" w:cs="Garamond"/>
            <w:highlight w:val="yellow"/>
          </w:rPr>
          <w:instrText xml:space="preserve"> ADDIN EN.CITE.DATA </w:instrText>
        </w:r>
        <w:r>
          <w:rPr>
            <w:rFonts w:ascii="Garamond" w:hAnsi="Garamond" w:cs="Garamond"/>
            <w:highlight w:val="yellow"/>
          </w:rPr>
        </w:r>
        <w:r>
          <w:rPr>
            <w:rFonts w:ascii="Garamond" w:hAnsi="Garamond" w:cs="Garamond"/>
            <w:highlight w:val="yellow"/>
          </w:rPr>
          <w:fldChar w:fldCharType="end"/>
        </w:r>
        <w:r>
          <w:rPr>
            <w:rFonts w:ascii="Garamond" w:hAnsi="Garamond" w:cs="Garamond"/>
            <w:highlight w:val="yellow"/>
          </w:rPr>
          <w:fldChar w:fldCharType="separate"/>
        </w:r>
        <w:r w:rsidRPr="009F7D91">
          <w:rPr>
            <w:rFonts w:ascii="Garamond" w:hAnsi="Garamond" w:cs="Garamond"/>
            <w:noProof/>
            <w:highlight w:val="yellow"/>
            <w:vertAlign w:val="superscript"/>
          </w:rPr>
          <w:t>30</w:t>
        </w:r>
        <w:r>
          <w:rPr>
            <w:rFonts w:ascii="Garamond" w:hAnsi="Garamond" w:cs="Garamond"/>
            <w:highlight w:val="yellow"/>
          </w:rPr>
          <w:fldChar w:fldCharType="end"/>
        </w:r>
      </w:hyperlink>
      <w:r w:rsidRPr="00651941">
        <w:rPr>
          <w:rFonts w:ascii="Garamond" w:hAnsi="Garamond" w:cs="Garamond"/>
          <w:highlight w:val="yellow"/>
        </w:rPr>
        <w:t xml:space="preserve"> This relative expression was measured as: </w:t>
      </w:r>
      <w:r w:rsidRPr="00651941">
        <w:rPr>
          <w:rFonts w:ascii="Symbol" w:hAnsi="Symbol" w:cs="Garamond"/>
          <w:highlight w:val="yellow"/>
        </w:rPr>
        <w:t></w:t>
      </w:r>
      <w:r w:rsidRPr="00651941">
        <w:rPr>
          <w:rFonts w:ascii="Symbol" w:hAnsi="Symbol" w:cs="Garamond"/>
          <w:highlight w:val="yellow"/>
        </w:rPr>
        <w:t></w:t>
      </w:r>
      <w:r w:rsidRPr="00651941">
        <w:rPr>
          <w:rFonts w:ascii="Garamond" w:hAnsi="Garamond" w:cs="Garamond"/>
          <w:highlight w:val="yellow"/>
        </w:rPr>
        <w:t>C</w:t>
      </w:r>
      <w:r w:rsidRPr="00651941">
        <w:rPr>
          <w:rFonts w:ascii="Garamond" w:hAnsi="Garamond" w:cs="Garamond"/>
          <w:i/>
          <w:iCs/>
          <w:highlight w:val="yellow"/>
          <w:vertAlign w:val="subscript"/>
        </w:rPr>
        <w:t>T</w:t>
      </w:r>
      <w:r w:rsidRPr="00651941">
        <w:rPr>
          <w:rFonts w:ascii="Garamond" w:hAnsi="Garamond" w:cs="Garamond"/>
          <w:highlight w:val="yellow"/>
        </w:rPr>
        <w:t xml:space="preserve"> = </w:t>
      </w:r>
      <w:r w:rsidRPr="00651941">
        <w:rPr>
          <w:rFonts w:ascii="Symbol" w:hAnsi="Symbol" w:cs="Garamond"/>
          <w:highlight w:val="yellow"/>
        </w:rPr>
        <w:t></w:t>
      </w:r>
      <w:r w:rsidRPr="00651941">
        <w:rPr>
          <w:rFonts w:ascii="Garamond" w:hAnsi="Garamond" w:cs="Garamond"/>
          <w:highlight w:val="yellow"/>
        </w:rPr>
        <w:t>C</w:t>
      </w:r>
      <w:r w:rsidRPr="00651941">
        <w:rPr>
          <w:rFonts w:ascii="Garamond" w:hAnsi="Garamond" w:cs="Garamond"/>
          <w:i/>
          <w:iCs/>
          <w:highlight w:val="yellow"/>
          <w:vertAlign w:val="subscript"/>
        </w:rPr>
        <w:t>T</w:t>
      </w:r>
      <w:r w:rsidRPr="00651941">
        <w:rPr>
          <w:rFonts w:ascii="Garamond" w:hAnsi="Garamond" w:cs="Garamond"/>
          <w:highlight w:val="yellow"/>
        </w:rPr>
        <w:t xml:space="preserve"> (1) sample- </w:t>
      </w:r>
      <w:r w:rsidRPr="00651941">
        <w:rPr>
          <w:rFonts w:ascii="Symbol" w:hAnsi="Symbol" w:cs="Garamond"/>
          <w:highlight w:val="yellow"/>
        </w:rPr>
        <w:t></w:t>
      </w:r>
      <w:r w:rsidRPr="00651941">
        <w:rPr>
          <w:rFonts w:ascii="Garamond" w:hAnsi="Garamond" w:cs="Garamond"/>
          <w:highlight w:val="yellow"/>
        </w:rPr>
        <w:t>C</w:t>
      </w:r>
      <w:r w:rsidRPr="00651941">
        <w:rPr>
          <w:rFonts w:ascii="Garamond" w:hAnsi="Garamond" w:cs="Garamond"/>
          <w:i/>
          <w:iCs/>
          <w:highlight w:val="yellow"/>
          <w:vertAlign w:val="subscript"/>
        </w:rPr>
        <w:t xml:space="preserve">T </w:t>
      </w:r>
      <w:r w:rsidRPr="00651941">
        <w:rPr>
          <w:rFonts w:ascii="Garamond" w:hAnsi="Garamond" w:cs="Garamond"/>
          <w:highlight w:val="yellow"/>
        </w:rPr>
        <w:t>(1) calibrator. The value used to plot relative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2/TLR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4 expression was calculated using the expression 2</w:t>
      </w:r>
      <w:r w:rsidRPr="00651941">
        <w:rPr>
          <w:rFonts w:ascii="Garamond" w:hAnsi="Garamond" w:cs="Garamond"/>
          <w:highlight w:val="yellow"/>
          <w:vertAlign w:val="superscript"/>
        </w:rPr>
        <w:t xml:space="preserve">- </w:t>
      </w:r>
      <w:r w:rsidRPr="00651941">
        <w:rPr>
          <w:rFonts w:ascii="Symbol" w:hAnsi="Symbol" w:cs="Garamond"/>
          <w:highlight w:val="yellow"/>
          <w:vertAlign w:val="superscript"/>
        </w:rPr>
        <w:t></w:t>
      </w:r>
      <w:r w:rsidRPr="00651941">
        <w:rPr>
          <w:rFonts w:ascii="Symbol" w:hAnsi="Symbol" w:cs="Garamond"/>
          <w:highlight w:val="yellow"/>
          <w:vertAlign w:val="superscript"/>
        </w:rPr>
        <w:t></w:t>
      </w:r>
      <w:r w:rsidRPr="00651941">
        <w:rPr>
          <w:rFonts w:ascii="Garamond" w:hAnsi="Garamond" w:cs="Garamond"/>
          <w:highlight w:val="yellow"/>
          <w:vertAlign w:val="superscript"/>
        </w:rPr>
        <w:t>C</w:t>
      </w:r>
      <w:r w:rsidRPr="00651941">
        <w:rPr>
          <w:rFonts w:ascii="Garamond" w:hAnsi="Garamond" w:cs="Garamond"/>
          <w:i/>
          <w:iCs/>
          <w:highlight w:val="yellow"/>
          <w:vertAlign w:val="superscript"/>
        </w:rPr>
        <w:t>T</w:t>
      </w:r>
      <w:r w:rsidRPr="00651941">
        <w:rPr>
          <w:rFonts w:ascii="Garamond" w:hAnsi="Garamond" w:cs="Garamond"/>
          <w:highlight w:val="yellow"/>
        </w:rPr>
        <w:t>.</w:t>
      </w:r>
      <w:r>
        <w:rPr>
          <w:rFonts w:ascii="Garamond" w:hAnsi="Garamond" w:cs="Garamond"/>
          <w:highlight w:val="yellow"/>
        </w:rPr>
        <w:t xml:space="preserve"> </w:t>
      </w:r>
      <w:hyperlink w:anchor="_ENREF_30" w:tooltip="Xie, 2010 #1524" w:history="1">
        <w:r>
          <w:rPr>
            <w:rFonts w:ascii="Garamond" w:hAnsi="Garamond" w:cs="Garamond"/>
            <w:highlight w:val="yellow"/>
          </w:rPr>
          <w:fldChar w:fldCharType="begin">
            <w:fldData xml:space="preserve">PEVuZE5vdGU+PENpdGU+PEF1dGhvcj5YaWU8L0F1dGhvcj48WWVhcj4yMDEwPC9ZZWFyPjxSZWNO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</w:fldData>
          </w:fldChar>
        </w:r>
        <w:r>
          <w:rPr>
            <w:rFonts w:ascii="Garamond" w:hAnsi="Garamond" w:cs="Garamond"/>
            <w:highlight w:val="yellow"/>
          </w:rPr>
          <w:instrText xml:space="preserve"> ADDIN EN.CITE </w:instrText>
        </w:r>
        <w:r>
          <w:rPr>
            <w:rFonts w:ascii="Garamond" w:hAnsi="Garamond" w:cs="Garamond"/>
            <w:highlight w:val="yellow"/>
          </w:rPr>
          <w:fldChar w:fldCharType="begin">
            <w:fldData xml:space="preserve">PEVuZE5vdGU+PENpdGU+PEF1dGhvcj5YaWU8L0F1dGhvcj48WWVhcj4yMDEwPC9ZZWFyPjxSZWNO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</w:fldData>
          </w:fldChar>
        </w:r>
        <w:r>
          <w:rPr>
            <w:rFonts w:ascii="Garamond" w:hAnsi="Garamond" w:cs="Garamond"/>
            <w:highlight w:val="yellow"/>
          </w:rPr>
          <w:instrText xml:space="preserve"> ADDIN EN.CITE.DATA </w:instrText>
        </w:r>
        <w:r>
          <w:rPr>
            <w:rFonts w:ascii="Garamond" w:hAnsi="Garamond" w:cs="Garamond"/>
            <w:highlight w:val="yellow"/>
          </w:rPr>
        </w:r>
        <w:r>
          <w:rPr>
            <w:rFonts w:ascii="Garamond" w:hAnsi="Garamond" w:cs="Garamond"/>
            <w:highlight w:val="yellow"/>
          </w:rPr>
          <w:fldChar w:fldCharType="end"/>
        </w:r>
        <w:r>
          <w:rPr>
            <w:rFonts w:ascii="Garamond" w:hAnsi="Garamond" w:cs="Garamond"/>
            <w:highlight w:val="yellow"/>
          </w:rPr>
          <w:fldChar w:fldCharType="separate"/>
        </w:r>
        <w:r w:rsidRPr="009F7D91">
          <w:rPr>
            <w:rFonts w:ascii="Garamond" w:hAnsi="Garamond" w:cs="Garamond"/>
            <w:noProof/>
            <w:highlight w:val="yellow"/>
            <w:vertAlign w:val="superscript"/>
          </w:rPr>
          <w:t>30</w:t>
        </w:r>
        <w:r>
          <w:rPr>
            <w:rFonts w:ascii="Garamond" w:hAnsi="Garamond" w:cs="Garamond"/>
            <w:highlight w:val="yellow"/>
          </w:rPr>
          <w:fldChar w:fldCharType="end"/>
        </w:r>
      </w:hyperlink>
      <w:r w:rsidRPr="00651941">
        <w:rPr>
          <w:rFonts w:ascii="Garamond" w:hAnsi="Garamond" w:cs="Garamond"/>
          <w:highlight w:val="yellow"/>
        </w:rPr>
        <w:t xml:space="preserve"> </w:t>
      </w:r>
    </w:p>
    <w:p w:rsidR="00B86090" w:rsidRPr="00651941" w:rsidRDefault="00B86090" w:rsidP="00B86090">
      <w:pPr>
        <w:spacing w:line="480" w:lineRule="auto"/>
        <w:jc w:val="both"/>
        <w:rPr>
          <w:rFonts w:ascii="Garamond" w:hAnsi="Garamond" w:cs="Garamond"/>
          <w:highlight w:val="yellow"/>
        </w:rPr>
      </w:pPr>
      <w:r w:rsidRPr="00651941">
        <w:rPr>
          <w:rFonts w:ascii="Garamond" w:hAnsi="Garamond" w:cs="Garamond"/>
          <w:b/>
          <w:highlight w:val="yellow"/>
        </w:rPr>
        <w:t xml:space="preserve">Flow </w:t>
      </w:r>
      <w:proofErr w:type="spellStart"/>
      <w:r w:rsidRPr="00651941">
        <w:rPr>
          <w:rFonts w:ascii="Garamond" w:hAnsi="Garamond" w:cs="Garamond"/>
          <w:b/>
          <w:highlight w:val="yellow"/>
        </w:rPr>
        <w:t>cytometry</w:t>
      </w:r>
      <w:proofErr w:type="spellEnd"/>
      <w:r w:rsidRPr="00651941">
        <w:rPr>
          <w:rFonts w:ascii="Garamond" w:hAnsi="Garamond" w:cs="Garamond"/>
          <w:b/>
          <w:highlight w:val="yellow"/>
        </w:rPr>
        <w:t xml:space="preserve"> </w:t>
      </w:r>
      <w:proofErr w:type="spellStart"/>
      <w:r w:rsidRPr="00651941">
        <w:rPr>
          <w:rFonts w:ascii="Garamond" w:hAnsi="Garamond" w:cs="Garamond"/>
          <w:highlight w:val="yellow"/>
        </w:rPr>
        <w:t>Neutrophil</w:t>
      </w:r>
      <w:proofErr w:type="spellEnd"/>
      <w:r w:rsidRPr="00651941">
        <w:rPr>
          <w:rFonts w:ascii="Garamond" w:hAnsi="Garamond" w:cs="Garamond"/>
          <w:highlight w:val="yellow"/>
        </w:rPr>
        <w:t xml:space="preserve"> surface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2 and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 xml:space="preserve">4 protein expression was examined with flow </w:t>
      </w:r>
      <w:proofErr w:type="spellStart"/>
      <w:r w:rsidRPr="00651941">
        <w:rPr>
          <w:rFonts w:ascii="Garamond" w:hAnsi="Garamond" w:cs="Garamond"/>
          <w:highlight w:val="yellow"/>
        </w:rPr>
        <w:t>cytometry</w:t>
      </w:r>
      <w:proofErr w:type="spellEnd"/>
      <w:r w:rsidRPr="00651941">
        <w:rPr>
          <w:rFonts w:ascii="Garamond" w:hAnsi="Garamond" w:cs="Garamond"/>
          <w:highlight w:val="yellow"/>
        </w:rPr>
        <w:t xml:space="preserve"> (BD FACS </w:t>
      </w:r>
      <w:proofErr w:type="spellStart"/>
      <w:r w:rsidRPr="00651941">
        <w:rPr>
          <w:rFonts w:ascii="Garamond" w:hAnsi="Garamond" w:cs="Garamond"/>
          <w:highlight w:val="yellow"/>
        </w:rPr>
        <w:t>Calibur</w:t>
      </w:r>
      <w:proofErr w:type="spellEnd"/>
      <w:r w:rsidRPr="00651941">
        <w:rPr>
          <w:rFonts w:ascii="Garamond" w:hAnsi="Garamond" w:cs="Garamond"/>
          <w:highlight w:val="yellow"/>
        </w:rPr>
        <w:t xml:space="preserve"> System, Mississauga, ON, Canada). </w:t>
      </w:r>
      <w:proofErr w:type="spellStart"/>
      <w:r w:rsidRPr="00651941">
        <w:rPr>
          <w:rFonts w:ascii="Garamond" w:hAnsi="Garamond" w:cs="Garamond"/>
          <w:highlight w:val="yellow"/>
        </w:rPr>
        <w:t>Phycoerythrin</w:t>
      </w:r>
      <w:proofErr w:type="spellEnd"/>
      <w:r w:rsidRPr="00651941">
        <w:rPr>
          <w:rFonts w:ascii="Garamond" w:hAnsi="Garamond" w:cs="Garamond"/>
          <w:highlight w:val="yellow"/>
        </w:rPr>
        <w:t xml:space="preserve"> (PE)-labelled antibodies against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2 and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 xml:space="preserve">4 (Santa Cruz Biotechnology Inc., Santa Cruz, CA, USA) and </w:t>
      </w:r>
      <w:proofErr w:type="spellStart"/>
      <w:r w:rsidRPr="00651941">
        <w:rPr>
          <w:rFonts w:ascii="Garamond" w:hAnsi="Garamond" w:cs="Garamond"/>
          <w:highlight w:val="yellow"/>
        </w:rPr>
        <w:t>isotype</w:t>
      </w:r>
      <w:proofErr w:type="spellEnd"/>
      <w:r w:rsidRPr="00651941">
        <w:rPr>
          <w:rFonts w:ascii="Garamond" w:hAnsi="Garamond" w:cs="Garamond"/>
          <w:highlight w:val="yellow"/>
        </w:rPr>
        <w:t xml:space="preserve"> control (PE Mouse IgG2a, k, BD Biosciences </w:t>
      </w:r>
      <w:proofErr w:type="spellStart"/>
      <w:r w:rsidRPr="00651941">
        <w:rPr>
          <w:rFonts w:ascii="Garamond" w:hAnsi="Garamond" w:cs="Garamond"/>
          <w:highlight w:val="yellow"/>
        </w:rPr>
        <w:t>Pharmingen</w:t>
      </w:r>
      <w:proofErr w:type="spellEnd"/>
      <w:r w:rsidRPr="00651941">
        <w:rPr>
          <w:rFonts w:ascii="Garamond" w:hAnsi="Garamond" w:cs="Garamond"/>
          <w:highlight w:val="yellow"/>
        </w:rPr>
        <w:t xml:space="preserve">, Mississauga, ON, Canada) were used for </w:t>
      </w:r>
      <w:proofErr w:type="spellStart"/>
      <w:r w:rsidRPr="00651941">
        <w:rPr>
          <w:rFonts w:ascii="Garamond" w:hAnsi="Garamond" w:cs="Garamond"/>
          <w:highlight w:val="yellow"/>
        </w:rPr>
        <w:t>neutrophil</w:t>
      </w:r>
      <w:proofErr w:type="spellEnd"/>
      <w:r w:rsidRPr="00651941">
        <w:rPr>
          <w:rFonts w:ascii="Garamond" w:hAnsi="Garamond" w:cs="Garamond"/>
          <w:highlight w:val="yellow"/>
        </w:rPr>
        <w:t xml:space="preserve"> staining. To minimise data variation caused by instrument fluctuation, Quantum PE molecular equivalents of soluble </w:t>
      </w:r>
      <w:proofErr w:type="spellStart"/>
      <w:r w:rsidRPr="00651941">
        <w:rPr>
          <w:rFonts w:ascii="Garamond" w:hAnsi="Garamond" w:cs="Garamond"/>
          <w:highlight w:val="yellow"/>
        </w:rPr>
        <w:t>fluorochrome</w:t>
      </w:r>
      <w:proofErr w:type="spellEnd"/>
      <w:r w:rsidRPr="00651941">
        <w:rPr>
          <w:rFonts w:ascii="Garamond" w:hAnsi="Garamond" w:cs="Garamond"/>
          <w:highlight w:val="yellow"/>
        </w:rPr>
        <w:t xml:space="preserve"> (MESF) kits (Bangs Laboratories, Warrington, PA, USA) were run si</w:t>
      </w:r>
      <w:r>
        <w:rPr>
          <w:rFonts w:ascii="Garamond" w:hAnsi="Garamond" w:cs="Garamond"/>
          <w:highlight w:val="yellow"/>
        </w:rPr>
        <w:t xml:space="preserve">multaneously with each sample. </w:t>
      </w:r>
      <w:r w:rsidRPr="00651941">
        <w:rPr>
          <w:rFonts w:ascii="Garamond" w:hAnsi="Garamond" w:cs="Garamond"/>
          <w:highlight w:val="yellow"/>
        </w:rPr>
        <w:t>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>2 and TLR</w:t>
      </w:r>
      <w:r>
        <w:rPr>
          <w:rFonts w:ascii="Garamond" w:hAnsi="Garamond" w:cs="Garamond"/>
          <w:highlight w:val="yellow"/>
        </w:rPr>
        <w:t>-</w:t>
      </w:r>
      <w:r w:rsidRPr="00651941">
        <w:rPr>
          <w:rFonts w:ascii="Garamond" w:hAnsi="Garamond" w:cs="Garamond"/>
          <w:highlight w:val="yellow"/>
        </w:rPr>
        <w:t xml:space="preserve">4 protein expression intensity was determined by a standard calibration curve by plotting the MESF (Y axis) against the peak channel (X axis). </w:t>
      </w:r>
    </w:p>
    <w:p w:rsidR="00B86090" w:rsidRDefault="00B86090" w:rsidP="00B86090">
      <w:pPr>
        <w:tabs>
          <w:tab w:val="left" w:pos="0"/>
        </w:tabs>
        <w:spacing w:line="480" w:lineRule="auto"/>
        <w:jc w:val="both"/>
        <w:rPr>
          <w:rFonts w:ascii="Garamond" w:hAnsi="Garamond"/>
          <w:bCs/>
          <w:iCs/>
          <w:lang w:eastAsia="zh-CN"/>
        </w:rPr>
      </w:pPr>
      <w:r w:rsidRPr="00651941">
        <w:rPr>
          <w:rFonts w:ascii="Garamond" w:hAnsi="Garamond"/>
          <w:b/>
          <w:bCs/>
          <w:iCs/>
          <w:highlight w:val="yellow"/>
          <w:lang w:eastAsia="zh-CN"/>
        </w:rPr>
        <w:t xml:space="preserve">Cytokine measurements using multiplex immunoassays </w:t>
      </w:r>
      <w:r w:rsidRPr="00651941">
        <w:rPr>
          <w:rFonts w:ascii="Garamond" w:hAnsi="Garamond"/>
          <w:bCs/>
          <w:iCs/>
          <w:highlight w:val="yellow"/>
          <w:lang w:eastAsia="zh-CN"/>
        </w:rPr>
        <w:t xml:space="preserve">Circulating inflammatory (TNF-α, IL-2, IL-6, and IFN-γ), and anti-inflammatory IL-10 cytokine profiles were measured with a multiplexed fluorescent microsphere immunoassay using the </w:t>
      </w:r>
      <w:proofErr w:type="spellStart"/>
      <w:r w:rsidRPr="00651941">
        <w:rPr>
          <w:rFonts w:ascii="Garamond" w:hAnsi="Garamond"/>
          <w:bCs/>
          <w:iCs/>
          <w:highlight w:val="yellow"/>
          <w:lang w:eastAsia="zh-CN"/>
        </w:rPr>
        <w:t>Luminex</w:t>
      </w:r>
      <w:proofErr w:type="spellEnd"/>
      <w:r w:rsidRPr="00651941">
        <w:rPr>
          <w:rFonts w:ascii="Garamond" w:hAnsi="Garamond"/>
          <w:bCs/>
          <w:iCs/>
          <w:highlight w:val="yellow"/>
          <w:lang w:eastAsia="zh-CN"/>
        </w:rPr>
        <w:t xml:space="preserve"> 100 System (</w:t>
      </w:r>
      <w:proofErr w:type="spellStart"/>
      <w:r w:rsidRPr="00651941">
        <w:rPr>
          <w:rFonts w:ascii="Garamond" w:hAnsi="Garamond"/>
          <w:bCs/>
          <w:iCs/>
          <w:highlight w:val="yellow"/>
          <w:lang w:eastAsia="zh-CN"/>
        </w:rPr>
        <w:t>Luminex</w:t>
      </w:r>
      <w:proofErr w:type="spellEnd"/>
      <w:r w:rsidRPr="00651941">
        <w:rPr>
          <w:rFonts w:ascii="Garamond" w:hAnsi="Garamond"/>
          <w:bCs/>
          <w:iCs/>
          <w:highlight w:val="yellow"/>
          <w:lang w:eastAsia="zh-CN"/>
        </w:rPr>
        <w:t xml:space="preserve"> Corporation, Austin, TX, USA). Multiplex bead kit-based assays were performed in duplicate </w:t>
      </w:r>
      <w:r w:rsidRPr="00651941">
        <w:rPr>
          <w:rFonts w:ascii="Garamond" w:hAnsi="Garamond"/>
          <w:bCs/>
          <w:iCs/>
          <w:highlight w:val="yellow"/>
          <w:lang w:eastAsia="zh-CN"/>
        </w:rPr>
        <w:lastRenderedPageBreak/>
        <w:t>according to the manufacturer’s protocol (LINCO Research, Inc., St. Charles, MO, USA). Thresholds for detection were 0.1pg/ml for all assays.</w:t>
      </w:r>
    </w:p>
    <w:p w:rsidR="00B86090" w:rsidRDefault="00B86090" w:rsidP="00B86090">
      <w:pPr>
        <w:tabs>
          <w:tab w:val="left" w:pos="0"/>
        </w:tabs>
        <w:spacing w:line="480" w:lineRule="auto"/>
        <w:jc w:val="both"/>
        <w:rPr>
          <w:rFonts w:ascii="Garamond" w:hAnsi="Garamond"/>
          <w:bCs/>
          <w:iCs/>
          <w:lang w:eastAsia="zh-CN"/>
        </w:rPr>
      </w:pPr>
    </w:p>
    <w:p w:rsidR="00B86090" w:rsidRDefault="00B86090" w:rsidP="00B86090">
      <w:pPr>
        <w:tabs>
          <w:tab w:val="left" w:pos="0"/>
        </w:tabs>
        <w:spacing w:line="480" w:lineRule="auto"/>
        <w:jc w:val="both"/>
        <w:rPr>
          <w:rFonts w:ascii="Garamond" w:hAnsi="Garamond" w:cs="Garamond"/>
          <w:b/>
        </w:rPr>
      </w:pPr>
      <w:r w:rsidRPr="00BA2A6E">
        <w:rPr>
          <w:rFonts w:ascii="Garamond" w:hAnsi="Garamond" w:cs="Garamond"/>
          <w:b/>
          <w:highlight w:val="yellow"/>
        </w:rPr>
        <w:t>Data supplement</w:t>
      </w:r>
    </w:p>
    <w:p w:rsidR="00B86090" w:rsidRDefault="00B86090" w:rsidP="00B86090">
      <w:pPr>
        <w:tabs>
          <w:tab w:val="left" w:pos="0"/>
        </w:tabs>
        <w:spacing w:line="480" w:lineRule="auto"/>
        <w:jc w:val="both"/>
      </w:pPr>
      <w:r>
        <w:object w:dxaOrig="7344" w:dyaOrig="8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75pt;height:219.15pt" o:ole="">
            <v:imagedata r:id="rId4" o:title=""/>
          </v:shape>
          <o:OLEObject Type="Embed" ProgID="Prism5.Document" ShapeID="_x0000_i1025" DrawAspect="Content" ObjectID="_1448470148" r:id="rId5"/>
        </w:object>
      </w:r>
      <w:r>
        <w:t xml:space="preserve">          </w:t>
      </w:r>
      <w:r>
        <w:object w:dxaOrig="7373" w:dyaOrig="8295">
          <v:shape id="_x0000_i1026" type="#_x0000_t75" style="width:214.75pt;height:219.15pt" o:ole="">
            <v:imagedata r:id="rId6" o:title=""/>
          </v:shape>
          <o:OLEObject Type="Embed" ProgID="Prism5.Document" ShapeID="_x0000_i1026" DrawAspect="Content" ObjectID="_1448470149" r:id="rId7"/>
        </w:object>
      </w:r>
    </w:p>
    <w:p w:rsidR="00B86090" w:rsidRDefault="00B86090" w:rsidP="00B86090">
      <w:pPr>
        <w:tabs>
          <w:tab w:val="left" w:pos="0"/>
        </w:tabs>
        <w:spacing w:line="480" w:lineRule="auto"/>
        <w:jc w:val="both"/>
      </w:pPr>
      <w:r>
        <w:rPr>
          <w:rFonts w:ascii="Garamond" w:hAnsi="Garamond" w:cs="Garamond"/>
          <w:b/>
          <w:noProof/>
          <w:lang w:val="en-US" w:eastAsia="zh-CN"/>
        </w:rPr>
        <w:pict>
          <v:shape id="_x0000_s1026" type="#_x0000_t75" style="position:absolute;left:0;text-align:left;margin-left:-15.7pt;margin-top:26.15pt;width:227.4pt;height:212.35pt;z-index:251660288">
            <v:imagedata r:id="rId8" o:title=""/>
            <w10:wrap type="square" side="right"/>
          </v:shape>
          <o:OLEObject Type="Embed" ProgID="Prism5.Document" ShapeID="_x0000_s1026" DrawAspect="Content" ObjectID="_1448470151" r:id="rId9"/>
        </w:pict>
      </w:r>
    </w:p>
    <w:p w:rsidR="00B86090" w:rsidRDefault="00B86090" w:rsidP="00B86090">
      <w:pPr>
        <w:tabs>
          <w:tab w:val="left" w:pos="0"/>
        </w:tabs>
        <w:spacing w:line="480" w:lineRule="auto"/>
        <w:jc w:val="both"/>
      </w:pPr>
      <w:r>
        <w:t xml:space="preserve">        </w:t>
      </w:r>
      <w:r>
        <w:object w:dxaOrig="6235" w:dyaOrig="6269">
          <v:shape id="_x0000_i1027" type="#_x0000_t75" style="width:208.5pt;height:214.1pt" o:ole="">
            <v:imagedata r:id="rId10" o:title=""/>
          </v:shape>
          <o:OLEObject Type="Embed" ProgID="Prism5.Document" ShapeID="_x0000_i1027" DrawAspect="Content" ObjectID="_1448470150" r:id="rId11"/>
        </w:object>
      </w:r>
    </w:p>
    <w:p w:rsidR="00096D22" w:rsidRDefault="00096D22"/>
    <w:sectPr w:rsidR="00096D22" w:rsidSect="00FC7747">
      <w:headerReference w:type="default" r:id="rId12"/>
      <w:footerReference w:type="even" r:id="rId13"/>
      <w:footerReference w:type="default" r:id="rId14"/>
      <w:pgSz w:w="11907" w:h="16839" w:code="9"/>
      <w:pgMar w:top="1440" w:right="1287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9D" w:rsidRDefault="00B86090" w:rsidP="008F2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D9D" w:rsidRDefault="00B86090" w:rsidP="008F26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9D" w:rsidRDefault="00B86090" w:rsidP="008F2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2D9D" w:rsidRDefault="00B86090" w:rsidP="008F261D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9D" w:rsidRDefault="00B86090" w:rsidP="0082266F">
    <w:pPr>
      <w:pStyle w:val="Header"/>
      <w:jc w:val="right"/>
    </w:pPr>
    <w:r>
      <w:t>CMV, TLR in PE and HELLP (</w:t>
    </w:r>
    <w:proofErr w:type="spellStart"/>
    <w:r>
      <w:t>Xie</w:t>
    </w:r>
    <w:proofErr w:type="spellEnd"/>
    <w:r>
      <w:t>, F)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6090"/>
    <w:rsid w:val="00096D22"/>
    <w:rsid w:val="00B8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6090"/>
    <w:rPr>
      <w:rFonts w:ascii="Times New Roman" w:eastAsia="SimSu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86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090"/>
    <w:rPr>
      <w:rFonts w:ascii="Times New Roman" w:eastAsia="SimSu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86090"/>
  </w:style>
  <w:style w:type="paragraph" w:customStyle="1" w:styleId="Default">
    <w:name w:val="Default"/>
    <w:rsid w:val="00B8609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B8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Company>sps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loginwb1</dc:creator>
  <cp:lastModifiedBy>loginwb1</cp:lastModifiedBy>
  <cp:revision>1</cp:revision>
  <dcterms:created xsi:type="dcterms:W3CDTF">2013-12-13T14:32:00Z</dcterms:created>
  <dcterms:modified xsi:type="dcterms:W3CDTF">2013-12-13T14:33:00Z</dcterms:modified>
</cp:coreProperties>
</file>