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CEA" w:rsidRDefault="00D64CEA" w:rsidP="00D64C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imes New Roman" w:hAnsi="Times New Roman"/>
        </w:rPr>
      </w:pPr>
      <w:r>
        <w:rPr>
          <w:rFonts w:ascii="Times New Roman" w:hAnsi="Times New Roman"/>
          <w:b/>
        </w:rPr>
        <w:t>Supplementary Information</w:t>
      </w:r>
      <w:r>
        <w:rPr>
          <w:rFonts w:ascii="Times New Roman" w:hAnsi="Times New Roman"/>
        </w:rPr>
        <w:t xml:space="preserve"> </w:t>
      </w:r>
    </w:p>
    <w:p w:rsidR="00D64CEA" w:rsidRDefault="00D64CEA" w:rsidP="00D64CEA">
      <w:pPr>
        <w:spacing w:line="480" w:lineRule="auto"/>
        <w:rPr>
          <w:rFonts w:ascii="Times New Roman" w:hAnsi="Times New Roman"/>
          <w:b/>
        </w:rPr>
      </w:pPr>
    </w:p>
    <w:p w:rsidR="00D64CEA" w:rsidRDefault="00D64CEA" w:rsidP="00D64CEA">
      <w:pPr>
        <w:spacing w:line="480" w:lineRule="auto"/>
        <w:rPr>
          <w:rFonts w:ascii="Times New Roman" w:hAnsi="Times New Roman"/>
        </w:rPr>
      </w:pPr>
      <w:r w:rsidRPr="006936D5">
        <w:rPr>
          <w:rFonts w:ascii="Times New Roman" w:hAnsi="Times New Roman"/>
          <w:b/>
        </w:rPr>
        <w:t xml:space="preserve">Figure </w:t>
      </w:r>
      <w:r>
        <w:rPr>
          <w:rFonts w:ascii="Times New Roman" w:hAnsi="Times New Roman"/>
          <w:b/>
        </w:rPr>
        <w:t>S</w:t>
      </w:r>
      <w:r w:rsidRPr="006936D5">
        <w:rPr>
          <w:rFonts w:ascii="Times New Roman" w:hAnsi="Times New Roman"/>
          <w:b/>
        </w:rPr>
        <w:t xml:space="preserve">1. </w:t>
      </w:r>
      <w:r>
        <w:rPr>
          <w:rFonts w:ascii="Times New Roman" w:hAnsi="Times New Roman"/>
          <w:b/>
        </w:rPr>
        <w:t>Distribution of PM</w:t>
      </w:r>
      <w:r w:rsidRPr="006A708B">
        <w:rPr>
          <w:rFonts w:ascii="Times New Roman" w:hAnsi="Times New Roman"/>
          <w:b/>
          <w:vertAlign w:val="subscript"/>
        </w:rPr>
        <w:t>2.5</w:t>
      </w:r>
      <w:r>
        <w:rPr>
          <w:rFonts w:ascii="Times New Roman" w:hAnsi="Times New Roman"/>
          <w:b/>
        </w:rPr>
        <w:t xml:space="preserve"> estimates in</w:t>
      </w:r>
      <w:r w:rsidRPr="006936D5">
        <w:rPr>
          <w:rFonts w:ascii="Times New Roman" w:hAnsi="Times New Roman"/>
          <w:b/>
        </w:rPr>
        <w:t xml:space="preserve"> </w:t>
      </w:r>
      <w:r>
        <w:rPr>
          <w:rFonts w:ascii="Times New Roman" w:hAnsi="Times New Roman"/>
          <w:b/>
        </w:rPr>
        <w:t xml:space="preserve">biomass and clean-fuel households. </w:t>
      </w:r>
      <w:r w:rsidRPr="006A708B">
        <w:rPr>
          <w:rFonts w:ascii="Times New Roman" w:hAnsi="Times New Roman"/>
        </w:rPr>
        <w:t>The limit of detection</w:t>
      </w:r>
      <w:r>
        <w:rPr>
          <w:rFonts w:ascii="Times New Roman" w:hAnsi="Times New Roman"/>
        </w:rPr>
        <w:t xml:space="preserve"> </w:t>
      </w:r>
      <w:r w:rsidRPr="006A708B">
        <w:rPr>
          <w:rFonts w:ascii="Times New Roman" w:hAnsi="Times New Roman"/>
        </w:rPr>
        <w:t>of the monitors was 50 μg/m</w:t>
      </w:r>
      <w:r w:rsidRPr="006A708B">
        <w:rPr>
          <w:rFonts w:ascii="Times New Roman" w:hAnsi="Times New Roman"/>
          <w:vertAlign w:val="superscript"/>
        </w:rPr>
        <w:t>3</w:t>
      </w:r>
      <w:r w:rsidRPr="006A708B">
        <w:rPr>
          <w:rFonts w:ascii="Times New Roman" w:hAnsi="Times New Roman"/>
        </w:rPr>
        <w:t>.</w:t>
      </w:r>
      <w:r>
        <w:rPr>
          <w:rFonts w:ascii="Times New Roman" w:hAnsi="Times New Roman"/>
        </w:rPr>
        <w:t xml:space="preserve"> </w:t>
      </w:r>
      <w:r w:rsidRPr="006A708B">
        <w:rPr>
          <w:rFonts w:ascii="Times New Roman" w:hAnsi="Times New Roman"/>
          <w:vertAlign w:val="superscript"/>
        </w:rPr>
        <w:t>1</w:t>
      </w:r>
      <w:r>
        <w:rPr>
          <w:rFonts w:ascii="Times New Roman" w:hAnsi="Times New Roman"/>
        </w:rPr>
        <w:t>x-</w:t>
      </w:r>
      <w:r w:rsidRPr="006A708B">
        <w:rPr>
          <w:rFonts w:ascii="Times New Roman" w:hAnsi="Times New Roman"/>
        </w:rPr>
        <w:t xml:space="preserve">xis </w:t>
      </w:r>
      <w:r>
        <w:rPr>
          <w:rFonts w:ascii="Times New Roman" w:hAnsi="Times New Roman"/>
        </w:rPr>
        <w:t>truncated at 5</w:t>
      </w:r>
      <w:r w:rsidRPr="006A708B">
        <w:rPr>
          <w:rFonts w:ascii="Times New Roman" w:hAnsi="Times New Roman"/>
        </w:rPr>
        <w:t>000</w:t>
      </w:r>
      <w:r>
        <w:rPr>
          <w:rFonts w:ascii="Times New Roman" w:hAnsi="Times New Roman"/>
        </w:rPr>
        <w:t xml:space="preserve"> </w:t>
      </w:r>
      <w:r w:rsidRPr="006A708B">
        <w:rPr>
          <w:rFonts w:ascii="Times New Roman" w:hAnsi="Times New Roman"/>
        </w:rPr>
        <w:t>μg/m</w:t>
      </w:r>
      <w:r w:rsidRPr="006A708B">
        <w:rPr>
          <w:rFonts w:ascii="Times New Roman" w:hAnsi="Times New Roman"/>
          <w:vertAlign w:val="superscript"/>
        </w:rPr>
        <w:t>3</w:t>
      </w:r>
      <w:r>
        <w:rPr>
          <w:rFonts w:ascii="Times New Roman" w:hAnsi="Times New Roman"/>
        </w:rPr>
        <w:t>. Maximum readings reached 50</w:t>
      </w:r>
      <w:r w:rsidRPr="006A708B">
        <w:rPr>
          <w:rFonts w:ascii="Times New Roman" w:hAnsi="Times New Roman"/>
        </w:rPr>
        <w:t>000 μg/m</w:t>
      </w:r>
      <w:r w:rsidRPr="006A708B">
        <w:rPr>
          <w:rFonts w:ascii="Times New Roman" w:hAnsi="Times New Roman"/>
          <w:vertAlign w:val="superscript"/>
        </w:rPr>
        <w:t>3</w:t>
      </w:r>
      <w:r w:rsidRPr="006A708B">
        <w:rPr>
          <w:rFonts w:ascii="Times New Roman" w:hAnsi="Times New Roman"/>
        </w:rPr>
        <w:t xml:space="preserve"> in both types of household. </w:t>
      </w:r>
    </w:p>
    <w:p w:rsidR="00D64CEA" w:rsidRDefault="00D64CEA" w:rsidP="00D64CEA">
      <w:pPr>
        <w:spacing w:line="480" w:lineRule="auto"/>
        <w:rPr>
          <w:rFonts w:ascii="Times New Roman" w:hAnsi="Times New Roman"/>
          <w:b/>
        </w:rPr>
      </w:pPr>
    </w:p>
    <w:p w:rsidR="00D64CEA" w:rsidRDefault="00D64CEA" w:rsidP="00D64CEA">
      <w:pPr>
        <w:spacing w:line="480" w:lineRule="auto"/>
        <w:rPr>
          <w:rFonts w:ascii="Times New Roman" w:hAnsi="Times New Roman"/>
        </w:rPr>
      </w:pPr>
      <w:r w:rsidRPr="006936D5">
        <w:rPr>
          <w:rFonts w:ascii="Times New Roman" w:hAnsi="Times New Roman"/>
          <w:b/>
        </w:rPr>
        <w:t xml:space="preserve">Figure </w:t>
      </w:r>
      <w:r>
        <w:rPr>
          <w:rFonts w:ascii="Times New Roman" w:hAnsi="Times New Roman"/>
          <w:b/>
        </w:rPr>
        <w:t>S2</w:t>
      </w:r>
      <w:r w:rsidRPr="006936D5">
        <w:rPr>
          <w:rFonts w:ascii="Times New Roman" w:hAnsi="Times New Roman"/>
          <w:b/>
        </w:rPr>
        <w:t xml:space="preserve">. </w:t>
      </w:r>
      <w:proofErr w:type="gramStart"/>
      <w:r w:rsidRPr="006936D5">
        <w:rPr>
          <w:rFonts w:ascii="Times New Roman" w:hAnsi="Times New Roman"/>
          <w:b/>
        </w:rPr>
        <w:t>Risk of PM</w:t>
      </w:r>
      <w:r w:rsidRPr="006936D5">
        <w:rPr>
          <w:rFonts w:ascii="Times New Roman" w:hAnsi="Times New Roman"/>
          <w:b/>
          <w:vertAlign w:val="subscript"/>
        </w:rPr>
        <w:t>2.5</w:t>
      </w:r>
      <w:r>
        <w:rPr>
          <w:rFonts w:ascii="Times New Roman" w:hAnsi="Times New Roman"/>
          <w:b/>
        </w:rPr>
        <w:t xml:space="preserve"> concentrations exceeding 5</w:t>
      </w:r>
      <w:r w:rsidRPr="006936D5">
        <w:rPr>
          <w:rFonts w:ascii="Times New Roman" w:hAnsi="Times New Roman"/>
          <w:b/>
        </w:rPr>
        <w:t>00 μg/m</w:t>
      </w:r>
      <w:r w:rsidRPr="006936D5">
        <w:rPr>
          <w:rFonts w:ascii="Times New Roman" w:hAnsi="Times New Roman"/>
          <w:b/>
          <w:vertAlign w:val="superscript"/>
        </w:rPr>
        <w:t>3</w:t>
      </w:r>
      <w:r w:rsidRPr="006936D5">
        <w:rPr>
          <w:rFonts w:ascii="Times New Roman" w:hAnsi="Times New Roman"/>
          <w:b/>
        </w:rPr>
        <w:t xml:space="preserve"> by time of day and time of year in households with no obvious source of particulate matter.</w:t>
      </w:r>
      <w:proofErr w:type="gramEnd"/>
      <w:r w:rsidRPr="006936D5">
        <w:rPr>
          <w:rFonts w:ascii="Times New Roman" w:hAnsi="Times New Roman"/>
          <w:b/>
        </w:rPr>
        <w:t xml:space="preserve"> (A)</w:t>
      </w:r>
      <w:r w:rsidRPr="006936D5">
        <w:rPr>
          <w:rFonts w:ascii="Times New Roman" w:hAnsi="Times New Roman"/>
        </w:rPr>
        <w:t xml:space="preserve"> Model estimates of the probability that PM</w:t>
      </w:r>
      <w:r w:rsidRPr="006936D5">
        <w:rPr>
          <w:rFonts w:ascii="Times New Roman" w:hAnsi="Times New Roman"/>
          <w:vertAlign w:val="subscript"/>
        </w:rPr>
        <w:t>2.5</w:t>
      </w:r>
      <w:r>
        <w:rPr>
          <w:rFonts w:ascii="Times New Roman" w:hAnsi="Times New Roman"/>
        </w:rPr>
        <w:t xml:space="preserve"> exceeds 5</w:t>
      </w:r>
      <w:r w:rsidRPr="006936D5">
        <w:rPr>
          <w:rFonts w:ascii="Times New Roman" w:hAnsi="Times New Roman"/>
        </w:rPr>
        <w:t>00 μg/m</w:t>
      </w:r>
      <w:r w:rsidRPr="006936D5">
        <w:rPr>
          <w:rFonts w:ascii="Times New Roman" w:hAnsi="Times New Roman"/>
          <w:vertAlign w:val="superscript"/>
        </w:rPr>
        <w:t>3</w:t>
      </w:r>
      <w:r w:rsidRPr="006936D5">
        <w:rPr>
          <w:rFonts w:ascii="Times New Roman" w:hAnsi="Times New Roman"/>
        </w:rPr>
        <w:t xml:space="preserve"> by time of day. </w:t>
      </w:r>
      <w:r w:rsidRPr="006936D5">
        <w:rPr>
          <w:rFonts w:ascii="Times New Roman" w:hAnsi="Times New Roman"/>
          <w:b/>
        </w:rPr>
        <w:t xml:space="preserve">(B) </w:t>
      </w:r>
      <w:r w:rsidRPr="006936D5">
        <w:rPr>
          <w:rFonts w:ascii="Times New Roman" w:hAnsi="Times New Roman"/>
        </w:rPr>
        <w:t>Model estimates of the probability that PM</w:t>
      </w:r>
      <w:r w:rsidRPr="006936D5">
        <w:rPr>
          <w:rFonts w:ascii="Times New Roman" w:hAnsi="Times New Roman"/>
          <w:vertAlign w:val="subscript"/>
        </w:rPr>
        <w:t>2.5</w:t>
      </w:r>
      <w:r>
        <w:rPr>
          <w:rFonts w:ascii="Times New Roman" w:hAnsi="Times New Roman"/>
        </w:rPr>
        <w:t xml:space="preserve"> exceeds 5</w:t>
      </w:r>
      <w:r w:rsidRPr="006936D5">
        <w:rPr>
          <w:rFonts w:ascii="Times New Roman" w:hAnsi="Times New Roman"/>
        </w:rPr>
        <w:t>00 μg/m</w:t>
      </w:r>
      <w:r w:rsidRPr="006936D5">
        <w:rPr>
          <w:rFonts w:ascii="Times New Roman" w:hAnsi="Times New Roman"/>
          <w:vertAlign w:val="superscript"/>
        </w:rPr>
        <w:t>3</w:t>
      </w:r>
      <w:r w:rsidRPr="006936D5">
        <w:rPr>
          <w:rFonts w:ascii="Times New Roman" w:hAnsi="Times New Roman"/>
        </w:rPr>
        <w:t xml:space="preserve"> by time of day and time of year. </w:t>
      </w:r>
      <w:r w:rsidRPr="006936D5">
        <w:rPr>
          <w:rFonts w:ascii="Times New Roman" w:hAnsi="Times New Roman"/>
          <w:b/>
        </w:rPr>
        <w:t xml:space="preserve">(C) </w:t>
      </w:r>
      <w:r w:rsidRPr="006936D5">
        <w:rPr>
          <w:rFonts w:ascii="Times New Roman" w:hAnsi="Times New Roman"/>
        </w:rPr>
        <w:t>Mean number of minutes over 24-hours that PM</w:t>
      </w:r>
      <w:r w:rsidRPr="006936D5">
        <w:rPr>
          <w:rFonts w:ascii="Times New Roman" w:hAnsi="Times New Roman"/>
          <w:vertAlign w:val="subscript"/>
        </w:rPr>
        <w:t>2.5</w:t>
      </w:r>
      <w:r>
        <w:rPr>
          <w:rFonts w:ascii="Times New Roman" w:hAnsi="Times New Roman"/>
        </w:rPr>
        <w:t xml:space="preserve"> exceeds 5</w:t>
      </w:r>
      <w:r w:rsidRPr="006936D5">
        <w:rPr>
          <w:rFonts w:ascii="Times New Roman" w:hAnsi="Times New Roman"/>
        </w:rPr>
        <w:t>00 μg/m</w:t>
      </w:r>
      <w:r w:rsidRPr="006936D5">
        <w:rPr>
          <w:rFonts w:ascii="Times New Roman" w:hAnsi="Times New Roman"/>
          <w:vertAlign w:val="superscript"/>
        </w:rPr>
        <w:t>3</w:t>
      </w:r>
      <w:r w:rsidRPr="006936D5">
        <w:rPr>
          <w:rFonts w:ascii="Times New Roman" w:hAnsi="Times New Roman"/>
        </w:rPr>
        <w:t xml:space="preserve"> by time of year in these households using a loess curve.</w:t>
      </w:r>
    </w:p>
    <w:p w:rsidR="00D64CEA" w:rsidRDefault="00D64CEA" w:rsidP="00D64CEA">
      <w:pPr>
        <w:spacing w:line="480" w:lineRule="auto"/>
        <w:rPr>
          <w:rFonts w:ascii="Times New Roman" w:hAnsi="Times New Roman"/>
        </w:rPr>
      </w:pPr>
    </w:p>
    <w:p w:rsidR="00D64CEA" w:rsidRDefault="00D64CEA" w:rsidP="00D64CEA">
      <w:pPr>
        <w:spacing w:line="480" w:lineRule="auto"/>
        <w:rPr>
          <w:rFonts w:ascii="Times New Roman" w:hAnsi="Times New Roman"/>
        </w:rPr>
      </w:pPr>
      <w:r w:rsidRPr="006936D5">
        <w:rPr>
          <w:rFonts w:ascii="Times New Roman" w:hAnsi="Times New Roman"/>
          <w:b/>
        </w:rPr>
        <w:t xml:space="preserve">Figure </w:t>
      </w:r>
      <w:r>
        <w:rPr>
          <w:rFonts w:ascii="Times New Roman" w:hAnsi="Times New Roman"/>
          <w:b/>
        </w:rPr>
        <w:t>S3</w:t>
      </w:r>
      <w:r w:rsidRPr="006936D5">
        <w:rPr>
          <w:rFonts w:ascii="Times New Roman" w:hAnsi="Times New Roman"/>
          <w:b/>
        </w:rPr>
        <w:t xml:space="preserve">. </w:t>
      </w:r>
      <w:proofErr w:type="gramStart"/>
      <w:r w:rsidRPr="006936D5">
        <w:rPr>
          <w:rFonts w:ascii="Times New Roman" w:hAnsi="Times New Roman"/>
          <w:b/>
        </w:rPr>
        <w:t>Risk of PM</w:t>
      </w:r>
      <w:r w:rsidRPr="006936D5">
        <w:rPr>
          <w:rFonts w:ascii="Times New Roman" w:hAnsi="Times New Roman"/>
          <w:b/>
          <w:vertAlign w:val="subscript"/>
        </w:rPr>
        <w:t>2.5</w:t>
      </w:r>
      <w:r>
        <w:rPr>
          <w:rFonts w:ascii="Times New Roman" w:hAnsi="Times New Roman"/>
          <w:b/>
        </w:rPr>
        <w:t xml:space="preserve"> concentrations exceeding 20</w:t>
      </w:r>
      <w:r w:rsidRPr="006936D5">
        <w:rPr>
          <w:rFonts w:ascii="Times New Roman" w:hAnsi="Times New Roman"/>
          <w:b/>
        </w:rPr>
        <w:t>00 μg/m</w:t>
      </w:r>
      <w:r w:rsidRPr="006936D5">
        <w:rPr>
          <w:rFonts w:ascii="Times New Roman" w:hAnsi="Times New Roman"/>
          <w:b/>
          <w:vertAlign w:val="superscript"/>
        </w:rPr>
        <w:t>3</w:t>
      </w:r>
      <w:r w:rsidRPr="006936D5">
        <w:rPr>
          <w:rFonts w:ascii="Times New Roman" w:hAnsi="Times New Roman"/>
          <w:b/>
        </w:rPr>
        <w:t xml:space="preserve"> by time of day and time of year in households with no obvious source of particulate matter.</w:t>
      </w:r>
      <w:proofErr w:type="gramEnd"/>
      <w:r w:rsidRPr="006936D5">
        <w:rPr>
          <w:rFonts w:ascii="Times New Roman" w:hAnsi="Times New Roman"/>
          <w:b/>
        </w:rPr>
        <w:t xml:space="preserve"> (A)</w:t>
      </w:r>
      <w:r w:rsidRPr="006936D5">
        <w:rPr>
          <w:rFonts w:ascii="Times New Roman" w:hAnsi="Times New Roman"/>
        </w:rPr>
        <w:t xml:space="preserve"> Model estimates of the probability that PM</w:t>
      </w:r>
      <w:r w:rsidRPr="006936D5">
        <w:rPr>
          <w:rFonts w:ascii="Times New Roman" w:hAnsi="Times New Roman"/>
          <w:vertAlign w:val="subscript"/>
        </w:rPr>
        <w:t>2.5</w:t>
      </w:r>
      <w:r>
        <w:rPr>
          <w:rFonts w:ascii="Times New Roman" w:hAnsi="Times New Roman"/>
        </w:rPr>
        <w:t xml:space="preserve"> exceeds 20</w:t>
      </w:r>
      <w:r w:rsidRPr="006936D5">
        <w:rPr>
          <w:rFonts w:ascii="Times New Roman" w:hAnsi="Times New Roman"/>
        </w:rPr>
        <w:t>00 μg/m</w:t>
      </w:r>
      <w:r w:rsidRPr="006936D5">
        <w:rPr>
          <w:rFonts w:ascii="Times New Roman" w:hAnsi="Times New Roman"/>
          <w:vertAlign w:val="superscript"/>
        </w:rPr>
        <w:t>3</w:t>
      </w:r>
      <w:r w:rsidRPr="006936D5">
        <w:rPr>
          <w:rFonts w:ascii="Times New Roman" w:hAnsi="Times New Roman"/>
        </w:rPr>
        <w:t xml:space="preserve"> by time of day. </w:t>
      </w:r>
      <w:r w:rsidRPr="006936D5">
        <w:rPr>
          <w:rFonts w:ascii="Times New Roman" w:hAnsi="Times New Roman"/>
          <w:b/>
        </w:rPr>
        <w:t xml:space="preserve">(B) </w:t>
      </w:r>
      <w:r w:rsidRPr="006936D5">
        <w:rPr>
          <w:rFonts w:ascii="Times New Roman" w:hAnsi="Times New Roman"/>
        </w:rPr>
        <w:t>Model estimates of the probability that PM</w:t>
      </w:r>
      <w:r w:rsidRPr="006936D5">
        <w:rPr>
          <w:rFonts w:ascii="Times New Roman" w:hAnsi="Times New Roman"/>
          <w:vertAlign w:val="subscript"/>
        </w:rPr>
        <w:t>2.5</w:t>
      </w:r>
      <w:r>
        <w:rPr>
          <w:rFonts w:ascii="Times New Roman" w:hAnsi="Times New Roman"/>
        </w:rPr>
        <w:t xml:space="preserve"> exceeds 20</w:t>
      </w:r>
      <w:r w:rsidRPr="006936D5">
        <w:rPr>
          <w:rFonts w:ascii="Times New Roman" w:hAnsi="Times New Roman"/>
        </w:rPr>
        <w:t>00 μg/m</w:t>
      </w:r>
      <w:r w:rsidRPr="006936D5">
        <w:rPr>
          <w:rFonts w:ascii="Times New Roman" w:hAnsi="Times New Roman"/>
          <w:vertAlign w:val="superscript"/>
        </w:rPr>
        <w:t>3</w:t>
      </w:r>
      <w:r w:rsidRPr="006936D5">
        <w:rPr>
          <w:rFonts w:ascii="Times New Roman" w:hAnsi="Times New Roman"/>
        </w:rPr>
        <w:t xml:space="preserve"> by time of day and time of year. </w:t>
      </w:r>
      <w:r w:rsidRPr="006936D5">
        <w:rPr>
          <w:rFonts w:ascii="Times New Roman" w:hAnsi="Times New Roman"/>
          <w:b/>
        </w:rPr>
        <w:t xml:space="preserve">(C) </w:t>
      </w:r>
      <w:r w:rsidRPr="006936D5">
        <w:rPr>
          <w:rFonts w:ascii="Times New Roman" w:hAnsi="Times New Roman"/>
        </w:rPr>
        <w:t>Mean number of minutes over 24-hours that PM</w:t>
      </w:r>
      <w:r w:rsidRPr="006936D5">
        <w:rPr>
          <w:rFonts w:ascii="Times New Roman" w:hAnsi="Times New Roman"/>
          <w:vertAlign w:val="subscript"/>
        </w:rPr>
        <w:t>2.5</w:t>
      </w:r>
      <w:r>
        <w:rPr>
          <w:rFonts w:ascii="Times New Roman" w:hAnsi="Times New Roman"/>
        </w:rPr>
        <w:t xml:space="preserve"> exceeds 20</w:t>
      </w:r>
      <w:r w:rsidRPr="006936D5">
        <w:rPr>
          <w:rFonts w:ascii="Times New Roman" w:hAnsi="Times New Roman"/>
        </w:rPr>
        <w:t>00 μg/m</w:t>
      </w:r>
      <w:r w:rsidRPr="006936D5">
        <w:rPr>
          <w:rFonts w:ascii="Times New Roman" w:hAnsi="Times New Roman"/>
          <w:vertAlign w:val="superscript"/>
        </w:rPr>
        <w:t>3</w:t>
      </w:r>
      <w:r w:rsidRPr="006936D5">
        <w:rPr>
          <w:rFonts w:ascii="Times New Roman" w:hAnsi="Times New Roman"/>
        </w:rPr>
        <w:t xml:space="preserve"> by time of year in these households using a loess curve.</w:t>
      </w:r>
    </w:p>
    <w:p w:rsidR="00D64CEA" w:rsidRPr="006A708B" w:rsidRDefault="00D64CEA" w:rsidP="00D64CEA">
      <w:pPr>
        <w:spacing w:line="480" w:lineRule="auto"/>
        <w:rPr>
          <w:rFonts w:ascii="Times New Roman" w:hAnsi="Times New Roman"/>
        </w:rPr>
      </w:pPr>
    </w:p>
    <w:p w:rsidR="00D64CEA" w:rsidRPr="006936D5" w:rsidRDefault="00D64CEA" w:rsidP="00D64CEA">
      <w:pPr>
        <w:spacing w:line="480" w:lineRule="auto"/>
        <w:rPr>
          <w:rFonts w:ascii="Times New Roman" w:hAnsi="Times New Roman"/>
        </w:rPr>
      </w:pPr>
      <w:r w:rsidRPr="006936D5">
        <w:rPr>
          <w:rFonts w:ascii="Times New Roman" w:hAnsi="Times New Roman"/>
          <w:b/>
        </w:rPr>
        <w:t>Figure</w:t>
      </w:r>
      <w:r>
        <w:rPr>
          <w:rFonts w:ascii="Times New Roman" w:hAnsi="Times New Roman"/>
          <w:b/>
        </w:rPr>
        <w:t xml:space="preserve"> S4</w:t>
      </w:r>
      <w:r w:rsidRPr="006936D5">
        <w:rPr>
          <w:rFonts w:ascii="Times New Roman" w:hAnsi="Times New Roman"/>
          <w:b/>
        </w:rPr>
        <w:t>. Variation in the effects of (A) biomass use and (B) having more than two external windows and doors throughout a 24-hour period on the odds of PM</w:t>
      </w:r>
      <w:r w:rsidRPr="006936D5">
        <w:rPr>
          <w:rFonts w:ascii="Times New Roman" w:hAnsi="Times New Roman"/>
          <w:b/>
          <w:vertAlign w:val="subscript"/>
        </w:rPr>
        <w:t>2.5</w:t>
      </w:r>
      <w:r>
        <w:rPr>
          <w:rFonts w:ascii="Times New Roman" w:hAnsi="Times New Roman"/>
          <w:b/>
        </w:rPr>
        <w:t xml:space="preserve"> concentrations exceeding 5</w:t>
      </w:r>
      <w:r w:rsidRPr="006936D5">
        <w:rPr>
          <w:rFonts w:ascii="Times New Roman" w:hAnsi="Times New Roman"/>
          <w:b/>
        </w:rPr>
        <w:t>00 μg/m</w:t>
      </w:r>
      <w:r w:rsidRPr="006936D5">
        <w:rPr>
          <w:rFonts w:ascii="Times New Roman" w:hAnsi="Times New Roman"/>
          <w:b/>
          <w:vertAlign w:val="superscript"/>
        </w:rPr>
        <w:t>3</w:t>
      </w:r>
      <w:r w:rsidRPr="006936D5">
        <w:rPr>
          <w:rFonts w:ascii="Times New Roman" w:hAnsi="Times New Roman"/>
          <w:b/>
        </w:rPr>
        <w:t xml:space="preserve"> for biomass and clean fuel households. (A) </w:t>
      </w:r>
      <w:r w:rsidRPr="006936D5">
        <w:rPr>
          <w:rFonts w:ascii="Times New Roman" w:hAnsi="Times New Roman"/>
        </w:rPr>
        <w:t>Model estimates of the probability that PM</w:t>
      </w:r>
      <w:r w:rsidRPr="006936D5">
        <w:rPr>
          <w:rFonts w:ascii="Times New Roman" w:hAnsi="Times New Roman"/>
          <w:vertAlign w:val="subscript"/>
        </w:rPr>
        <w:t>2.5</w:t>
      </w:r>
      <w:r>
        <w:rPr>
          <w:rFonts w:ascii="Times New Roman" w:hAnsi="Times New Roman"/>
        </w:rPr>
        <w:t xml:space="preserve"> exceeds 5</w:t>
      </w:r>
      <w:r w:rsidRPr="006936D5">
        <w:rPr>
          <w:rFonts w:ascii="Times New Roman" w:hAnsi="Times New Roman"/>
        </w:rPr>
        <w:t>00 μg/m</w:t>
      </w:r>
      <w:r w:rsidRPr="006936D5">
        <w:rPr>
          <w:rFonts w:ascii="Times New Roman" w:hAnsi="Times New Roman"/>
          <w:vertAlign w:val="superscript"/>
        </w:rPr>
        <w:t>3</w:t>
      </w:r>
      <w:r w:rsidRPr="006936D5">
        <w:rPr>
          <w:rFonts w:ascii="Times New Roman" w:hAnsi="Times New Roman"/>
        </w:rPr>
        <w:t xml:space="preserve"> in clean fuel households </w:t>
      </w:r>
      <w:r w:rsidRPr="006936D5">
        <w:rPr>
          <w:rFonts w:ascii="Times New Roman" w:hAnsi="Times New Roman"/>
        </w:rPr>
        <w:lastRenderedPageBreak/>
        <w:t>(solid line) and biomass households (dashed line). The blue line is the odds ratio of PM</w:t>
      </w:r>
      <w:r w:rsidRPr="006936D5">
        <w:rPr>
          <w:rFonts w:ascii="Times New Roman" w:hAnsi="Times New Roman"/>
          <w:vertAlign w:val="subscript"/>
        </w:rPr>
        <w:t>2.5</w:t>
      </w:r>
      <w:r>
        <w:rPr>
          <w:rFonts w:ascii="Times New Roman" w:hAnsi="Times New Roman"/>
        </w:rPr>
        <w:t xml:space="preserve"> exceeding 5</w:t>
      </w:r>
      <w:r w:rsidRPr="006936D5">
        <w:rPr>
          <w:rFonts w:ascii="Times New Roman" w:hAnsi="Times New Roman"/>
        </w:rPr>
        <w:t>00 μg/m</w:t>
      </w:r>
      <w:r w:rsidRPr="006936D5">
        <w:rPr>
          <w:rFonts w:ascii="Times New Roman" w:hAnsi="Times New Roman"/>
          <w:vertAlign w:val="superscript"/>
        </w:rPr>
        <w:t>3</w:t>
      </w:r>
      <w:r w:rsidRPr="006936D5">
        <w:rPr>
          <w:rFonts w:ascii="Times New Roman" w:hAnsi="Times New Roman"/>
        </w:rPr>
        <w:t xml:space="preserve"> between the two household types. </w:t>
      </w:r>
      <w:r w:rsidRPr="006936D5">
        <w:rPr>
          <w:rFonts w:ascii="Times New Roman" w:hAnsi="Times New Roman"/>
          <w:b/>
        </w:rPr>
        <w:t xml:space="preserve">(B) </w:t>
      </w:r>
      <w:r w:rsidRPr="006936D5">
        <w:rPr>
          <w:rFonts w:ascii="Times New Roman" w:hAnsi="Times New Roman"/>
        </w:rPr>
        <w:t>Odds ratio of PM</w:t>
      </w:r>
      <w:r w:rsidRPr="006936D5">
        <w:rPr>
          <w:rFonts w:ascii="Times New Roman" w:hAnsi="Times New Roman"/>
          <w:vertAlign w:val="subscript"/>
        </w:rPr>
        <w:t>2.5</w:t>
      </w:r>
      <w:r>
        <w:rPr>
          <w:rFonts w:ascii="Times New Roman" w:hAnsi="Times New Roman"/>
        </w:rPr>
        <w:t xml:space="preserve"> exceeding 5</w:t>
      </w:r>
      <w:r w:rsidRPr="006936D5">
        <w:rPr>
          <w:rFonts w:ascii="Times New Roman" w:hAnsi="Times New Roman"/>
        </w:rPr>
        <w:t>00 μg/m</w:t>
      </w:r>
      <w:r w:rsidRPr="006936D5">
        <w:rPr>
          <w:rFonts w:ascii="Times New Roman" w:hAnsi="Times New Roman"/>
          <w:vertAlign w:val="superscript"/>
        </w:rPr>
        <w:t>3</w:t>
      </w:r>
      <w:r w:rsidRPr="006936D5">
        <w:rPr>
          <w:rFonts w:ascii="Times New Roman" w:hAnsi="Times New Roman"/>
        </w:rPr>
        <w:t xml:space="preserve"> in households with more than two external windows and doors versus households with fewer external windows and doors for clean fuel households (solid line) and biomass households (dashed line). The shaded areas are 95% confidence intervals.</w:t>
      </w:r>
    </w:p>
    <w:p w:rsidR="00D64CEA" w:rsidRDefault="00D64CEA" w:rsidP="00D64CEA">
      <w:pPr>
        <w:spacing w:line="480" w:lineRule="auto"/>
        <w:rPr>
          <w:rFonts w:ascii="Times New Roman" w:hAnsi="Times New Roman"/>
        </w:rPr>
      </w:pPr>
    </w:p>
    <w:p w:rsidR="00D64CEA" w:rsidRPr="006936D5" w:rsidRDefault="00D64CEA" w:rsidP="00D64CEA">
      <w:pPr>
        <w:spacing w:line="480" w:lineRule="auto"/>
        <w:rPr>
          <w:rFonts w:ascii="Times New Roman" w:hAnsi="Times New Roman"/>
        </w:rPr>
      </w:pPr>
      <w:r w:rsidRPr="006936D5">
        <w:rPr>
          <w:rFonts w:ascii="Times New Roman" w:hAnsi="Times New Roman"/>
          <w:b/>
        </w:rPr>
        <w:t>Figure</w:t>
      </w:r>
      <w:r>
        <w:rPr>
          <w:rFonts w:ascii="Times New Roman" w:hAnsi="Times New Roman"/>
          <w:b/>
        </w:rPr>
        <w:t xml:space="preserve"> S5</w:t>
      </w:r>
      <w:r w:rsidRPr="006936D5">
        <w:rPr>
          <w:rFonts w:ascii="Times New Roman" w:hAnsi="Times New Roman"/>
          <w:b/>
        </w:rPr>
        <w:t>. Variation in the effects of (A) biomass use and (B) having more than two external windows and doors throughout a 24-hour period on the odds of PM</w:t>
      </w:r>
      <w:r w:rsidRPr="006936D5">
        <w:rPr>
          <w:rFonts w:ascii="Times New Roman" w:hAnsi="Times New Roman"/>
          <w:b/>
          <w:vertAlign w:val="subscript"/>
        </w:rPr>
        <w:t>2.5</w:t>
      </w:r>
      <w:r>
        <w:rPr>
          <w:rFonts w:ascii="Times New Roman" w:hAnsi="Times New Roman"/>
          <w:b/>
        </w:rPr>
        <w:t xml:space="preserve"> concentrations exceeding 20</w:t>
      </w:r>
      <w:r w:rsidRPr="006936D5">
        <w:rPr>
          <w:rFonts w:ascii="Times New Roman" w:hAnsi="Times New Roman"/>
          <w:b/>
        </w:rPr>
        <w:t>00 μg/m</w:t>
      </w:r>
      <w:r w:rsidRPr="006936D5">
        <w:rPr>
          <w:rFonts w:ascii="Times New Roman" w:hAnsi="Times New Roman"/>
          <w:b/>
          <w:vertAlign w:val="superscript"/>
        </w:rPr>
        <w:t>3</w:t>
      </w:r>
      <w:r w:rsidRPr="006936D5">
        <w:rPr>
          <w:rFonts w:ascii="Times New Roman" w:hAnsi="Times New Roman"/>
          <w:b/>
        </w:rPr>
        <w:t xml:space="preserve"> for biomass and clean fuel households. (A) </w:t>
      </w:r>
      <w:r w:rsidRPr="006936D5">
        <w:rPr>
          <w:rFonts w:ascii="Times New Roman" w:hAnsi="Times New Roman"/>
        </w:rPr>
        <w:t>Model estimates of the probability that PM</w:t>
      </w:r>
      <w:r w:rsidRPr="006936D5">
        <w:rPr>
          <w:rFonts w:ascii="Times New Roman" w:hAnsi="Times New Roman"/>
          <w:vertAlign w:val="subscript"/>
        </w:rPr>
        <w:t>2.5</w:t>
      </w:r>
      <w:r>
        <w:rPr>
          <w:rFonts w:ascii="Times New Roman" w:hAnsi="Times New Roman"/>
        </w:rPr>
        <w:t xml:space="preserve"> exceeds 20</w:t>
      </w:r>
      <w:r w:rsidRPr="006936D5">
        <w:rPr>
          <w:rFonts w:ascii="Times New Roman" w:hAnsi="Times New Roman"/>
        </w:rPr>
        <w:t>00 μg/m</w:t>
      </w:r>
      <w:r w:rsidRPr="006936D5">
        <w:rPr>
          <w:rFonts w:ascii="Times New Roman" w:hAnsi="Times New Roman"/>
          <w:vertAlign w:val="superscript"/>
        </w:rPr>
        <w:t>3</w:t>
      </w:r>
      <w:r w:rsidRPr="006936D5">
        <w:rPr>
          <w:rFonts w:ascii="Times New Roman" w:hAnsi="Times New Roman"/>
        </w:rPr>
        <w:t xml:space="preserve"> in clean fuel households (solid line) and biomass households (dashed line). The blue line is the odds ratio of PM</w:t>
      </w:r>
      <w:r w:rsidRPr="006936D5">
        <w:rPr>
          <w:rFonts w:ascii="Times New Roman" w:hAnsi="Times New Roman"/>
          <w:vertAlign w:val="subscript"/>
        </w:rPr>
        <w:t>2.5</w:t>
      </w:r>
      <w:r>
        <w:rPr>
          <w:rFonts w:ascii="Times New Roman" w:hAnsi="Times New Roman"/>
        </w:rPr>
        <w:t xml:space="preserve"> exceeding 20</w:t>
      </w:r>
      <w:r w:rsidRPr="006936D5">
        <w:rPr>
          <w:rFonts w:ascii="Times New Roman" w:hAnsi="Times New Roman"/>
        </w:rPr>
        <w:t>00 μg/m</w:t>
      </w:r>
      <w:r w:rsidRPr="006936D5">
        <w:rPr>
          <w:rFonts w:ascii="Times New Roman" w:hAnsi="Times New Roman"/>
          <w:vertAlign w:val="superscript"/>
        </w:rPr>
        <w:t>3</w:t>
      </w:r>
      <w:r w:rsidRPr="006936D5">
        <w:rPr>
          <w:rFonts w:ascii="Times New Roman" w:hAnsi="Times New Roman"/>
        </w:rPr>
        <w:t xml:space="preserve"> between the two household types. </w:t>
      </w:r>
      <w:r w:rsidRPr="006936D5">
        <w:rPr>
          <w:rFonts w:ascii="Times New Roman" w:hAnsi="Times New Roman"/>
          <w:b/>
        </w:rPr>
        <w:t xml:space="preserve">(B) </w:t>
      </w:r>
      <w:r w:rsidRPr="006936D5">
        <w:rPr>
          <w:rFonts w:ascii="Times New Roman" w:hAnsi="Times New Roman"/>
        </w:rPr>
        <w:t>Odds ratio of PM</w:t>
      </w:r>
      <w:r w:rsidRPr="006936D5">
        <w:rPr>
          <w:rFonts w:ascii="Times New Roman" w:hAnsi="Times New Roman"/>
          <w:vertAlign w:val="subscript"/>
        </w:rPr>
        <w:t>2.5</w:t>
      </w:r>
      <w:r>
        <w:rPr>
          <w:rFonts w:ascii="Times New Roman" w:hAnsi="Times New Roman"/>
        </w:rPr>
        <w:t xml:space="preserve"> exceeding 20</w:t>
      </w:r>
      <w:r w:rsidRPr="006936D5">
        <w:rPr>
          <w:rFonts w:ascii="Times New Roman" w:hAnsi="Times New Roman"/>
        </w:rPr>
        <w:t>00 μg/m</w:t>
      </w:r>
      <w:r w:rsidRPr="006936D5">
        <w:rPr>
          <w:rFonts w:ascii="Times New Roman" w:hAnsi="Times New Roman"/>
          <w:vertAlign w:val="superscript"/>
        </w:rPr>
        <w:t>3</w:t>
      </w:r>
      <w:r w:rsidRPr="006936D5">
        <w:rPr>
          <w:rFonts w:ascii="Times New Roman" w:hAnsi="Times New Roman"/>
        </w:rPr>
        <w:t xml:space="preserve"> in households with more than two external windows and doors versus households with fewer external windows and doors for clean fuel households (solid line) and biomass households (dashed line). The shaded areas are 95% confidence intervals.</w:t>
      </w:r>
    </w:p>
    <w:p w:rsidR="00D64CEA" w:rsidRPr="006A708B" w:rsidRDefault="00D64CEA" w:rsidP="00D64CEA">
      <w:pPr>
        <w:spacing w:line="480" w:lineRule="auto"/>
        <w:rPr>
          <w:rFonts w:ascii="Times New Roman" w:hAnsi="Times New Roman"/>
        </w:rPr>
      </w:pPr>
    </w:p>
    <w:p w:rsidR="00D64CEA" w:rsidRDefault="00D64CEA">
      <w:r>
        <w:br w:type="page"/>
      </w:r>
    </w:p>
    <w:p w:rsidR="00D64CEA" w:rsidRDefault="00D64CEA">
      <w:pPr>
        <w:rPr>
          <w:rFonts w:ascii="Times New Roman" w:hAnsi="Times New Roman"/>
          <w:b/>
        </w:rPr>
      </w:pPr>
      <w:r w:rsidRPr="006936D5">
        <w:rPr>
          <w:rFonts w:ascii="Times New Roman" w:hAnsi="Times New Roman"/>
          <w:b/>
        </w:rPr>
        <w:t xml:space="preserve">Figure </w:t>
      </w:r>
      <w:r>
        <w:rPr>
          <w:rFonts w:ascii="Times New Roman" w:hAnsi="Times New Roman"/>
          <w:b/>
        </w:rPr>
        <w:t>S1</w:t>
      </w:r>
    </w:p>
    <w:p w:rsidR="00D64CEA" w:rsidRDefault="00D64CEA">
      <w:pPr>
        <w:rPr>
          <w:rFonts w:ascii="Times New Roman" w:hAnsi="Times New Roman"/>
          <w:b/>
        </w:rPr>
      </w:pPr>
    </w:p>
    <w:p w:rsidR="00D64CEA" w:rsidRDefault="00D64CEA">
      <w:pPr>
        <w:rPr>
          <w:rFonts w:ascii="Times New Roman" w:hAnsi="Times New Roman"/>
          <w:b/>
        </w:rPr>
      </w:pPr>
      <w:r>
        <w:rPr>
          <w:noProof/>
        </w:rPr>
        <w:drawing>
          <wp:inline distT="0" distB="0" distL="0" distR="0" wp14:anchorId="4CC6047D" wp14:editId="63A70D4B">
            <wp:extent cx="5486400" cy="548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S1.tiff"/>
                    <pic:cNvPicPr/>
                  </pic:nvPicPr>
                  <pic:blipFill>
                    <a:blip r:embed="rId5">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rsidR="00D64CEA" w:rsidRDefault="00D64CEA">
      <w:pPr>
        <w:rPr>
          <w:noProof/>
        </w:rPr>
      </w:pPr>
      <w:r>
        <w:rPr>
          <w:noProof/>
        </w:rPr>
        <w:br w:type="page"/>
      </w:r>
    </w:p>
    <w:p w:rsidR="008E58AD" w:rsidRDefault="00D64CEA">
      <w:pPr>
        <w:rPr>
          <w:rFonts w:ascii="Times New Roman" w:hAnsi="Times New Roman"/>
          <w:b/>
        </w:rPr>
      </w:pPr>
      <w:r w:rsidRPr="006936D5">
        <w:rPr>
          <w:rFonts w:ascii="Times New Roman" w:hAnsi="Times New Roman"/>
          <w:b/>
        </w:rPr>
        <w:t xml:space="preserve">Figure </w:t>
      </w:r>
      <w:r>
        <w:rPr>
          <w:rFonts w:ascii="Times New Roman" w:hAnsi="Times New Roman"/>
          <w:b/>
        </w:rPr>
        <w:t>S</w:t>
      </w:r>
      <w:r>
        <w:rPr>
          <w:rFonts w:ascii="Times New Roman" w:hAnsi="Times New Roman"/>
          <w:b/>
        </w:rPr>
        <w:t>2</w:t>
      </w:r>
    </w:p>
    <w:p w:rsidR="00D64CEA" w:rsidRDefault="00D64CEA">
      <w:pPr>
        <w:rPr>
          <w:rFonts w:ascii="Times New Roman" w:hAnsi="Times New Roman"/>
          <w:b/>
        </w:rPr>
      </w:pPr>
    </w:p>
    <w:p w:rsidR="00D64CEA" w:rsidRDefault="00D64CEA">
      <w:pPr>
        <w:rPr>
          <w:rFonts w:ascii="Times New Roman" w:hAnsi="Times New Roman"/>
          <w:b/>
        </w:rPr>
      </w:pPr>
      <w:r>
        <w:rPr>
          <w:rFonts w:ascii="Times New Roman" w:hAnsi="Times New Roman"/>
          <w:b/>
          <w:noProof/>
        </w:rPr>
        <w:drawing>
          <wp:inline distT="0" distB="0" distL="0" distR="0">
            <wp:extent cx="5486400" cy="5462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2.tiff"/>
                    <pic:cNvPicPr/>
                  </pic:nvPicPr>
                  <pic:blipFill>
                    <a:blip r:embed="rId6">
                      <a:extLst>
                        <a:ext uri="{28A0092B-C50C-407E-A947-70E740481C1C}">
                          <a14:useLocalDpi xmlns:a14="http://schemas.microsoft.com/office/drawing/2010/main" val="0"/>
                        </a:ext>
                      </a:extLst>
                    </a:blip>
                    <a:stretch>
                      <a:fillRect/>
                    </a:stretch>
                  </pic:blipFill>
                  <pic:spPr>
                    <a:xfrm>
                      <a:off x="0" y="0"/>
                      <a:ext cx="5486400" cy="5462210"/>
                    </a:xfrm>
                    <a:prstGeom prst="rect">
                      <a:avLst/>
                    </a:prstGeom>
                  </pic:spPr>
                </pic:pic>
              </a:graphicData>
            </a:graphic>
          </wp:inline>
        </w:drawing>
      </w:r>
    </w:p>
    <w:p w:rsidR="00D64CEA" w:rsidRDefault="00D64CEA">
      <w:pPr>
        <w:rPr>
          <w:rFonts w:ascii="Times New Roman" w:hAnsi="Times New Roman"/>
          <w:b/>
        </w:rPr>
      </w:pPr>
      <w:r>
        <w:rPr>
          <w:rFonts w:ascii="Times New Roman" w:hAnsi="Times New Roman"/>
          <w:b/>
        </w:rPr>
        <w:br w:type="page"/>
      </w:r>
    </w:p>
    <w:p w:rsidR="00D64CEA" w:rsidRDefault="00D64CEA">
      <w:pPr>
        <w:rPr>
          <w:b/>
        </w:rPr>
      </w:pPr>
      <w:r w:rsidRPr="00D64CEA">
        <w:rPr>
          <w:b/>
        </w:rPr>
        <w:t>Figure S3</w:t>
      </w:r>
    </w:p>
    <w:p w:rsidR="00D64CEA" w:rsidRDefault="00D64CEA">
      <w:pPr>
        <w:rPr>
          <w:b/>
        </w:rPr>
      </w:pPr>
    </w:p>
    <w:p w:rsidR="00D64CEA" w:rsidRDefault="00D64CEA">
      <w:pPr>
        <w:rPr>
          <w:b/>
        </w:rPr>
      </w:pPr>
      <w:r>
        <w:rPr>
          <w:b/>
          <w:noProof/>
        </w:rPr>
        <w:drawing>
          <wp:inline distT="0" distB="0" distL="0" distR="0">
            <wp:extent cx="5486400" cy="55638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3.tiff"/>
                    <pic:cNvPicPr/>
                  </pic:nvPicPr>
                  <pic:blipFill>
                    <a:blip r:embed="rId7">
                      <a:extLst>
                        <a:ext uri="{28A0092B-C50C-407E-A947-70E740481C1C}">
                          <a14:useLocalDpi xmlns:a14="http://schemas.microsoft.com/office/drawing/2010/main" val="0"/>
                        </a:ext>
                      </a:extLst>
                    </a:blip>
                    <a:stretch>
                      <a:fillRect/>
                    </a:stretch>
                  </pic:blipFill>
                  <pic:spPr>
                    <a:xfrm>
                      <a:off x="0" y="0"/>
                      <a:ext cx="5486400" cy="5563810"/>
                    </a:xfrm>
                    <a:prstGeom prst="rect">
                      <a:avLst/>
                    </a:prstGeom>
                  </pic:spPr>
                </pic:pic>
              </a:graphicData>
            </a:graphic>
          </wp:inline>
        </w:drawing>
      </w:r>
    </w:p>
    <w:p w:rsidR="00D64CEA" w:rsidRDefault="00D64CEA">
      <w:pPr>
        <w:rPr>
          <w:b/>
        </w:rPr>
      </w:pPr>
    </w:p>
    <w:p w:rsidR="00D64CEA" w:rsidRDefault="00D64CEA">
      <w:pPr>
        <w:rPr>
          <w:b/>
        </w:rPr>
      </w:pPr>
      <w:r>
        <w:rPr>
          <w:b/>
        </w:rPr>
        <w:br w:type="page"/>
      </w:r>
    </w:p>
    <w:p w:rsidR="00D64CEA" w:rsidRDefault="00D64CEA" w:rsidP="00D64CEA">
      <w:pPr>
        <w:rPr>
          <w:b/>
        </w:rPr>
      </w:pPr>
      <w:r>
        <w:rPr>
          <w:b/>
        </w:rPr>
        <w:t>Figure S4</w:t>
      </w:r>
    </w:p>
    <w:p w:rsidR="00D64CEA" w:rsidRDefault="00D64CEA" w:rsidP="00D64CEA">
      <w:pPr>
        <w:rPr>
          <w:b/>
        </w:rPr>
      </w:pPr>
    </w:p>
    <w:p w:rsidR="00D64CEA" w:rsidRDefault="00D64CEA">
      <w:pPr>
        <w:rPr>
          <w:b/>
        </w:rPr>
      </w:pPr>
      <w:r>
        <w:rPr>
          <w:b/>
          <w:noProof/>
        </w:rPr>
        <w:drawing>
          <wp:inline distT="0" distB="0" distL="0" distR="0">
            <wp:extent cx="5486400" cy="41954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4.tiff"/>
                    <pic:cNvPicPr/>
                  </pic:nvPicPr>
                  <pic:blipFill>
                    <a:blip r:embed="rId8">
                      <a:extLst>
                        <a:ext uri="{28A0092B-C50C-407E-A947-70E740481C1C}">
                          <a14:useLocalDpi xmlns:a14="http://schemas.microsoft.com/office/drawing/2010/main" val="0"/>
                        </a:ext>
                      </a:extLst>
                    </a:blip>
                    <a:stretch>
                      <a:fillRect/>
                    </a:stretch>
                  </pic:blipFill>
                  <pic:spPr>
                    <a:xfrm>
                      <a:off x="0" y="0"/>
                      <a:ext cx="5486400" cy="4195445"/>
                    </a:xfrm>
                    <a:prstGeom prst="rect">
                      <a:avLst/>
                    </a:prstGeom>
                  </pic:spPr>
                </pic:pic>
              </a:graphicData>
            </a:graphic>
          </wp:inline>
        </w:drawing>
      </w:r>
      <w:r>
        <w:rPr>
          <w:b/>
        </w:rPr>
        <w:br w:type="page"/>
      </w:r>
    </w:p>
    <w:p w:rsidR="00D64CEA" w:rsidRDefault="00D64CEA" w:rsidP="00D64CEA">
      <w:pPr>
        <w:rPr>
          <w:b/>
        </w:rPr>
      </w:pPr>
      <w:r>
        <w:rPr>
          <w:b/>
        </w:rPr>
        <w:t>Figure S5</w:t>
      </w:r>
    </w:p>
    <w:p w:rsidR="00D64CEA" w:rsidRDefault="00D64CEA" w:rsidP="00D64CEA">
      <w:pPr>
        <w:rPr>
          <w:b/>
        </w:rPr>
      </w:pPr>
    </w:p>
    <w:p w:rsidR="00D64CEA" w:rsidRDefault="00D64CEA" w:rsidP="00D64CEA">
      <w:pPr>
        <w:rPr>
          <w:b/>
        </w:rPr>
      </w:pPr>
      <w:bookmarkStart w:id="0" w:name="_GoBack"/>
      <w:r>
        <w:rPr>
          <w:b/>
          <w:noProof/>
        </w:rPr>
        <w:drawing>
          <wp:inline distT="0" distB="0" distL="0" distR="0">
            <wp:extent cx="5486400" cy="41954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5.tiff"/>
                    <pic:cNvPicPr/>
                  </pic:nvPicPr>
                  <pic:blipFill>
                    <a:blip r:embed="rId9">
                      <a:extLst>
                        <a:ext uri="{28A0092B-C50C-407E-A947-70E740481C1C}">
                          <a14:useLocalDpi xmlns:a14="http://schemas.microsoft.com/office/drawing/2010/main" val="0"/>
                        </a:ext>
                      </a:extLst>
                    </a:blip>
                    <a:stretch>
                      <a:fillRect/>
                    </a:stretch>
                  </pic:blipFill>
                  <pic:spPr>
                    <a:xfrm>
                      <a:off x="0" y="0"/>
                      <a:ext cx="5486400" cy="4195445"/>
                    </a:xfrm>
                    <a:prstGeom prst="rect">
                      <a:avLst/>
                    </a:prstGeom>
                  </pic:spPr>
                </pic:pic>
              </a:graphicData>
            </a:graphic>
          </wp:inline>
        </w:drawing>
      </w:r>
      <w:bookmarkEnd w:id="0"/>
    </w:p>
    <w:p w:rsidR="00D64CEA" w:rsidRDefault="00D64CEA" w:rsidP="00D64CEA">
      <w:pPr>
        <w:rPr>
          <w:b/>
        </w:rPr>
      </w:pPr>
    </w:p>
    <w:p w:rsidR="00D64CEA" w:rsidRPr="00D64CEA" w:rsidRDefault="00D64CEA" w:rsidP="00D64CEA">
      <w:pPr>
        <w:rPr>
          <w:b/>
        </w:rPr>
      </w:pPr>
    </w:p>
    <w:p w:rsidR="00D64CEA" w:rsidRPr="00D64CEA" w:rsidRDefault="00D64CEA">
      <w:pPr>
        <w:rPr>
          <w:b/>
        </w:rPr>
      </w:pPr>
    </w:p>
    <w:sectPr w:rsidR="00D64CEA" w:rsidRPr="00D64CEA" w:rsidSect="00113B4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MS ??">
    <w:altName w:val="Arial Unicode MS"/>
    <w:panose1 w:val="00000000000000000000"/>
    <w:charset w:val="80"/>
    <w:family w:val="auto"/>
    <w:notTrueType/>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CEA"/>
    <w:rsid w:val="00113B49"/>
    <w:rsid w:val="008E58AD"/>
    <w:rsid w:val="00D64C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5C3381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CEA"/>
    <w:rPr>
      <w:rFonts w:ascii="Cambria" w:eastAsia="MS ??"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4C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4CEA"/>
    <w:rPr>
      <w:rFonts w:ascii="Lucida Grande" w:eastAsia="MS ??"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CEA"/>
    <w:rPr>
      <w:rFonts w:ascii="Cambria" w:eastAsia="MS ??"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4C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4CEA"/>
    <w:rPr>
      <w:rFonts w:ascii="Lucida Grande" w:eastAsia="MS ??"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tiff"/><Relationship Id="rId7" Type="http://schemas.openxmlformats.org/officeDocument/2006/relationships/image" Target="media/image3.tiff"/><Relationship Id="rId8" Type="http://schemas.openxmlformats.org/officeDocument/2006/relationships/image" Target="media/image4.tiff"/><Relationship Id="rId9" Type="http://schemas.openxmlformats.org/officeDocument/2006/relationships/image" Target="media/image5.tiff"/><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416</Words>
  <Characters>2375</Characters>
  <Application>Microsoft Macintosh Word</Application>
  <DocSecurity>0</DocSecurity>
  <Lines>19</Lines>
  <Paragraphs>5</Paragraphs>
  <ScaleCrop>false</ScaleCrop>
  <Company/>
  <LinksUpToDate>false</LinksUpToDate>
  <CharactersWithSpaces>2786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HSALJE</dc:creator>
  <cp:keywords/>
  <dc:description/>
  <cp:lastModifiedBy>HSALJE</cp:lastModifiedBy>
  <cp:revision>1</cp:revision>
  <dcterms:created xsi:type="dcterms:W3CDTF">2013-03-31T19:51:00Z</dcterms:created>
  <dcterms:modified xsi:type="dcterms:W3CDTF">2013-03-31T19:53:00Z</dcterms:modified>
</cp:coreProperties>
</file>