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7EA" w:rsidRDefault="000637EA" w:rsidP="000637EA">
      <w:pPr>
        <w:jc w:val="center"/>
        <w:rPr>
          <w:rFonts w:ascii="Times New Roman" w:hAnsi="Times New Roman" w:cs="Times New Roman"/>
          <w:b/>
          <w:sz w:val="24"/>
          <w:szCs w:val="24"/>
        </w:rPr>
      </w:pPr>
      <w:r>
        <w:rPr>
          <w:rFonts w:ascii="Times New Roman" w:hAnsi="Times New Roman" w:cs="Times New Roman"/>
          <w:b/>
          <w:sz w:val="24"/>
          <w:szCs w:val="24"/>
        </w:rPr>
        <w:t>Supplementary Online Material</w:t>
      </w:r>
    </w:p>
    <w:p w:rsidR="000637EA" w:rsidRDefault="000637EA" w:rsidP="000637EA">
      <w:pPr>
        <w:jc w:val="center"/>
        <w:rPr>
          <w:rFonts w:ascii="Times New Roman" w:hAnsi="Times New Roman" w:cs="Times New Roman"/>
          <w:b/>
          <w:sz w:val="24"/>
          <w:szCs w:val="24"/>
        </w:rPr>
      </w:pPr>
    </w:p>
    <w:p w:rsidR="000637EA" w:rsidRPr="00EA2995" w:rsidRDefault="000637EA" w:rsidP="000637EA">
      <w:pPr>
        <w:spacing w:after="0" w:line="240" w:lineRule="auto"/>
        <w:jc w:val="center"/>
        <w:rPr>
          <w:rFonts w:ascii="Times New Roman" w:hAnsi="Times New Roman" w:cs="Times New Roman"/>
          <w:b/>
          <w:sz w:val="24"/>
          <w:szCs w:val="24"/>
        </w:rPr>
      </w:pPr>
      <w:r w:rsidRPr="00EA2995">
        <w:rPr>
          <w:rFonts w:ascii="Times New Roman" w:hAnsi="Times New Roman" w:cs="Times New Roman"/>
          <w:b/>
          <w:sz w:val="24"/>
          <w:szCs w:val="24"/>
        </w:rPr>
        <w:t>A TALE OF TWO CITIES</w:t>
      </w:r>
      <w:r>
        <w:rPr>
          <w:rFonts w:ascii="Times New Roman" w:hAnsi="Times New Roman" w:cs="Times New Roman"/>
          <w:b/>
          <w:sz w:val="24"/>
          <w:szCs w:val="24"/>
        </w:rPr>
        <w:t>:</w:t>
      </w:r>
    </w:p>
    <w:p w:rsidR="000637EA" w:rsidRDefault="000637EA" w:rsidP="000637EA">
      <w:pPr>
        <w:spacing w:after="0" w:line="240" w:lineRule="auto"/>
        <w:jc w:val="center"/>
        <w:rPr>
          <w:rFonts w:ascii="Times New Roman" w:hAnsi="Times New Roman" w:cs="Times New Roman"/>
          <w:b/>
          <w:sz w:val="24"/>
          <w:szCs w:val="24"/>
        </w:rPr>
      </w:pPr>
      <w:r w:rsidRPr="00EA2995">
        <w:rPr>
          <w:rFonts w:ascii="Times New Roman" w:hAnsi="Times New Roman" w:cs="Times New Roman"/>
          <w:b/>
          <w:sz w:val="24"/>
          <w:szCs w:val="24"/>
        </w:rPr>
        <w:t>THE ROLE OF NEIGHBORHOOD SOCIOECONOMIC STATUS IN SPATIAL CLUSTERING OF BYSTANDER CPR IN AUSTIN AND HOUSTON</w:t>
      </w:r>
    </w:p>
    <w:p w:rsidR="000637EA" w:rsidRPr="00EA2995" w:rsidRDefault="000637EA" w:rsidP="000637EA">
      <w:pPr>
        <w:spacing w:after="0" w:line="240" w:lineRule="auto"/>
        <w:jc w:val="center"/>
        <w:rPr>
          <w:rFonts w:ascii="Times New Roman" w:hAnsi="Times New Roman" w:cs="Times New Roman"/>
          <w:b/>
          <w:sz w:val="24"/>
          <w:szCs w:val="24"/>
        </w:rPr>
      </w:pPr>
    </w:p>
    <w:p w:rsidR="000637EA" w:rsidRPr="000637EA" w:rsidRDefault="000637EA" w:rsidP="000637EA">
      <w:pPr>
        <w:jc w:val="center"/>
        <w:rPr>
          <w:rFonts w:ascii="Times New Roman" w:hAnsi="Times New Roman" w:cs="Times New Roman"/>
          <w:i/>
          <w:sz w:val="24"/>
          <w:szCs w:val="24"/>
        </w:rPr>
      </w:pPr>
      <w:r>
        <w:rPr>
          <w:rFonts w:ascii="Times New Roman" w:hAnsi="Times New Roman" w:cs="Times New Roman"/>
          <w:sz w:val="24"/>
          <w:szCs w:val="24"/>
        </w:rPr>
        <w:t xml:space="preserve">An article </w:t>
      </w:r>
      <w:r w:rsidR="00595914">
        <w:rPr>
          <w:rFonts w:ascii="Times New Roman" w:hAnsi="Times New Roman" w:cs="Times New Roman"/>
          <w:sz w:val="24"/>
          <w:szCs w:val="24"/>
        </w:rPr>
        <w:t>published in the journal</w:t>
      </w:r>
      <w:r>
        <w:rPr>
          <w:rFonts w:ascii="Times New Roman" w:hAnsi="Times New Roman" w:cs="Times New Roman"/>
          <w:sz w:val="24"/>
          <w:szCs w:val="24"/>
        </w:rPr>
        <w:t xml:space="preserve"> </w:t>
      </w:r>
      <w:r>
        <w:rPr>
          <w:rFonts w:ascii="Times New Roman" w:hAnsi="Times New Roman" w:cs="Times New Roman"/>
          <w:i/>
          <w:sz w:val="24"/>
          <w:szCs w:val="24"/>
        </w:rPr>
        <w:t>Resuscitation</w:t>
      </w:r>
    </w:p>
    <w:p w:rsidR="000637EA" w:rsidRPr="00A846E4" w:rsidRDefault="000637EA" w:rsidP="000637EA">
      <w:pPr>
        <w:jc w:val="center"/>
        <w:rPr>
          <w:rFonts w:ascii="Times New Roman" w:hAnsi="Times New Roman" w:cs="Times New Roman"/>
          <w:b/>
          <w:i/>
          <w:sz w:val="24"/>
          <w:szCs w:val="24"/>
        </w:rPr>
      </w:pPr>
    </w:p>
    <w:p w:rsidR="000637EA" w:rsidRPr="000637EA" w:rsidRDefault="000637EA" w:rsidP="000637EA">
      <w:pPr>
        <w:pStyle w:val="ListParagraph"/>
        <w:spacing w:after="0" w:line="240" w:lineRule="auto"/>
        <w:ind w:left="360"/>
        <w:jc w:val="center"/>
        <w:rPr>
          <w:rFonts w:ascii="Times New Roman" w:hAnsi="Times New Roman" w:cs="Times New Roman"/>
          <w:sz w:val="24"/>
          <w:szCs w:val="24"/>
        </w:rPr>
      </w:pPr>
      <w:r w:rsidRPr="000637EA">
        <w:rPr>
          <w:rFonts w:ascii="Times New Roman" w:hAnsi="Times New Roman" w:cs="Times New Roman"/>
          <w:sz w:val="24"/>
          <w:szCs w:val="24"/>
        </w:rPr>
        <w:t>Elisabeth Dowling Root, PhD, Department of Geography and Institute for Behavioral Science, University of Colorado at Boulder</w:t>
      </w:r>
    </w:p>
    <w:p w:rsidR="000637EA" w:rsidRPr="000637EA" w:rsidRDefault="000637EA" w:rsidP="000637EA">
      <w:pPr>
        <w:spacing w:after="0" w:line="240" w:lineRule="auto"/>
        <w:jc w:val="center"/>
        <w:rPr>
          <w:rFonts w:ascii="Times New Roman" w:hAnsi="Times New Roman" w:cs="Times New Roman"/>
          <w:sz w:val="24"/>
          <w:szCs w:val="24"/>
        </w:rPr>
      </w:pPr>
    </w:p>
    <w:p w:rsidR="000637EA" w:rsidRPr="000637EA" w:rsidRDefault="000637EA" w:rsidP="000637EA">
      <w:pPr>
        <w:pStyle w:val="PlainText"/>
        <w:ind w:left="360"/>
        <w:jc w:val="center"/>
        <w:rPr>
          <w:rFonts w:ascii="Times New Roman" w:hAnsi="Times New Roman" w:cs="Times New Roman"/>
          <w:sz w:val="24"/>
          <w:szCs w:val="24"/>
        </w:rPr>
      </w:pPr>
      <w:r w:rsidRPr="000637EA">
        <w:rPr>
          <w:rFonts w:ascii="Times New Roman" w:hAnsi="Times New Roman" w:cs="Times New Roman"/>
          <w:sz w:val="24"/>
          <w:szCs w:val="24"/>
        </w:rPr>
        <w:t xml:space="preserve">Louis Gonzales, BS, LP, Office of the Medical Director, </w:t>
      </w:r>
      <w:proofErr w:type="gramStart"/>
      <w:r w:rsidRPr="000637EA">
        <w:rPr>
          <w:rFonts w:ascii="Times New Roman" w:hAnsi="Times New Roman" w:cs="Times New Roman"/>
          <w:sz w:val="24"/>
          <w:szCs w:val="24"/>
        </w:rPr>
        <w:t>The</w:t>
      </w:r>
      <w:proofErr w:type="gramEnd"/>
      <w:r w:rsidRPr="000637EA">
        <w:rPr>
          <w:rFonts w:ascii="Times New Roman" w:hAnsi="Times New Roman" w:cs="Times New Roman"/>
          <w:sz w:val="24"/>
          <w:szCs w:val="24"/>
        </w:rPr>
        <w:t xml:space="preserve"> City of Austin/Travis County EMS System</w:t>
      </w:r>
    </w:p>
    <w:p w:rsidR="000637EA" w:rsidRPr="000637EA" w:rsidRDefault="000637EA" w:rsidP="000637EA">
      <w:pPr>
        <w:spacing w:after="0" w:line="240" w:lineRule="auto"/>
        <w:jc w:val="center"/>
        <w:rPr>
          <w:rFonts w:ascii="Times New Roman" w:hAnsi="Times New Roman" w:cs="Times New Roman"/>
          <w:sz w:val="24"/>
          <w:szCs w:val="24"/>
        </w:rPr>
      </w:pPr>
    </w:p>
    <w:p w:rsidR="000637EA" w:rsidRPr="000637EA" w:rsidRDefault="000637EA" w:rsidP="000637EA">
      <w:pPr>
        <w:pStyle w:val="ListParagraph"/>
        <w:spacing w:after="0" w:line="240" w:lineRule="auto"/>
        <w:ind w:left="360"/>
        <w:jc w:val="center"/>
        <w:rPr>
          <w:rFonts w:ascii="Times New Roman" w:hAnsi="Times New Roman" w:cs="Times New Roman"/>
          <w:sz w:val="24"/>
          <w:szCs w:val="24"/>
        </w:rPr>
      </w:pPr>
      <w:r w:rsidRPr="000637EA">
        <w:rPr>
          <w:rFonts w:ascii="Times New Roman" w:hAnsi="Times New Roman" w:cs="Times New Roman"/>
          <w:sz w:val="24"/>
          <w:szCs w:val="24"/>
        </w:rPr>
        <w:t>David E. Persse, MD, EMT-P, FACEP, City of Houston Emergency Medical Services</w:t>
      </w:r>
    </w:p>
    <w:p w:rsidR="000637EA" w:rsidRPr="000637EA" w:rsidRDefault="000637EA" w:rsidP="000637EA">
      <w:pPr>
        <w:spacing w:after="0" w:line="240" w:lineRule="auto"/>
        <w:jc w:val="center"/>
        <w:rPr>
          <w:rFonts w:ascii="Times New Roman" w:hAnsi="Times New Roman" w:cs="Times New Roman"/>
          <w:sz w:val="24"/>
          <w:szCs w:val="24"/>
        </w:rPr>
      </w:pPr>
    </w:p>
    <w:p w:rsidR="000637EA" w:rsidRPr="000637EA" w:rsidRDefault="000637EA" w:rsidP="000637EA">
      <w:pPr>
        <w:pStyle w:val="ListParagraph"/>
        <w:spacing w:after="0" w:line="240" w:lineRule="auto"/>
        <w:ind w:left="360"/>
        <w:jc w:val="center"/>
        <w:rPr>
          <w:rFonts w:ascii="Times New Roman" w:hAnsi="Times New Roman" w:cs="Times New Roman"/>
          <w:sz w:val="24"/>
          <w:szCs w:val="24"/>
        </w:rPr>
      </w:pPr>
      <w:r w:rsidRPr="000637EA">
        <w:rPr>
          <w:rStyle w:val="Strong"/>
          <w:rFonts w:ascii="Times New Roman" w:hAnsi="Times New Roman" w:cs="Times New Roman"/>
          <w:b w:val="0"/>
          <w:sz w:val="24"/>
          <w:szCs w:val="24"/>
        </w:rPr>
        <w:t xml:space="preserve">Paul R. Hinchey, MD, MBA, FACEP, </w:t>
      </w:r>
      <w:r w:rsidRPr="000637EA">
        <w:rPr>
          <w:rFonts w:ascii="Times New Roman" w:hAnsi="Times New Roman" w:cs="Times New Roman"/>
          <w:sz w:val="24"/>
          <w:szCs w:val="24"/>
        </w:rPr>
        <w:t>Office of the Medical Director, The City of Au</w:t>
      </w:r>
      <w:r w:rsidR="00595914">
        <w:rPr>
          <w:rFonts w:ascii="Times New Roman" w:hAnsi="Times New Roman" w:cs="Times New Roman"/>
          <w:sz w:val="24"/>
          <w:szCs w:val="24"/>
        </w:rPr>
        <w:t>stin/ Travis County EMS System</w:t>
      </w:r>
    </w:p>
    <w:p w:rsidR="000637EA" w:rsidRPr="000637EA" w:rsidRDefault="000637EA" w:rsidP="000637EA">
      <w:pPr>
        <w:spacing w:after="0" w:line="240" w:lineRule="auto"/>
        <w:jc w:val="center"/>
        <w:rPr>
          <w:rFonts w:ascii="Times New Roman" w:hAnsi="Times New Roman" w:cs="Times New Roman"/>
          <w:sz w:val="24"/>
          <w:szCs w:val="24"/>
        </w:rPr>
      </w:pPr>
    </w:p>
    <w:p w:rsidR="000637EA" w:rsidRPr="000637EA" w:rsidRDefault="000637EA" w:rsidP="000637EA">
      <w:pPr>
        <w:spacing w:after="0" w:line="240" w:lineRule="auto"/>
        <w:ind w:left="360"/>
        <w:contextualSpacing/>
        <w:jc w:val="center"/>
        <w:rPr>
          <w:rFonts w:ascii="Times New Roman" w:hAnsi="Times New Roman"/>
          <w:sz w:val="24"/>
          <w:szCs w:val="24"/>
        </w:rPr>
      </w:pPr>
      <w:r w:rsidRPr="000637EA">
        <w:rPr>
          <w:rFonts w:ascii="Times New Roman" w:eastAsia="Arial Unicode MS" w:hAnsi="Times New Roman" w:cs="Times New Roman"/>
          <w:sz w:val="24"/>
          <w:szCs w:val="24"/>
          <w:shd w:val="clear" w:color="auto" w:fill="FFFFFF"/>
        </w:rPr>
        <w:t>Bryan McNally, MD, MPH, Department of Emergency Medicine, Emory University School of Medicine</w:t>
      </w:r>
    </w:p>
    <w:p w:rsidR="000637EA" w:rsidRPr="000637EA" w:rsidRDefault="000637EA" w:rsidP="000637EA">
      <w:pPr>
        <w:spacing w:after="0" w:line="240" w:lineRule="auto"/>
        <w:jc w:val="center"/>
        <w:rPr>
          <w:rFonts w:ascii="Times New Roman" w:hAnsi="Times New Roman" w:cs="Times New Roman"/>
          <w:color w:val="333333"/>
          <w:sz w:val="24"/>
          <w:szCs w:val="24"/>
        </w:rPr>
      </w:pPr>
    </w:p>
    <w:p w:rsidR="000637EA" w:rsidRPr="000637EA" w:rsidRDefault="000637EA" w:rsidP="000637EA">
      <w:pPr>
        <w:pStyle w:val="ListParagraph"/>
        <w:spacing w:after="0" w:line="240" w:lineRule="auto"/>
        <w:ind w:left="360"/>
        <w:jc w:val="center"/>
        <w:rPr>
          <w:rFonts w:ascii="Times New Roman" w:hAnsi="Times New Roman" w:cs="Times New Roman"/>
          <w:sz w:val="24"/>
          <w:szCs w:val="24"/>
        </w:rPr>
      </w:pPr>
      <w:r w:rsidRPr="000637EA">
        <w:rPr>
          <w:rFonts w:ascii="Times New Roman" w:hAnsi="Times New Roman" w:cs="Times New Roman"/>
          <w:sz w:val="24"/>
          <w:szCs w:val="24"/>
        </w:rPr>
        <w:t>Comilla Sasson, MD, MS, Department of Emergency Medicine, University of Colorado School of Medicine</w:t>
      </w:r>
    </w:p>
    <w:p w:rsidR="000637EA" w:rsidRDefault="000637EA" w:rsidP="000637EA">
      <w:pPr>
        <w:pStyle w:val="NoSpacing"/>
        <w:jc w:val="center"/>
        <w:rPr>
          <w:rFonts w:ascii="Times New Roman" w:hAnsi="Times New Roman" w:cs="Times New Roman"/>
          <w:sz w:val="24"/>
          <w:szCs w:val="24"/>
        </w:rPr>
      </w:pPr>
    </w:p>
    <w:p w:rsidR="000637EA" w:rsidRDefault="000637EA" w:rsidP="000637EA">
      <w:pPr>
        <w:pStyle w:val="NoSpacing"/>
        <w:jc w:val="center"/>
        <w:rPr>
          <w:rFonts w:ascii="Times New Roman" w:hAnsi="Times New Roman" w:cs="Times New Roman"/>
          <w:sz w:val="24"/>
          <w:szCs w:val="24"/>
        </w:rPr>
      </w:pPr>
    </w:p>
    <w:p w:rsidR="000637EA" w:rsidRDefault="000637EA" w:rsidP="000637EA">
      <w:pPr>
        <w:pStyle w:val="NoSpacing"/>
        <w:jc w:val="center"/>
        <w:rPr>
          <w:rFonts w:ascii="Times New Roman" w:hAnsi="Times New Roman" w:cs="Times New Roman"/>
          <w:sz w:val="24"/>
          <w:szCs w:val="24"/>
        </w:rPr>
      </w:pPr>
    </w:p>
    <w:p w:rsidR="000637EA" w:rsidRPr="00A846E4" w:rsidRDefault="000637EA" w:rsidP="000637EA">
      <w:pPr>
        <w:autoSpaceDE w:val="0"/>
        <w:autoSpaceDN w:val="0"/>
        <w:adjustRightInd w:val="0"/>
        <w:spacing w:after="0" w:line="240" w:lineRule="auto"/>
        <w:rPr>
          <w:rFonts w:ascii="GGNJJG+TimesNewRoman,Bold" w:hAnsi="GGNJJG+TimesNewRoman,Bold" w:cs="GGNJJG+TimesNewRoman,Bold"/>
          <w:color w:val="000000"/>
          <w:sz w:val="24"/>
          <w:szCs w:val="24"/>
        </w:rPr>
      </w:pPr>
    </w:p>
    <w:p w:rsidR="000637EA" w:rsidRPr="00A846E4" w:rsidRDefault="000637EA" w:rsidP="000637EA">
      <w:pPr>
        <w:autoSpaceDE w:val="0"/>
        <w:autoSpaceDN w:val="0"/>
        <w:adjustRightInd w:val="0"/>
        <w:spacing w:after="0" w:line="240" w:lineRule="auto"/>
        <w:jc w:val="center"/>
        <w:outlineLvl w:val="5"/>
        <w:rPr>
          <w:rFonts w:ascii="GGNJJG+TimesNewRoman,Bold" w:hAnsi="GGNJJG+TimesNewRoman,Bold" w:cs="GGNJJG+TimesNewRoman,Bold"/>
          <w:color w:val="000000"/>
          <w:sz w:val="23"/>
          <w:szCs w:val="23"/>
          <w:u w:val="single"/>
        </w:rPr>
      </w:pPr>
      <w:r w:rsidRPr="00A846E4">
        <w:rPr>
          <w:rFonts w:ascii="GGNJJG+TimesNewRoman,Bold" w:hAnsi="GGNJJG+TimesNewRoman,Bold" w:cs="GGNJJG+TimesNewRoman,Bold"/>
          <w:b/>
          <w:bCs/>
          <w:color w:val="000000"/>
          <w:sz w:val="23"/>
          <w:szCs w:val="23"/>
          <w:u w:val="single"/>
        </w:rPr>
        <w:t xml:space="preserve">Detailed Methods </w:t>
      </w:r>
    </w:p>
    <w:p w:rsidR="000637EA" w:rsidRDefault="000637EA" w:rsidP="000637EA">
      <w:pPr>
        <w:autoSpaceDE w:val="0"/>
        <w:autoSpaceDN w:val="0"/>
        <w:adjustRightInd w:val="0"/>
        <w:spacing w:after="0" w:line="240" w:lineRule="auto"/>
        <w:jc w:val="center"/>
        <w:outlineLvl w:val="4"/>
        <w:rPr>
          <w:rFonts w:ascii="GGNJJG+TimesNewRoman,Bold" w:hAnsi="GGNJJG+TimesNewRoman,Bold" w:cs="GGNJJG+TimesNewRoman,Bold"/>
          <w:b/>
          <w:bCs/>
          <w:color w:val="000000"/>
          <w:sz w:val="23"/>
          <w:szCs w:val="23"/>
          <w:u w:val="single"/>
        </w:rPr>
      </w:pPr>
    </w:p>
    <w:p w:rsidR="000637EA" w:rsidRPr="00A846E4" w:rsidRDefault="000637EA" w:rsidP="000637EA">
      <w:pPr>
        <w:autoSpaceDE w:val="0"/>
        <w:autoSpaceDN w:val="0"/>
        <w:adjustRightInd w:val="0"/>
        <w:spacing w:after="0" w:line="240" w:lineRule="auto"/>
        <w:jc w:val="center"/>
        <w:outlineLvl w:val="4"/>
        <w:rPr>
          <w:rFonts w:ascii="GGNJJG+TimesNewRoman,Bold" w:hAnsi="GGNJJG+TimesNewRoman,Bold" w:cs="GGNJJG+TimesNewRoman,Bold"/>
          <w:color w:val="000000"/>
          <w:sz w:val="23"/>
          <w:szCs w:val="23"/>
        </w:rPr>
      </w:pPr>
      <w:r>
        <w:rPr>
          <w:rFonts w:ascii="GGNJJG+TimesNewRoman,Bold" w:hAnsi="GGNJJG+TimesNewRoman,Bold" w:cs="GGNJJG+TimesNewRoman,Bold"/>
          <w:b/>
          <w:bCs/>
          <w:color w:val="000000"/>
          <w:sz w:val="23"/>
          <w:szCs w:val="23"/>
          <w:u w:val="single"/>
        </w:rPr>
        <w:t>Additional Results</w:t>
      </w:r>
    </w:p>
    <w:p w:rsidR="000637EA" w:rsidRDefault="000637EA" w:rsidP="000637EA">
      <w:pPr>
        <w:autoSpaceDE w:val="0"/>
        <w:autoSpaceDN w:val="0"/>
        <w:adjustRightInd w:val="0"/>
        <w:spacing w:after="0" w:line="240" w:lineRule="auto"/>
        <w:jc w:val="center"/>
        <w:rPr>
          <w:rFonts w:ascii="GGNJIK+TimesNewRoman" w:hAnsi="GGNJIK+TimesNewRoman" w:cs="GGNJIK+TimesNewRoman"/>
          <w:color w:val="000000"/>
          <w:sz w:val="23"/>
          <w:szCs w:val="23"/>
        </w:rPr>
      </w:pPr>
      <w:r w:rsidRPr="00A846E4">
        <w:rPr>
          <w:rFonts w:ascii="GGNJIK+TimesNewRoman" w:hAnsi="GGNJIK+TimesNewRoman" w:cs="GGNJIK+TimesNewRoman"/>
          <w:color w:val="000000"/>
          <w:sz w:val="23"/>
          <w:szCs w:val="23"/>
        </w:rPr>
        <w:t xml:space="preserve">Table </w:t>
      </w:r>
      <w:r>
        <w:rPr>
          <w:rFonts w:ascii="GGNJIK+TimesNewRoman" w:hAnsi="GGNJIK+TimesNewRoman" w:cs="GGNJIK+TimesNewRoman"/>
          <w:color w:val="000000"/>
          <w:sz w:val="23"/>
          <w:szCs w:val="23"/>
        </w:rPr>
        <w:t>S</w:t>
      </w:r>
      <w:r w:rsidRPr="00A846E4">
        <w:rPr>
          <w:rFonts w:ascii="GGNJIK+TimesNewRoman" w:hAnsi="GGNJIK+TimesNewRoman" w:cs="GGNJIK+TimesNewRoman"/>
          <w:color w:val="000000"/>
          <w:sz w:val="23"/>
          <w:szCs w:val="23"/>
        </w:rPr>
        <w:t>1</w:t>
      </w:r>
    </w:p>
    <w:p w:rsidR="000637EA" w:rsidRDefault="000637EA" w:rsidP="000637EA">
      <w:pPr>
        <w:autoSpaceDE w:val="0"/>
        <w:autoSpaceDN w:val="0"/>
        <w:adjustRightInd w:val="0"/>
        <w:spacing w:after="0" w:line="240" w:lineRule="auto"/>
        <w:jc w:val="center"/>
        <w:rPr>
          <w:rFonts w:ascii="GGNJIK+TimesNewRoman" w:hAnsi="GGNJIK+TimesNewRoman" w:cs="GGNJIK+TimesNewRoman"/>
          <w:color w:val="000000"/>
          <w:sz w:val="23"/>
          <w:szCs w:val="23"/>
        </w:rPr>
      </w:pPr>
      <w:r>
        <w:rPr>
          <w:rFonts w:ascii="GGNJIK+TimesNewRoman" w:hAnsi="GGNJIK+TimesNewRoman" w:cs="GGNJIK+TimesNewRoman"/>
          <w:color w:val="000000"/>
          <w:sz w:val="23"/>
          <w:szCs w:val="23"/>
        </w:rPr>
        <w:t>Table S2</w:t>
      </w:r>
    </w:p>
    <w:p w:rsidR="000637EA" w:rsidRDefault="000637EA" w:rsidP="000637EA">
      <w:pPr>
        <w:autoSpaceDE w:val="0"/>
        <w:autoSpaceDN w:val="0"/>
        <w:adjustRightInd w:val="0"/>
        <w:spacing w:after="0" w:line="240" w:lineRule="auto"/>
        <w:jc w:val="center"/>
        <w:rPr>
          <w:rFonts w:ascii="GGNJIK+TimesNewRoman" w:hAnsi="GGNJIK+TimesNewRoman" w:cs="GGNJIK+TimesNewRoman"/>
          <w:color w:val="000000"/>
          <w:sz w:val="23"/>
          <w:szCs w:val="23"/>
        </w:rPr>
      </w:pPr>
      <w:r>
        <w:rPr>
          <w:rFonts w:ascii="GGNJIK+TimesNewRoman" w:hAnsi="GGNJIK+TimesNewRoman" w:cs="GGNJIK+TimesNewRoman"/>
          <w:color w:val="000000"/>
          <w:sz w:val="23"/>
          <w:szCs w:val="23"/>
        </w:rPr>
        <w:t>Figure S1</w:t>
      </w:r>
    </w:p>
    <w:p w:rsidR="000637EA" w:rsidRDefault="000637EA">
      <w:pPr>
        <w:rPr>
          <w:rFonts w:ascii="Times New Roman" w:hAnsi="Times New Roman" w:cs="Times New Roman"/>
          <w:b/>
          <w:sz w:val="28"/>
          <w:szCs w:val="24"/>
        </w:rPr>
      </w:pPr>
    </w:p>
    <w:p w:rsidR="00523088" w:rsidRDefault="00523088" w:rsidP="008B698A">
      <w:pPr>
        <w:spacing w:after="0" w:line="240" w:lineRule="auto"/>
        <w:rPr>
          <w:rFonts w:ascii="Times New Roman" w:hAnsi="Times New Roman" w:cs="Times New Roman"/>
          <w:b/>
          <w:sz w:val="24"/>
          <w:szCs w:val="24"/>
        </w:rPr>
      </w:pPr>
    </w:p>
    <w:p w:rsidR="000637EA" w:rsidRDefault="000637EA">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23088" w:rsidRPr="00523088" w:rsidRDefault="000637EA" w:rsidP="008B698A">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Detailed </w:t>
      </w:r>
      <w:r w:rsidR="00523088" w:rsidRPr="00523088">
        <w:rPr>
          <w:rFonts w:ascii="Times New Roman" w:hAnsi="Times New Roman" w:cs="Times New Roman"/>
          <w:b/>
          <w:sz w:val="24"/>
          <w:szCs w:val="24"/>
          <w:u w:val="single"/>
        </w:rPr>
        <w:t>Methods</w:t>
      </w:r>
    </w:p>
    <w:p w:rsidR="00770A01" w:rsidRPr="00FC21B6" w:rsidRDefault="00770A01" w:rsidP="008B698A">
      <w:pPr>
        <w:spacing w:after="0" w:line="240" w:lineRule="auto"/>
        <w:rPr>
          <w:rFonts w:ascii="Times New Roman" w:hAnsi="Times New Roman" w:cs="Times New Roman"/>
          <w:b/>
          <w:i/>
          <w:sz w:val="24"/>
          <w:szCs w:val="24"/>
        </w:rPr>
      </w:pPr>
      <w:r w:rsidRPr="00FC21B6">
        <w:rPr>
          <w:rFonts w:ascii="Times New Roman" w:hAnsi="Times New Roman" w:cs="Times New Roman"/>
          <w:b/>
          <w:i/>
          <w:sz w:val="24"/>
          <w:szCs w:val="24"/>
        </w:rPr>
        <w:t>The spatial scan statistic</w:t>
      </w:r>
    </w:p>
    <w:p w:rsidR="00770A01" w:rsidRPr="00FC21B6" w:rsidRDefault="00770A01" w:rsidP="001353F9">
      <w:pPr>
        <w:pStyle w:val="PlainText"/>
        <w:rPr>
          <w:rFonts w:ascii="Times New Roman" w:hAnsi="Times New Roman" w:cs="Times New Roman"/>
          <w:sz w:val="24"/>
          <w:szCs w:val="24"/>
        </w:rPr>
      </w:pPr>
      <w:r w:rsidRPr="00FC21B6">
        <w:rPr>
          <w:rFonts w:ascii="Times New Roman" w:hAnsi="Times New Roman" w:cs="Times New Roman"/>
          <w:sz w:val="24"/>
          <w:szCs w:val="24"/>
        </w:rPr>
        <w:t xml:space="preserve">As </w:t>
      </w:r>
      <w:r w:rsidR="00823370">
        <w:rPr>
          <w:rFonts w:ascii="Times New Roman" w:hAnsi="Times New Roman" w:cs="Times New Roman"/>
          <w:sz w:val="24"/>
          <w:szCs w:val="24"/>
        </w:rPr>
        <w:t>described</w:t>
      </w:r>
      <w:r w:rsidRPr="00FC21B6">
        <w:rPr>
          <w:rFonts w:ascii="Times New Roman" w:hAnsi="Times New Roman" w:cs="Times New Roman"/>
          <w:sz w:val="24"/>
          <w:szCs w:val="24"/>
        </w:rPr>
        <w:t xml:space="preserve"> in </w:t>
      </w:r>
      <w:proofErr w:type="spellStart"/>
      <w:r w:rsidRPr="00FC21B6">
        <w:rPr>
          <w:rFonts w:ascii="Times New Roman" w:hAnsi="Times New Roman" w:cs="Times New Roman"/>
          <w:sz w:val="24"/>
          <w:szCs w:val="24"/>
        </w:rPr>
        <w:t>Kulldorff</w:t>
      </w:r>
      <w:proofErr w:type="spellEnd"/>
      <w:r w:rsidRPr="00FC21B6">
        <w:rPr>
          <w:rFonts w:ascii="Times New Roman" w:hAnsi="Times New Roman" w:cs="Times New Roman"/>
          <w:sz w:val="24"/>
          <w:szCs w:val="24"/>
        </w:rPr>
        <w:t xml:space="preserve"> </w:t>
      </w:r>
      <w:r w:rsidR="00FD2C82">
        <w:rPr>
          <w:rFonts w:ascii="Times New Roman" w:hAnsi="Times New Roman" w:cs="Times New Roman"/>
          <w:sz w:val="24"/>
          <w:szCs w:val="24"/>
        </w:rPr>
        <w:fldChar w:fldCharType="begin"/>
      </w:r>
      <w:r w:rsidR="00FD2C82">
        <w:rPr>
          <w:rFonts w:ascii="Times New Roman" w:hAnsi="Times New Roman" w:cs="Times New Roman"/>
          <w:sz w:val="24"/>
          <w:szCs w:val="24"/>
        </w:rPr>
        <w:instrText xml:space="preserve"> ADDIN EN.CITE &lt;EndNote&gt;&lt;Cite&gt;&lt;Author&gt;Kulldorff&lt;/Author&gt;&lt;Year&gt;1997&lt;/Year&gt;&lt;IDText&gt;A spatial scan statistic&lt;/IDText&gt;&lt;DisplayText&gt;[1]&lt;/DisplayText&gt;&lt;record&gt;&lt;titles&gt;&lt;title&gt;A spatial scan statistic&lt;/title&gt;&lt;secondary-title&gt;Communications in Statistics: Theory and Methods&lt;/secondary-title&gt;&lt;/titles&gt;&lt;pages&gt;1481&lt;/pages&gt;&lt;contributors&gt;&lt;authors&gt;&lt;author&gt;Kulldorff, M.&lt;/author&gt;&lt;/authors&gt;&lt;/contributors&gt;&lt;added-date format="utc"&gt;1255021278&lt;/added-date&gt;&lt;ref-type name="Journal Article"&gt;17&lt;/ref-type&gt;&lt;dates&gt;&lt;year&gt;1997&lt;/year&gt;&lt;/dates&gt;&lt;rec-number&gt;111&lt;/rec-number&gt;&lt;last-updated-date format="utc"&gt;1255021278&lt;/last-updated-date&gt;&lt;label&gt;52&lt;/label&gt;&lt;volume&gt;26&lt;/volume&gt;&lt;/record&gt;&lt;/Cite&gt;&lt;/EndNote&gt;</w:instrText>
      </w:r>
      <w:r w:rsidR="00FD2C82">
        <w:rPr>
          <w:rFonts w:ascii="Times New Roman" w:hAnsi="Times New Roman" w:cs="Times New Roman"/>
          <w:sz w:val="24"/>
          <w:szCs w:val="24"/>
        </w:rPr>
        <w:fldChar w:fldCharType="separate"/>
      </w:r>
      <w:r w:rsidR="00FD2C82">
        <w:rPr>
          <w:rFonts w:ascii="Times New Roman" w:hAnsi="Times New Roman" w:cs="Times New Roman"/>
          <w:noProof/>
          <w:sz w:val="24"/>
          <w:szCs w:val="24"/>
        </w:rPr>
        <w:t>[1]</w:t>
      </w:r>
      <w:r w:rsidR="00FD2C82">
        <w:rPr>
          <w:rFonts w:ascii="Times New Roman" w:hAnsi="Times New Roman" w:cs="Times New Roman"/>
          <w:sz w:val="24"/>
          <w:szCs w:val="24"/>
        </w:rPr>
        <w:fldChar w:fldCharType="end"/>
      </w:r>
      <w:r w:rsidRPr="00FC21B6">
        <w:rPr>
          <w:rFonts w:ascii="Times New Roman" w:hAnsi="Times New Roman" w:cs="Times New Roman"/>
          <w:sz w:val="24"/>
          <w:szCs w:val="24"/>
        </w:rPr>
        <w:t>, the log likelihood for each circular window is calculated as (for the Poisson distribution used in this study):</w:t>
      </w:r>
    </w:p>
    <w:p w:rsidR="00770A01" w:rsidRPr="00FC21B6" w:rsidRDefault="00770A01" w:rsidP="00770A01">
      <w:pPr>
        <w:pStyle w:val="PlainText"/>
        <w:ind w:left="720"/>
        <w:rPr>
          <w:rFonts w:ascii="Times New Roman" w:hAnsi="Times New Roman" w:cs="Times New Roman"/>
          <w:sz w:val="24"/>
          <w:szCs w:val="24"/>
        </w:rPr>
      </w:pPr>
    </w:p>
    <w:p w:rsidR="00770A01" w:rsidRPr="00FC21B6" w:rsidRDefault="00770A01" w:rsidP="00770A01">
      <w:pPr>
        <w:pStyle w:val="PlainText"/>
        <w:ind w:left="720"/>
        <w:rPr>
          <w:rFonts w:ascii="Times New Roman" w:hAnsi="Times New Roman" w:cs="Times New Roman"/>
          <w:sz w:val="24"/>
          <w:szCs w:val="24"/>
        </w:rPr>
      </w:pPr>
      <w:r w:rsidRPr="00FC21B6">
        <w:rPr>
          <w:rFonts w:ascii="Times New Roman" w:hAnsi="Times New Roman" w:cs="Times New Roman"/>
          <w:position w:val="-50"/>
          <w:sz w:val="24"/>
          <w:szCs w:val="24"/>
        </w:rPr>
        <w:object w:dxaOrig="3320"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pt;height:71.3pt" o:ole="">
            <v:imagedata r:id="rId6" o:title=""/>
          </v:shape>
          <o:OLEObject Type="Embed" ProgID="Equation.3" ShapeID="_x0000_i1025" DrawAspect="Content" ObjectID="_1420362793" r:id="rId7"/>
        </w:object>
      </w:r>
    </w:p>
    <w:p w:rsidR="00770A01" w:rsidRPr="00FC21B6" w:rsidRDefault="00770A01" w:rsidP="00F4165D">
      <w:pPr>
        <w:pStyle w:val="PlainText"/>
        <w:ind w:firstLine="720"/>
        <w:rPr>
          <w:rFonts w:ascii="Times New Roman" w:hAnsi="Times New Roman" w:cs="Times New Roman"/>
          <w:sz w:val="24"/>
          <w:szCs w:val="24"/>
        </w:rPr>
      </w:pPr>
      <w:r w:rsidRPr="00FC21B6">
        <w:rPr>
          <w:rFonts w:ascii="Times New Roman" w:hAnsi="Times New Roman" w:cs="Times New Roman"/>
          <w:sz w:val="24"/>
          <w:szCs w:val="24"/>
        </w:rPr>
        <w:t xml:space="preserve">Where:  </w:t>
      </w:r>
    </w:p>
    <w:p w:rsidR="00770A01" w:rsidRPr="00FC21B6" w:rsidRDefault="00770A01" w:rsidP="00770A01">
      <w:pPr>
        <w:pStyle w:val="PlainText"/>
        <w:ind w:left="1440"/>
        <w:rPr>
          <w:rFonts w:ascii="Times New Roman" w:hAnsi="Times New Roman" w:cs="Times New Roman"/>
          <w:sz w:val="24"/>
          <w:szCs w:val="24"/>
        </w:rPr>
      </w:pPr>
      <w:r w:rsidRPr="00FC21B6">
        <w:rPr>
          <w:rFonts w:ascii="Times New Roman" w:hAnsi="Times New Roman" w:cs="Times New Roman"/>
          <w:i/>
          <w:iCs/>
          <w:sz w:val="24"/>
          <w:szCs w:val="24"/>
        </w:rPr>
        <w:t>N</w:t>
      </w:r>
      <w:r w:rsidRPr="00FC21B6">
        <w:rPr>
          <w:rFonts w:ascii="Times New Roman" w:hAnsi="Times New Roman" w:cs="Times New Roman"/>
          <w:sz w:val="24"/>
          <w:szCs w:val="24"/>
        </w:rPr>
        <w:t xml:space="preserve"> = number of </w:t>
      </w:r>
      <w:r w:rsidR="003B6C35" w:rsidRPr="00FC21B6">
        <w:rPr>
          <w:rFonts w:ascii="Times New Roman" w:hAnsi="Times New Roman" w:cs="Times New Roman"/>
          <w:sz w:val="24"/>
          <w:szCs w:val="24"/>
        </w:rPr>
        <w:t xml:space="preserve">bystander CPR </w:t>
      </w:r>
      <w:r w:rsidRPr="00FC21B6">
        <w:rPr>
          <w:rFonts w:ascii="Times New Roman" w:hAnsi="Times New Roman" w:cs="Times New Roman"/>
          <w:sz w:val="24"/>
          <w:szCs w:val="24"/>
        </w:rPr>
        <w:t>events in the whole area</w:t>
      </w:r>
    </w:p>
    <w:p w:rsidR="00770A01" w:rsidRPr="00FC21B6" w:rsidRDefault="00770A01" w:rsidP="00770A01">
      <w:pPr>
        <w:pStyle w:val="PlainText"/>
        <w:ind w:left="1440"/>
        <w:rPr>
          <w:rFonts w:ascii="Times New Roman" w:hAnsi="Times New Roman" w:cs="Times New Roman"/>
          <w:sz w:val="24"/>
          <w:szCs w:val="24"/>
        </w:rPr>
      </w:pPr>
      <w:r w:rsidRPr="00FC21B6">
        <w:rPr>
          <w:rFonts w:ascii="Times New Roman" w:hAnsi="Times New Roman" w:cs="Times New Roman"/>
          <w:i/>
          <w:iCs/>
          <w:sz w:val="24"/>
          <w:szCs w:val="24"/>
        </w:rPr>
        <w:t>n</w:t>
      </w:r>
      <w:r w:rsidRPr="00FC21B6">
        <w:rPr>
          <w:rFonts w:ascii="Times New Roman" w:hAnsi="Times New Roman" w:cs="Times New Roman"/>
          <w:sz w:val="24"/>
          <w:szCs w:val="24"/>
        </w:rPr>
        <w:t xml:space="preserve"> = number of </w:t>
      </w:r>
      <w:r w:rsidR="003B6C35" w:rsidRPr="00FC21B6">
        <w:rPr>
          <w:rFonts w:ascii="Times New Roman" w:hAnsi="Times New Roman" w:cs="Times New Roman"/>
          <w:sz w:val="24"/>
          <w:szCs w:val="24"/>
        </w:rPr>
        <w:t xml:space="preserve">bystander CPR </w:t>
      </w:r>
      <w:r w:rsidRPr="00FC21B6">
        <w:rPr>
          <w:rFonts w:ascii="Times New Roman" w:hAnsi="Times New Roman" w:cs="Times New Roman"/>
          <w:sz w:val="24"/>
          <w:szCs w:val="24"/>
        </w:rPr>
        <w:t>events in the window</w:t>
      </w:r>
    </w:p>
    <w:p w:rsidR="00770A01" w:rsidRPr="00FC21B6" w:rsidRDefault="00770A01" w:rsidP="00770A01">
      <w:pPr>
        <w:pStyle w:val="PlainText"/>
        <w:ind w:left="1440"/>
        <w:rPr>
          <w:rFonts w:ascii="Times New Roman" w:hAnsi="Times New Roman" w:cs="Times New Roman"/>
          <w:sz w:val="24"/>
          <w:szCs w:val="24"/>
        </w:rPr>
      </w:pPr>
      <w:r w:rsidRPr="00FC21B6">
        <w:rPr>
          <w:rFonts w:ascii="Times New Roman" w:hAnsi="Times New Roman" w:cs="Times New Roman"/>
          <w:i/>
          <w:iCs/>
          <w:sz w:val="24"/>
          <w:szCs w:val="24"/>
        </w:rPr>
        <w:t xml:space="preserve">C </w:t>
      </w:r>
      <w:r w:rsidRPr="00FC21B6">
        <w:rPr>
          <w:rFonts w:ascii="Times New Roman" w:hAnsi="Times New Roman" w:cs="Times New Roman"/>
          <w:sz w:val="24"/>
          <w:szCs w:val="24"/>
        </w:rPr>
        <w:t xml:space="preserve">= expected number of </w:t>
      </w:r>
      <w:r w:rsidR="003B6C35" w:rsidRPr="00FC21B6">
        <w:rPr>
          <w:rFonts w:ascii="Times New Roman" w:hAnsi="Times New Roman" w:cs="Times New Roman"/>
          <w:sz w:val="24"/>
          <w:szCs w:val="24"/>
        </w:rPr>
        <w:t xml:space="preserve">bystander CPR </w:t>
      </w:r>
      <w:r w:rsidRPr="00FC21B6">
        <w:rPr>
          <w:rFonts w:ascii="Times New Roman" w:hAnsi="Times New Roman" w:cs="Times New Roman"/>
          <w:sz w:val="24"/>
          <w:szCs w:val="24"/>
        </w:rPr>
        <w:t>events in the window</w:t>
      </w:r>
    </w:p>
    <w:p w:rsidR="00770A01" w:rsidRPr="00FC21B6" w:rsidRDefault="00770A01" w:rsidP="00770A01">
      <w:pPr>
        <w:pStyle w:val="PlainText"/>
        <w:ind w:left="1440"/>
        <w:rPr>
          <w:rFonts w:ascii="Times New Roman" w:hAnsi="Times New Roman" w:cs="Times New Roman"/>
          <w:sz w:val="24"/>
          <w:szCs w:val="24"/>
        </w:rPr>
      </w:pPr>
      <w:r w:rsidRPr="00FC21B6">
        <w:rPr>
          <w:rFonts w:ascii="Times New Roman" w:hAnsi="Times New Roman" w:cs="Times New Roman"/>
          <w:sz w:val="24"/>
          <w:szCs w:val="24"/>
        </w:rPr>
        <w:t>Case I refers to the condition when the window has more events than expected</w:t>
      </w:r>
    </w:p>
    <w:p w:rsidR="00770A01" w:rsidRPr="00FC21B6" w:rsidRDefault="00770A01" w:rsidP="008B698A">
      <w:pPr>
        <w:spacing w:after="0" w:line="240" w:lineRule="auto"/>
        <w:rPr>
          <w:rFonts w:ascii="Times New Roman" w:hAnsi="Times New Roman" w:cs="Times New Roman"/>
          <w:sz w:val="24"/>
          <w:szCs w:val="24"/>
        </w:rPr>
      </w:pPr>
    </w:p>
    <w:p w:rsidR="003B6C35" w:rsidRPr="00FC21B6" w:rsidRDefault="003B6C35" w:rsidP="008B698A">
      <w:pPr>
        <w:spacing w:after="0" w:line="240" w:lineRule="auto"/>
        <w:rPr>
          <w:rFonts w:ascii="Times New Roman" w:hAnsi="Times New Roman" w:cs="Times New Roman"/>
          <w:sz w:val="24"/>
          <w:szCs w:val="24"/>
        </w:rPr>
      </w:pPr>
      <w:r w:rsidRPr="00FC21B6">
        <w:rPr>
          <w:rFonts w:ascii="Times New Roman" w:hAnsi="Times New Roman" w:cs="Times New Roman"/>
          <w:sz w:val="24"/>
          <w:szCs w:val="24"/>
        </w:rPr>
        <w:t xml:space="preserve">In order to ensure that we are not simply finding areas with a greater number of out of hospital cardiac arrests (OHCA), the expected number of events is calculated </w:t>
      </w:r>
      <w:r w:rsidRPr="00FC21B6">
        <w:rPr>
          <w:rFonts w:ascii="Times New Roman" w:hAnsi="Times New Roman" w:cs="Times New Roman"/>
          <w:i/>
          <w:sz w:val="24"/>
          <w:szCs w:val="24"/>
        </w:rPr>
        <w:t>using the distribution of cardiac arrests from which the BCPR events are drawn.</w:t>
      </w:r>
      <w:r w:rsidRPr="00FC21B6">
        <w:rPr>
          <w:rFonts w:ascii="Times New Roman" w:hAnsi="Times New Roman" w:cs="Times New Roman"/>
          <w:sz w:val="24"/>
          <w:szCs w:val="24"/>
        </w:rPr>
        <w:t xml:space="preserve">  Thus, more bystander CPR events are expected to occur in areas with more OHCAs.</w:t>
      </w:r>
    </w:p>
    <w:p w:rsidR="003B6C35" w:rsidRPr="00FC21B6" w:rsidRDefault="003B6C35" w:rsidP="008B698A">
      <w:pPr>
        <w:spacing w:after="0" w:line="240" w:lineRule="auto"/>
        <w:rPr>
          <w:rFonts w:ascii="Times New Roman" w:hAnsi="Times New Roman" w:cs="Times New Roman"/>
          <w:sz w:val="24"/>
          <w:szCs w:val="24"/>
        </w:rPr>
      </w:pPr>
    </w:p>
    <w:p w:rsidR="00770A01" w:rsidRPr="00FC21B6" w:rsidRDefault="00770A01" w:rsidP="008B698A">
      <w:pPr>
        <w:spacing w:after="0" w:line="240" w:lineRule="auto"/>
        <w:rPr>
          <w:rFonts w:ascii="Times New Roman" w:hAnsi="Times New Roman" w:cs="Times New Roman"/>
          <w:sz w:val="24"/>
          <w:szCs w:val="24"/>
        </w:rPr>
      </w:pPr>
      <w:r w:rsidRPr="00FC21B6">
        <w:rPr>
          <w:rFonts w:ascii="Times New Roman" w:hAnsi="Times New Roman" w:cs="Times New Roman"/>
          <w:sz w:val="24"/>
          <w:szCs w:val="24"/>
        </w:rPr>
        <w:t xml:space="preserve">For the adjusted analysis, C is the adjusted number of expected events given the spatial distribution of covariates.  We obtain this </w:t>
      </w:r>
      <w:r w:rsidR="00F4165D" w:rsidRPr="00FC21B6">
        <w:rPr>
          <w:rFonts w:ascii="Times New Roman" w:hAnsi="Times New Roman" w:cs="Times New Roman"/>
          <w:sz w:val="24"/>
          <w:szCs w:val="24"/>
        </w:rPr>
        <w:t>adjusted number from the HLM models described in the paper, and elaborated on below.  Once all LLRs are calculated for every overlapping window, they are ranked from highest to lowest and the cluster with the largest LLR is the “primary” cluster.  “Secondary” clusters that do not geographically overlap the primary cluster (or only overlap a small portion) can also be identified in the ranking system.</w:t>
      </w:r>
    </w:p>
    <w:p w:rsidR="00F4165D" w:rsidRPr="00FC21B6" w:rsidRDefault="00F4165D" w:rsidP="008B698A">
      <w:pPr>
        <w:spacing w:after="0" w:line="240" w:lineRule="auto"/>
        <w:rPr>
          <w:rFonts w:ascii="Times New Roman" w:hAnsi="Times New Roman" w:cs="Times New Roman"/>
          <w:sz w:val="24"/>
          <w:szCs w:val="24"/>
        </w:rPr>
      </w:pPr>
    </w:p>
    <w:p w:rsidR="00F4165D" w:rsidRPr="00FC21B6" w:rsidRDefault="00F4165D" w:rsidP="008B698A">
      <w:pPr>
        <w:spacing w:after="0" w:line="240" w:lineRule="auto"/>
        <w:rPr>
          <w:rFonts w:ascii="Times New Roman" w:hAnsi="Times New Roman" w:cs="Times New Roman"/>
          <w:sz w:val="24"/>
          <w:szCs w:val="24"/>
        </w:rPr>
      </w:pPr>
      <w:r w:rsidRPr="00FC21B6">
        <w:rPr>
          <w:rFonts w:ascii="Times New Roman" w:hAnsi="Times New Roman" w:cs="Times New Roman"/>
          <w:sz w:val="24"/>
          <w:szCs w:val="24"/>
        </w:rPr>
        <w:t xml:space="preserve">A p-value is derived using a Monte Carlo simulation technique.  Essentially, the scan statistic is run again (in this study 9999 times) </w:t>
      </w:r>
      <w:r w:rsidR="003B6C35" w:rsidRPr="00FC21B6">
        <w:rPr>
          <w:rFonts w:ascii="Times New Roman" w:hAnsi="Times New Roman" w:cs="Times New Roman"/>
          <w:sz w:val="24"/>
          <w:szCs w:val="24"/>
        </w:rPr>
        <w:t xml:space="preserve">but each time the </w:t>
      </w:r>
      <w:r w:rsidR="003B6C35" w:rsidRPr="00FC21B6">
        <w:rPr>
          <w:rFonts w:ascii="Times New Roman" w:hAnsi="Times New Roman" w:cs="Times New Roman"/>
          <w:i/>
          <w:sz w:val="24"/>
          <w:szCs w:val="24"/>
        </w:rPr>
        <w:t>N</w:t>
      </w:r>
      <w:r w:rsidR="003B6C35" w:rsidRPr="00FC21B6">
        <w:rPr>
          <w:rFonts w:ascii="Times New Roman" w:hAnsi="Times New Roman" w:cs="Times New Roman"/>
          <w:sz w:val="24"/>
          <w:szCs w:val="24"/>
        </w:rPr>
        <w:t xml:space="preserve"> number of bystander CPR events are randomly assigned to block groups in the study area, with all possible (re)assignments equally likely.  For each permutation, the largest LLR is noted.  All simulated LLR are then ranked and the “true” LLR from our original dataset is compared to this distribution.  With 9999 simulations, we can reject the null hypothesis that bystander CPR events are spatially random at the 5% level, if the “true” LLR value is </w:t>
      </w:r>
      <w:r w:rsidR="00823370">
        <w:rPr>
          <w:rFonts w:ascii="Times New Roman" w:hAnsi="Times New Roman" w:cs="Times New Roman"/>
          <w:sz w:val="24"/>
          <w:szCs w:val="24"/>
        </w:rPr>
        <w:t>greater</w:t>
      </w:r>
      <w:r w:rsidR="003B6C35" w:rsidRPr="00FC21B6">
        <w:rPr>
          <w:rFonts w:ascii="Times New Roman" w:hAnsi="Times New Roman" w:cs="Times New Roman"/>
          <w:sz w:val="24"/>
          <w:szCs w:val="24"/>
        </w:rPr>
        <w:t xml:space="preserve"> than 950 of the simulated values.</w:t>
      </w:r>
    </w:p>
    <w:p w:rsidR="003B6C35" w:rsidRPr="00FC21B6" w:rsidRDefault="003B6C35" w:rsidP="008B698A">
      <w:pPr>
        <w:spacing w:after="0" w:line="240" w:lineRule="auto"/>
        <w:rPr>
          <w:rFonts w:ascii="Times New Roman" w:hAnsi="Times New Roman" w:cs="Times New Roman"/>
          <w:sz w:val="24"/>
          <w:szCs w:val="24"/>
        </w:rPr>
      </w:pPr>
    </w:p>
    <w:p w:rsidR="003B6C35" w:rsidRPr="00FC21B6" w:rsidRDefault="003B6C35" w:rsidP="008B698A">
      <w:pPr>
        <w:spacing w:after="0" w:line="240" w:lineRule="auto"/>
        <w:rPr>
          <w:rFonts w:ascii="Times New Roman" w:hAnsi="Times New Roman" w:cs="Times New Roman"/>
          <w:b/>
          <w:i/>
          <w:sz w:val="24"/>
          <w:szCs w:val="24"/>
        </w:rPr>
      </w:pPr>
      <w:r w:rsidRPr="00FC21B6">
        <w:rPr>
          <w:rFonts w:ascii="Times New Roman" w:hAnsi="Times New Roman" w:cs="Times New Roman"/>
          <w:b/>
          <w:i/>
          <w:sz w:val="24"/>
          <w:szCs w:val="24"/>
        </w:rPr>
        <w:t>Adjusting the spatial scan statistic</w:t>
      </w:r>
    </w:p>
    <w:p w:rsidR="00862526" w:rsidRPr="00FC21B6" w:rsidRDefault="008B698A" w:rsidP="008B698A">
      <w:pPr>
        <w:spacing w:after="0" w:line="240" w:lineRule="auto"/>
        <w:rPr>
          <w:rFonts w:ascii="Times New Roman" w:hAnsi="Times New Roman" w:cs="Times New Roman"/>
          <w:sz w:val="24"/>
          <w:szCs w:val="24"/>
        </w:rPr>
      </w:pPr>
      <w:r w:rsidRPr="00FC21B6">
        <w:rPr>
          <w:rFonts w:ascii="Times New Roman" w:hAnsi="Times New Roman" w:cs="Times New Roman"/>
          <w:sz w:val="24"/>
          <w:szCs w:val="24"/>
        </w:rPr>
        <w:t xml:space="preserve">In this study we used two methodologies to examine the clustering of bystander CPR in </w:t>
      </w:r>
      <w:bookmarkStart w:id="0" w:name="_GoBack"/>
      <w:bookmarkEnd w:id="0"/>
      <w:r w:rsidRPr="00FC21B6">
        <w:rPr>
          <w:rFonts w:ascii="Times New Roman" w:hAnsi="Times New Roman" w:cs="Times New Roman"/>
          <w:sz w:val="24"/>
          <w:szCs w:val="24"/>
        </w:rPr>
        <w:t xml:space="preserve">Austin </w:t>
      </w:r>
      <w:r w:rsidR="00862526" w:rsidRPr="00FC21B6">
        <w:rPr>
          <w:rFonts w:ascii="Times New Roman" w:hAnsi="Times New Roman" w:cs="Times New Roman"/>
          <w:sz w:val="24"/>
          <w:szCs w:val="24"/>
        </w:rPr>
        <w:t xml:space="preserve">and Houston. </w:t>
      </w:r>
      <w:r w:rsidRPr="00FC21B6">
        <w:rPr>
          <w:rFonts w:ascii="Times New Roman" w:hAnsi="Times New Roman" w:cs="Times New Roman"/>
          <w:sz w:val="24"/>
          <w:szCs w:val="24"/>
        </w:rPr>
        <w:t>The scan statistic</w:t>
      </w:r>
      <w:r w:rsidR="00862526" w:rsidRPr="00FC21B6">
        <w:rPr>
          <w:rFonts w:ascii="Times New Roman" w:hAnsi="Times New Roman" w:cs="Times New Roman"/>
          <w:sz w:val="24"/>
          <w:szCs w:val="24"/>
        </w:rPr>
        <w:t xml:space="preserve">, described above, </w:t>
      </w:r>
      <w:r w:rsidRPr="00FC21B6">
        <w:rPr>
          <w:rFonts w:ascii="Times New Roman" w:hAnsi="Times New Roman" w:cs="Times New Roman"/>
          <w:sz w:val="24"/>
          <w:szCs w:val="24"/>
        </w:rPr>
        <w:t xml:space="preserve">allows us to determine the location and extent (e.g., geographic area </w:t>
      </w:r>
      <w:r w:rsidR="00770A01" w:rsidRPr="00FC21B6">
        <w:rPr>
          <w:rFonts w:ascii="Times New Roman" w:hAnsi="Times New Roman" w:cs="Times New Roman"/>
          <w:sz w:val="24"/>
          <w:szCs w:val="24"/>
        </w:rPr>
        <w:t xml:space="preserve">covered) </w:t>
      </w:r>
      <w:r w:rsidRPr="00FC21B6">
        <w:rPr>
          <w:rFonts w:ascii="Times New Roman" w:hAnsi="Times New Roman" w:cs="Times New Roman"/>
          <w:sz w:val="24"/>
          <w:szCs w:val="24"/>
        </w:rPr>
        <w:t xml:space="preserve">of spatial clusters of bystander CPR when we lack a prior knowledge about the size of the area covered by the cluster.  </w:t>
      </w:r>
      <w:r w:rsidR="00770A01" w:rsidRPr="00FC21B6">
        <w:rPr>
          <w:rFonts w:ascii="Times New Roman" w:hAnsi="Times New Roman" w:cs="Times New Roman"/>
          <w:sz w:val="24"/>
          <w:szCs w:val="24"/>
        </w:rPr>
        <w:t xml:space="preserve">If we use this method in conjunction with regression models, we can “adjust” the cluster for known confounders and covariates with impact the probability of bystander CPR occurring during an out of hospital cardiac arrest (OHCA).  But why would we want to adjust a cluster using covariates?  </w:t>
      </w:r>
    </w:p>
    <w:p w:rsidR="00862526" w:rsidRPr="00FC21B6" w:rsidRDefault="00862526" w:rsidP="008B698A">
      <w:pPr>
        <w:spacing w:after="0" w:line="240" w:lineRule="auto"/>
        <w:rPr>
          <w:rFonts w:ascii="Times New Roman" w:hAnsi="Times New Roman" w:cs="Times New Roman"/>
          <w:sz w:val="24"/>
          <w:szCs w:val="24"/>
        </w:rPr>
      </w:pPr>
    </w:p>
    <w:p w:rsidR="00770A01" w:rsidRPr="00FC21B6" w:rsidRDefault="00770A01" w:rsidP="008B698A">
      <w:pPr>
        <w:spacing w:after="0" w:line="240" w:lineRule="auto"/>
        <w:rPr>
          <w:rFonts w:ascii="Times New Roman" w:hAnsi="Times New Roman" w:cs="Times New Roman"/>
          <w:sz w:val="24"/>
          <w:szCs w:val="24"/>
        </w:rPr>
      </w:pPr>
      <w:r w:rsidRPr="00FC21B6">
        <w:rPr>
          <w:rFonts w:ascii="Times New Roman" w:hAnsi="Times New Roman" w:cs="Times New Roman"/>
          <w:sz w:val="24"/>
          <w:szCs w:val="24"/>
        </w:rPr>
        <w:lastRenderedPageBreak/>
        <w:t>When we use the scan statistic to locate a spatial cluster, it adjusts for the underlying distribution (or density) of OHCA</w:t>
      </w:r>
      <w:r w:rsidR="00862526" w:rsidRPr="00FC21B6">
        <w:rPr>
          <w:rFonts w:ascii="Times New Roman" w:hAnsi="Times New Roman" w:cs="Times New Roman"/>
          <w:sz w:val="24"/>
          <w:szCs w:val="24"/>
        </w:rPr>
        <w:t xml:space="preserve"> so that we are not simply picking up areas with a greater number of OHCAs</w:t>
      </w:r>
      <w:r w:rsidRPr="00FC21B6">
        <w:rPr>
          <w:rFonts w:ascii="Times New Roman" w:hAnsi="Times New Roman" w:cs="Times New Roman"/>
          <w:sz w:val="24"/>
          <w:szCs w:val="24"/>
        </w:rPr>
        <w:t>.</w:t>
      </w:r>
      <w:r w:rsidR="00862526" w:rsidRPr="00FC21B6">
        <w:rPr>
          <w:rFonts w:ascii="Times New Roman" w:hAnsi="Times New Roman" w:cs="Times New Roman"/>
          <w:sz w:val="24"/>
          <w:szCs w:val="24"/>
        </w:rPr>
        <w:t xml:space="preserve">  However, there are known covariates that are also related to the probability of receiving bystander CPR.  In the HLM models reported in the main paper, we find that older individuals are less likely to receive bystander CPR, as are Blacks and Latino/Hispanics.  Arrests that occur in a public place and that are witnessed are more likely to result in bystander CPR.</w:t>
      </w:r>
      <w:r w:rsidRPr="00FC21B6">
        <w:rPr>
          <w:rFonts w:ascii="Times New Roman" w:hAnsi="Times New Roman" w:cs="Times New Roman"/>
          <w:sz w:val="24"/>
          <w:szCs w:val="24"/>
        </w:rPr>
        <w:t xml:space="preserve">  </w:t>
      </w:r>
      <w:r w:rsidR="00862526" w:rsidRPr="00FC21B6">
        <w:rPr>
          <w:rFonts w:ascii="Times New Roman" w:hAnsi="Times New Roman" w:cs="Times New Roman"/>
          <w:sz w:val="24"/>
          <w:szCs w:val="24"/>
        </w:rPr>
        <w:t xml:space="preserve">If the spatial distribution of these covariates is also uneven in the study area, the clusters we detect could be due to a larger number of elderly, Blacks/Hispanics/Latinos in the area.  Or, that more witnesses are around in a public location.  </w:t>
      </w:r>
      <w:r w:rsidR="00823370">
        <w:rPr>
          <w:rFonts w:ascii="Times New Roman" w:hAnsi="Times New Roman" w:cs="Times New Roman"/>
          <w:sz w:val="24"/>
          <w:szCs w:val="24"/>
        </w:rPr>
        <w:t>When we adjust for these confounders, we observe whether the cluster remains, changes location or disappears</w:t>
      </w:r>
      <w:r w:rsidR="00D84F14">
        <w:rPr>
          <w:rFonts w:ascii="Times New Roman" w:hAnsi="Times New Roman" w:cs="Times New Roman"/>
          <w:sz w:val="24"/>
          <w:szCs w:val="24"/>
        </w:rPr>
        <w:t>.</w:t>
      </w:r>
      <w:r w:rsidR="00823370">
        <w:rPr>
          <w:rFonts w:ascii="Times New Roman" w:hAnsi="Times New Roman" w:cs="Times New Roman"/>
          <w:sz w:val="24"/>
          <w:szCs w:val="24"/>
        </w:rPr>
        <w:t xml:space="preserve"> </w:t>
      </w:r>
    </w:p>
    <w:p w:rsidR="00862526" w:rsidRPr="00FC21B6" w:rsidRDefault="00862526" w:rsidP="008B698A">
      <w:pPr>
        <w:spacing w:after="0" w:line="240" w:lineRule="auto"/>
        <w:rPr>
          <w:rFonts w:ascii="Times New Roman" w:hAnsi="Times New Roman" w:cs="Times New Roman"/>
          <w:sz w:val="24"/>
          <w:szCs w:val="24"/>
        </w:rPr>
      </w:pPr>
    </w:p>
    <w:p w:rsidR="00862526" w:rsidRPr="00FC21B6" w:rsidRDefault="00862526" w:rsidP="008B698A">
      <w:pPr>
        <w:spacing w:after="0" w:line="240" w:lineRule="auto"/>
        <w:rPr>
          <w:rFonts w:ascii="Times New Roman" w:hAnsi="Times New Roman" w:cs="Times New Roman"/>
          <w:sz w:val="24"/>
          <w:szCs w:val="24"/>
        </w:rPr>
      </w:pPr>
      <w:r w:rsidRPr="00FC21B6">
        <w:rPr>
          <w:rFonts w:ascii="Times New Roman" w:hAnsi="Times New Roman" w:cs="Times New Roman"/>
          <w:sz w:val="24"/>
          <w:szCs w:val="24"/>
        </w:rPr>
        <w:t xml:space="preserve">The iterative process we use </w:t>
      </w:r>
      <w:r w:rsidR="00D84F14">
        <w:rPr>
          <w:rFonts w:ascii="Times New Roman" w:hAnsi="Times New Roman" w:cs="Times New Roman"/>
          <w:sz w:val="24"/>
          <w:szCs w:val="24"/>
        </w:rPr>
        <w:t xml:space="preserve">in this study </w:t>
      </w:r>
      <w:r w:rsidRPr="00FC21B6">
        <w:rPr>
          <w:rFonts w:ascii="Times New Roman" w:hAnsi="Times New Roman" w:cs="Times New Roman"/>
          <w:sz w:val="24"/>
          <w:szCs w:val="24"/>
        </w:rPr>
        <w:t>– moving from an unadjusted, to an individually-adjusted, to a neighborhood-adjusted model – allows us to understand what is causing the cluster</w:t>
      </w:r>
      <w:r w:rsidR="00D84F14">
        <w:rPr>
          <w:rFonts w:ascii="Times New Roman" w:hAnsi="Times New Roman" w:cs="Times New Roman"/>
          <w:sz w:val="24"/>
          <w:szCs w:val="24"/>
        </w:rPr>
        <w:t>ing of bystander CPR events</w:t>
      </w:r>
      <w:r w:rsidRPr="00FC21B6">
        <w:rPr>
          <w:rFonts w:ascii="Times New Roman" w:hAnsi="Times New Roman" w:cs="Times New Roman"/>
          <w:sz w:val="24"/>
          <w:szCs w:val="24"/>
        </w:rPr>
        <w:t xml:space="preserve">.  Is it simply that there are more White individuals or elderly in </w:t>
      </w:r>
      <w:r w:rsidR="001353F9" w:rsidRPr="00FC21B6">
        <w:rPr>
          <w:rFonts w:ascii="Times New Roman" w:hAnsi="Times New Roman" w:cs="Times New Roman"/>
          <w:sz w:val="24"/>
          <w:szCs w:val="24"/>
        </w:rPr>
        <w:t>a specific</w:t>
      </w:r>
      <w:r w:rsidRPr="00FC21B6">
        <w:rPr>
          <w:rFonts w:ascii="Times New Roman" w:hAnsi="Times New Roman" w:cs="Times New Roman"/>
          <w:sz w:val="24"/>
          <w:szCs w:val="24"/>
        </w:rPr>
        <w:t xml:space="preserve"> area?</w:t>
      </w:r>
      <w:r w:rsidR="001353F9" w:rsidRPr="00FC21B6">
        <w:rPr>
          <w:rFonts w:ascii="Times New Roman" w:hAnsi="Times New Roman" w:cs="Times New Roman"/>
          <w:sz w:val="24"/>
          <w:szCs w:val="24"/>
        </w:rPr>
        <w:t xml:space="preserve">  </w:t>
      </w:r>
      <w:proofErr w:type="gramStart"/>
      <w:r w:rsidR="001353F9" w:rsidRPr="00FC21B6">
        <w:rPr>
          <w:rFonts w:ascii="Times New Roman" w:hAnsi="Times New Roman" w:cs="Times New Roman"/>
          <w:sz w:val="24"/>
          <w:szCs w:val="24"/>
        </w:rPr>
        <w:t>If so, the geographic cluster(s) should disappear when we control for individual-level covariates.</w:t>
      </w:r>
      <w:proofErr w:type="gramEnd"/>
      <w:r w:rsidR="001353F9" w:rsidRPr="00FC21B6">
        <w:rPr>
          <w:rFonts w:ascii="Times New Roman" w:hAnsi="Times New Roman" w:cs="Times New Roman"/>
          <w:sz w:val="24"/>
          <w:szCs w:val="24"/>
        </w:rPr>
        <w:t xml:space="preserve">  If there are still geographic clusters after adjusting for the individual-level covariates, then some other risk factor that we are not controlling for </w:t>
      </w:r>
      <w:r w:rsidR="00D84F14">
        <w:rPr>
          <w:rFonts w:ascii="Times New Roman" w:hAnsi="Times New Roman" w:cs="Times New Roman"/>
          <w:sz w:val="24"/>
          <w:szCs w:val="24"/>
        </w:rPr>
        <w:t>is likely causing the cluster</w:t>
      </w:r>
      <w:r w:rsidR="001353F9" w:rsidRPr="00FC21B6">
        <w:rPr>
          <w:rFonts w:ascii="Times New Roman" w:hAnsi="Times New Roman" w:cs="Times New Roman"/>
          <w:sz w:val="24"/>
          <w:szCs w:val="24"/>
        </w:rPr>
        <w:t>.  This could lead us to understand other spatially related risk factors that we hadn’t previously known about.  If the geographic cluster(s) disappear when we control for neighborhood-level covariates, then we know that a low median household income, or high minority neighborhood is also an important risk factor for bystander CPR that explains why rates are higher/lower in that area.</w:t>
      </w:r>
    </w:p>
    <w:p w:rsidR="001353F9" w:rsidRPr="00FC21B6" w:rsidRDefault="001353F9" w:rsidP="001353F9">
      <w:pPr>
        <w:spacing w:after="0" w:line="240" w:lineRule="auto"/>
        <w:rPr>
          <w:rFonts w:ascii="Times New Roman" w:hAnsi="Times New Roman" w:cs="Times New Roman"/>
          <w:b/>
          <w:sz w:val="24"/>
          <w:szCs w:val="24"/>
          <w:shd w:val="clear" w:color="auto" w:fill="FFFFFF"/>
        </w:rPr>
      </w:pPr>
    </w:p>
    <w:p w:rsidR="001353F9" w:rsidRPr="00FC21B6" w:rsidRDefault="001353F9" w:rsidP="001353F9">
      <w:pPr>
        <w:spacing w:after="0" w:line="240" w:lineRule="auto"/>
        <w:rPr>
          <w:rFonts w:ascii="Times New Roman" w:hAnsi="Times New Roman" w:cs="Times New Roman"/>
          <w:b/>
          <w:i/>
          <w:sz w:val="24"/>
          <w:szCs w:val="24"/>
          <w:shd w:val="clear" w:color="auto" w:fill="FFFFFF"/>
        </w:rPr>
      </w:pPr>
      <w:r w:rsidRPr="00FC21B6">
        <w:rPr>
          <w:rFonts w:ascii="Times New Roman" w:hAnsi="Times New Roman" w:cs="Times New Roman"/>
          <w:b/>
          <w:i/>
          <w:sz w:val="24"/>
          <w:szCs w:val="24"/>
          <w:shd w:val="clear" w:color="auto" w:fill="FFFFFF"/>
        </w:rPr>
        <w:t>Deriving adjusted expected counts bystander CPR using HLM models</w:t>
      </w:r>
    </w:p>
    <w:p w:rsidR="008B698A" w:rsidRPr="00FC21B6" w:rsidRDefault="008B698A" w:rsidP="008B698A">
      <w:pPr>
        <w:spacing w:after="0" w:line="240" w:lineRule="auto"/>
        <w:rPr>
          <w:rFonts w:ascii="Times New Roman" w:hAnsi="Times New Roman" w:cs="Times New Roman"/>
          <w:sz w:val="24"/>
          <w:szCs w:val="24"/>
        </w:rPr>
      </w:pPr>
      <w:r w:rsidRPr="00FC21B6">
        <w:rPr>
          <w:rFonts w:ascii="Times New Roman" w:hAnsi="Times New Roman" w:cs="Times New Roman"/>
          <w:sz w:val="24"/>
          <w:szCs w:val="24"/>
        </w:rPr>
        <w:t>The statistician who developed the spatial scan statistic fully intended for the cluster detection method to be used in conjunction with regression models (see, for example,</w:t>
      </w:r>
      <w:r w:rsidR="00FD2C82">
        <w:rPr>
          <w:rFonts w:ascii="Times New Roman" w:hAnsi="Times New Roman" w:cs="Times New Roman"/>
          <w:sz w:val="24"/>
          <w:szCs w:val="24"/>
        </w:rPr>
        <w:fldChar w:fldCharType="begin"/>
      </w:r>
      <w:r w:rsidR="00FD2C82">
        <w:rPr>
          <w:rFonts w:ascii="Times New Roman" w:hAnsi="Times New Roman" w:cs="Times New Roman"/>
          <w:sz w:val="24"/>
          <w:szCs w:val="24"/>
        </w:rPr>
        <w:instrText xml:space="preserve"> ADDIN EN.CITE &lt;EndNote&gt;&lt;Cite&gt;&lt;Author&gt;Kulldorff&lt;/Author&gt;&lt;Year&gt;2006&lt;/Year&gt;&lt;IDText&gt;SaTScan User Guide for version 7.0&lt;/IDText&gt;&lt;DisplayText&gt;[2]&lt;/DisplayText&gt;&lt;record&gt;&lt;urls&gt;&lt;related-urls&gt;&lt;url&gt;http://www.satscan.org/techdoc.html&lt;/url&gt;&lt;/related-urls&gt;&lt;/urls&gt;&lt;titles&gt;&lt;title&gt;SaTScan User Guide for version 7.0&lt;/title&gt;&lt;/titles&gt;&lt;contributors&gt;&lt;authors&gt;&lt;author&gt;Kulldorff, M.&lt;/author&gt;&lt;/authors&gt;&lt;/contributors&gt;&lt;added-date format="utc"&gt;1255021278&lt;/added-date&gt;&lt;ref-type name="Book"&gt;6&lt;/ref-type&gt;&lt;dates&gt;&lt;year&gt;2006&lt;/year&gt;&lt;/dates&gt;&lt;rec-number&gt;110&lt;/rec-number&gt;&lt;last-updated-date format="utc"&gt;1255021278&lt;/last-updated-date&gt;&lt;label&gt;154&lt;/label&gt;&lt;contributors&gt;&lt;secondary-authors&gt;&lt;author&gt;Kulldorff, M.&lt;/author&gt;&lt;/secondary-authors&gt;&lt;/contributors&gt;&lt;/record&gt;&lt;/Cite&gt;&lt;/EndNote&gt;</w:instrText>
      </w:r>
      <w:r w:rsidR="00FD2C82">
        <w:rPr>
          <w:rFonts w:ascii="Times New Roman" w:hAnsi="Times New Roman" w:cs="Times New Roman"/>
          <w:sz w:val="24"/>
          <w:szCs w:val="24"/>
        </w:rPr>
        <w:fldChar w:fldCharType="separate"/>
      </w:r>
      <w:r w:rsidR="00FD2C82">
        <w:rPr>
          <w:rFonts w:ascii="Times New Roman" w:hAnsi="Times New Roman" w:cs="Times New Roman"/>
          <w:noProof/>
          <w:sz w:val="24"/>
          <w:szCs w:val="24"/>
        </w:rPr>
        <w:t>[2]</w:t>
      </w:r>
      <w:r w:rsidR="00FD2C82">
        <w:rPr>
          <w:rFonts w:ascii="Times New Roman" w:hAnsi="Times New Roman" w:cs="Times New Roman"/>
          <w:sz w:val="24"/>
          <w:szCs w:val="24"/>
        </w:rPr>
        <w:fldChar w:fldCharType="end"/>
      </w:r>
      <w:r w:rsidRPr="00FC21B6">
        <w:rPr>
          <w:rFonts w:ascii="Times New Roman" w:hAnsi="Times New Roman" w:cs="Times New Roman"/>
          <w:sz w:val="24"/>
          <w:szCs w:val="24"/>
        </w:rPr>
        <w:t>) and has don</w:t>
      </w:r>
      <w:r w:rsidR="009F0D61">
        <w:rPr>
          <w:rFonts w:ascii="Times New Roman" w:hAnsi="Times New Roman" w:cs="Times New Roman"/>
          <w:sz w:val="24"/>
          <w:szCs w:val="24"/>
        </w:rPr>
        <w:t xml:space="preserve">e so in his own published work </w:t>
      </w:r>
      <w:r w:rsidR="009F0D61">
        <w:rPr>
          <w:rFonts w:ascii="Times New Roman" w:hAnsi="Times New Roman" w:cs="Times New Roman"/>
          <w:sz w:val="24"/>
          <w:szCs w:val="24"/>
        </w:rPr>
        <w:fldChar w:fldCharType="begin"/>
      </w:r>
      <w:r w:rsidR="009F0D61">
        <w:rPr>
          <w:rFonts w:ascii="Times New Roman" w:hAnsi="Times New Roman" w:cs="Times New Roman"/>
          <w:sz w:val="24"/>
          <w:szCs w:val="24"/>
        </w:rPr>
        <w:instrText xml:space="preserve"> ADDIN EN.CITE &lt;EndNote&gt;&lt;Cite&gt;&lt;Author&gt;Klassen&lt;/Author&gt;&lt;Year&gt;2005&lt;/Year&gt;&lt;IDText&gt;Geographical clustering of prostate cancer grade and stage at diagnosis, before and after adjustment for risk factors&lt;/IDText&gt;&lt;DisplayText&gt;[3]&lt;/DisplayText&gt;&lt;record&gt;&lt;dates&gt;&lt;pub-dates&gt;&lt;date&gt;Jan&lt;/date&gt;&lt;/pub-dates&gt;&lt;year&gt;2005&lt;/year&gt;&lt;/dates&gt;&lt;urls&gt;&lt;related-urls&gt;&lt;url&gt;http://www.ncbi.nlm.nih.gov/pubmed/15649329&lt;/url&gt;&lt;/related-urls&gt;&lt;/urls&gt;&lt;isbn&gt;1476-072X&lt;/isbn&gt;&lt;custom2&gt;PMC546220&lt;/custom2&gt;&lt;titles&gt;&lt;title&gt;Geographical clustering of prostate cancer grade and stage at diagnosis, before and after adjustment for risk factors&lt;/title&gt;&lt;secondary-title&gt;Int J Health Geogr&lt;/secondary-title&gt;&lt;/titles&gt;&lt;pages&gt;1&lt;/pages&gt;&lt;number&gt;1&lt;/number&gt;&lt;contributors&gt;&lt;authors&gt;&lt;author&gt;Klassen, A. C.&lt;/author&gt;&lt;author&gt;Kulldorff, M.&lt;/author&gt;&lt;author&gt;Curriero, F.&lt;/author&gt;&lt;/authors&gt;&lt;/contributors&gt;&lt;language&gt;ENG&lt;/language&gt;&lt;added-date format="utc"&gt;1351716690&lt;/added-date&gt;&lt;ref-type name="Journal Article"&gt;17&lt;/ref-type&gt;&lt;auth-address&gt;Faculty of Social and Behavioral Sciences, Department of Health Policy and Management, Johns Hopkins Bloomberg School of Public Health, 624 N Broadway, Room 745, Baltimore, Maryland 21205, USA. aklassen@jhsph.edu.&lt;/auth-address&gt;&lt;rec-number&gt;1951&lt;/rec-number&gt;&lt;last-updated-date format="utc"&gt;1351716690&lt;/last-updated-date&gt;&lt;accession-num&gt;15649329&lt;/accession-num&gt;&lt;electronic-resource-num&gt;1476-072X-4-1 [pii]&amp;#xD;&amp;#xA;10.1186/1476-072X-4-1&lt;/electronic-resource-num&gt;&lt;volume&gt;4&lt;/volume&gt;&lt;/record&gt;&lt;/Cite&gt;&lt;/EndNote&gt;</w:instrText>
      </w:r>
      <w:r w:rsidR="009F0D61">
        <w:rPr>
          <w:rFonts w:ascii="Times New Roman" w:hAnsi="Times New Roman" w:cs="Times New Roman"/>
          <w:sz w:val="24"/>
          <w:szCs w:val="24"/>
        </w:rPr>
        <w:fldChar w:fldCharType="separate"/>
      </w:r>
      <w:r w:rsidR="009F0D61">
        <w:rPr>
          <w:rFonts w:ascii="Times New Roman" w:hAnsi="Times New Roman" w:cs="Times New Roman"/>
          <w:noProof/>
          <w:sz w:val="24"/>
          <w:szCs w:val="24"/>
        </w:rPr>
        <w:t>[3]</w:t>
      </w:r>
      <w:r w:rsidR="009F0D61">
        <w:rPr>
          <w:rFonts w:ascii="Times New Roman" w:hAnsi="Times New Roman" w:cs="Times New Roman"/>
          <w:sz w:val="24"/>
          <w:szCs w:val="24"/>
        </w:rPr>
        <w:fldChar w:fldCharType="end"/>
      </w:r>
      <w:r w:rsidRPr="00FC21B6">
        <w:rPr>
          <w:rFonts w:ascii="Times New Roman" w:hAnsi="Times New Roman" w:cs="Times New Roman"/>
          <w:sz w:val="24"/>
          <w:szCs w:val="24"/>
        </w:rPr>
        <w:t>.</w:t>
      </w:r>
      <w:r w:rsidR="001353F9" w:rsidRPr="00FC21B6">
        <w:rPr>
          <w:rFonts w:ascii="Times New Roman" w:hAnsi="Times New Roman" w:cs="Times New Roman"/>
          <w:sz w:val="24"/>
          <w:szCs w:val="24"/>
        </w:rPr>
        <w:t xml:space="preserve">  In this study we use logistic regression models to adjust for individual-level covariates and hierarchical logistic regression models (HLMs) to adjust for individual-level and neighborhood-level covariates.  The models themselves are discussed in the main paper.</w:t>
      </w:r>
    </w:p>
    <w:p w:rsidR="001353F9" w:rsidRPr="00FC21B6" w:rsidRDefault="001353F9" w:rsidP="008B698A">
      <w:pPr>
        <w:spacing w:after="0" w:line="240" w:lineRule="auto"/>
        <w:rPr>
          <w:rFonts w:ascii="Times New Roman" w:hAnsi="Times New Roman" w:cs="Times New Roman"/>
          <w:sz w:val="24"/>
          <w:szCs w:val="24"/>
        </w:rPr>
      </w:pPr>
    </w:p>
    <w:p w:rsidR="00FC21B6" w:rsidRPr="00FC21B6" w:rsidRDefault="00FC21B6" w:rsidP="008B698A">
      <w:pPr>
        <w:spacing w:after="0" w:line="240" w:lineRule="auto"/>
        <w:rPr>
          <w:rFonts w:ascii="Times New Roman" w:hAnsi="Times New Roman" w:cs="Times New Roman"/>
          <w:sz w:val="24"/>
          <w:szCs w:val="24"/>
          <w:shd w:val="clear" w:color="auto" w:fill="FFFFFF"/>
        </w:rPr>
      </w:pPr>
      <w:r w:rsidRPr="00FC21B6">
        <w:rPr>
          <w:rFonts w:ascii="Times New Roman" w:hAnsi="Times New Roman" w:cs="Times New Roman"/>
          <w:sz w:val="24"/>
          <w:szCs w:val="24"/>
          <w:shd w:val="clear" w:color="auto" w:fill="FFFFFF"/>
        </w:rPr>
        <w:t xml:space="preserve">Using bystander CPR as the outcome variable (0 vs. 1), we determined the </w:t>
      </w:r>
      <w:r w:rsidR="001353F9" w:rsidRPr="00FC21B6">
        <w:rPr>
          <w:rFonts w:ascii="Times New Roman" w:hAnsi="Times New Roman" w:cs="Times New Roman"/>
          <w:sz w:val="24"/>
          <w:szCs w:val="24"/>
          <w:shd w:val="clear" w:color="auto" w:fill="FFFFFF"/>
        </w:rPr>
        <w:t>best fit regression model</w:t>
      </w:r>
      <w:r w:rsidRPr="00FC21B6">
        <w:rPr>
          <w:rFonts w:ascii="Times New Roman" w:hAnsi="Times New Roman" w:cs="Times New Roman"/>
          <w:sz w:val="24"/>
          <w:szCs w:val="24"/>
          <w:shd w:val="clear" w:color="auto" w:fill="FFFFFF"/>
        </w:rPr>
        <w:t xml:space="preserve"> using individual-level covariates only (age, sex, race, witnessed, public vs. private).  Next, we developed </w:t>
      </w:r>
      <w:r w:rsidR="00D84F14">
        <w:rPr>
          <w:rFonts w:ascii="Times New Roman" w:hAnsi="Times New Roman" w:cs="Times New Roman"/>
          <w:sz w:val="24"/>
          <w:szCs w:val="24"/>
          <w:shd w:val="clear" w:color="auto" w:fill="FFFFFF"/>
        </w:rPr>
        <w:t>another</w:t>
      </w:r>
      <w:r w:rsidRPr="00FC21B6">
        <w:rPr>
          <w:rFonts w:ascii="Times New Roman" w:hAnsi="Times New Roman" w:cs="Times New Roman"/>
          <w:sz w:val="24"/>
          <w:szCs w:val="24"/>
          <w:shd w:val="clear" w:color="auto" w:fill="FFFFFF"/>
        </w:rPr>
        <w:t xml:space="preserve"> set of models which incorporated neighborhood-level covariates (percent white, median household income) and used a hierarchical structure to account for individuals nested within block groups.  For each model, we calculated the </w:t>
      </w:r>
      <w:r w:rsidR="001353F9" w:rsidRPr="00FC21B6">
        <w:rPr>
          <w:rFonts w:ascii="Times New Roman" w:hAnsi="Times New Roman" w:cs="Times New Roman"/>
          <w:sz w:val="24"/>
          <w:szCs w:val="24"/>
          <w:shd w:val="clear" w:color="auto" w:fill="FFFFFF"/>
        </w:rPr>
        <w:t xml:space="preserve">predicted probability of bystander CPR </w:t>
      </w:r>
      <w:r w:rsidRPr="00FC21B6">
        <w:rPr>
          <w:rFonts w:ascii="Times New Roman" w:hAnsi="Times New Roman" w:cs="Times New Roman"/>
          <w:sz w:val="24"/>
          <w:szCs w:val="24"/>
          <w:shd w:val="clear" w:color="auto" w:fill="FFFFFF"/>
        </w:rPr>
        <w:t>for each individual by</w:t>
      </w:r>
      <w:r w:rsidR="001353F9" w:rsidRPr="00FC21B6">
        <w:rPr>
          <w:rFonts w:ascii="Times New Roman" w:hAnsi="Times New Roman" w:cs="Times New Roman"/>
          <w:sz w:val="24"/>
          <w:szCs w:val="24"/>
          <w:shd w:val="clear" w:color="auto" w:fill="FFFFFF"/>
        </w:rPr>
        <w:t xml:space="preserve"> taking the inverse </w:t>
      </w:r>
      <w:proofErr w:type="spellStart"/>
      <w:r w:rsidR="001353F9" w:rsidRPr="00FC21B6">
        <w:rPr>
          <w:rFonts w:ascii="Times New Roman" w:hAnsi="Times New Roman" w:cs="Times New Roman"/>
          <w:sz w:val="24"/>
          <w:szCs w:val="24"/>
          <w:shd w:val="clear" w:color="auto" w:fill="FFFFFF"/>
        </w:rPr>
        <w:t>logit</w:t>
      </w:r>
      <w:proofErr w:type="spellEnd"/>
      <w:r w:rsidR="001353F9" w:rsidRPr="00FC21B6">
        <w:rPr>
          <w:rFonts w:ascii="Times New Roman" w:hAnsi="Times New Roman" w:cs="Times New Roman"/>
          <w:sz w:val="24"/>
          <w:szCs w:val="24"/>
          <w:shd w:val="clear" w:color="auto" w:fill="FFFFFF"/>
        </w:rPr>
        <w:t xml:space="preserve"> transform of the expected linear predictor. </w:t>
      </w:r>
      <w:r w:rsidRPr="00FC21B6">
        <w:rPr>
          <w:rFonts w:ascii="Times New Roman" w:hAnsi="Times New Roman" w:cs="Times New Roman"/>
          <w:sz w:val="24"/>
          <w:szCs w:val="24"/>
          <w:shd w:val="clear" w:color="auto" w:fill="FFFFFF"/>
        </w:rPr>
        <w:t xml:space="preserve"> We then aggregated (summed) these individual</w:t>
      </w:r>
      <w:r w:rsidR="001353F9" w:rsidRPr="00FC21B6">
        <w:rPr>
          <w:rFonts w:ascii="Times New Roman" w:hAnsi="Times New Roman" w:cs="Times New Roman"/>
          <w:sz w:val="24"/>
          <w:szCs w:val="24"/>
          <w:shd w:val="clear" w:color="auto" w:fill="FFFFFF"/>
        </w:rPr>
        <w:t xml:space="preserve"> probabilities to the block group</w:t>
      </w:r>
      <w:r w:rsidRPr="00FC21B6">
        <w:rPr>
          <w:rFonts w:ascii="Times New Roman" w:hAnsi="Times New Roman" w:cs="Times New Roman"/>
          <w:sz w:val="24"/>
          <w:szCs w:val="24"/>
          <w:shd w:val="clear" w:color="auto" w:fill="FFFFFF"/>
        </w:rPr>
        <w:t>-</w:t>
      </w:r>
      <w:r w:rsidR="001353F9" w:rsidRPr="00FC21B6">
        <w:rPr>
          <w:rFonts w:ascii="Times New Roman" w:hAnsi="Times New Roman" w:cs="Times New Roman"/>
          <w:sz w:val="24"/>
          <w:szCs w:val="24"/>
          <w:shd w:val="clear" w:color="auto" w:fill="FFFFFF"/>
        </w:rPr>
        <w:t>level</w:t>
      </w:r>
      <w:r w:rsidRPr="00FC21B6">
        <w:rPr>
          <w:rFonts w:ascii="Times New Roman" w:hAnsi="Times New Roman" w:cs="Times New Roman"/>
          <w:sz w:val="24"/>
          <w:szCs w:val="24"/>
          <w:shd w:val="clear" w:color="auto" w:fill="FFFFFF"/>
        </w:rPr>
        <w:t>.  This provided the e</w:t>
      </w:r>
      <w:r w:rsidR="001353F9" w:rsidRPr="00FC21B6">
        <w:rPr>
          <w:rFonts w:ascii="Times New Roman" w:hAnsi="Times New Roman" w:cs="Times New Roman"/>
          <w:sz w:val="24"/>
          <w:szCs w:val="24"/>
          <w:shd w:val="clear" w:color="auto" w:fill="FFFFFF"/>
        </w:rPr>
        <w:t>xpected block group-specific counts of bystander CPR events.</w:t>
      </w:r>
      <w:r w:rsidRPr="00FC21B6">
        <w:rPr>
          <w:rFonts w:ascii="Times New Roman" w:hAnsi="Times New Roman" w:cs="Times New Roman"/>
          <w:sz w:val="24"/>
          <w:szCs w:val="24"/>
          <w:shd w:val="clear" w:color="auto" w:fill="FFFFFF"/>
        </w:rPr>
        <w:t xml:space="preserve">  The observed </w:t>
      </w:r>
      <w:proofErr w:type="gramStart"/>
      <w:r w:rsidRPr="00FC21B6">
        <w:rPr>
          <w:rFonts w:ascii="Times New Roman" w:hAnsi="Times New Roman" w:cs="Times New Roman"/>
          <w:sz w:val="24"/>
          <w:szCs w:val="24"/>
          <w:shd w:val="clear" w:color="auto" w:fill="FFFFFF"/>
        </w:rPr>
        <w:t>number of bystander CPR event were</w:t>
      </w:r>
      <w:proofErr w:type="gramEnd"/>
      <w:r w:rsidRPr="00FC21B6">
        <w:rPr>
          <w:rFonts w:ascii="Times New Roman" w:hAnsi="Times New Roman" w:cs="Times New Roman"/>
          <w:sz w:val="24"/>
          <w:szCs w:val="24"/>
          <w:shd w:val="clear" w:color="auto" w:fill="FFFFFF"/>
        </w:rPr>
        <w:t xml:space="preserve"> also aggregated to the block group-level.  We imported the expected and observed counts of BCPR into the </w:t>
      </w:r>
      <w:proofErr w:type="spellStart"/>
      <w:r w:rsidRPr="00FC21B6">
        <w:rPr>
          <w:rFonts w:ascii="Times New Roman" w:hAnsi="Times New Roman" w:cs="Times New Roman"/>
          <w:sz w:val="24"/>
          <w:szCs w:val="24"/>
          <w:shd w:val="clear" w:color="auto" w:fill="FFFFFF"/>
        </w:rPr>
        <w:t>SaTScan</w:t>
      </w:r>
      <w:proofErr w:type="spellEnd"/>
      <w:r w:rsidRPr="00FC21B6">
        <w:rPr>
          <w:rFonts w:ascii="Times New Roman" w:hAnsi="Times New Roman" w:cs="Times New Roman"/>
          <w:sz w:val="24"/>
          <w:szCs w:val="24"/>
          <w:shd w:val="clear" w:color="auto" w:fill="FFFFFF"/>
        </w:rPr>
        <w:t xml:space="preserve"> software.  </w:t>
      </w:r>
    </w:p>
    <w:p w:rsidR="00FC21B6" w:rsidRPr="00FC21B6" w:rsidRDefault="00FC21B6" w:rsidP="008B698A">
      <w:pPr>
        <w:spacing w:after="0" w:line="240" w:lineRule="auto"/>
        <w:rPr>
          <w:rFonts w:ascii="Times New Roman" w:hAnsi="Times New Roman" w:cs="Times New Roman"/>
          <w:sz w:val="24"/>
          <w:szCs w:val="24"/>
          <w:shd w:val="clear" w:color="auto" w:fill="FFFFFF"/>
        </w:rPr>
      </w:pPr>
    </w:p>
    <w:p w:rsidR="008B698A" w:rsidRDefault="00FC21B6" w:rsidP="008B698A">
      <w:pPr>
        <w:spacing w:after="0" w:line="240" w:lineRule="auto"/>
        <w:rPr>
          <w:rFonts w:ascii="Times New Roman" w:hAnsi="Times New Roman" w:cs="Times New Roman"/>
          <w:sz w:val="24"/>
          <w:szCs w:val="24"/>
        </w:rPr>
      </w:pPr>
      <w:r w:rsidRPr="00FC21B6">
        <w:rPr>
          <w:rFonts w:ascii="Times New Roman" w:hAnsi="Times New Roman" w:cs="Times New Roman"/>
          <w:sz w:val="24"/>
          <w:szCs w:val="24"/>
          <w:shd w:val="clear" w:color="auto" w:fill="FFFFFF"/>
        </w:rPr>
        <w:t xml:space="preserve">In </w:t>
      </w:r>
      <w:proofErr w:type="spellStart"/>
      <w:r w:rsidRPr="00FC21B6">
        <w:rPr>
          <w:rFonts w:ascii="Times New Roman" w:hAnsi="Times New Roman" w:cs="Times New Roman"/>
          <w:sz w:val="24"/>
          <w:szCs w:val="24"/>
          <w:shd w:val="clear" w:color="auto" w:fill="FFFFFF"/>
        </w:rPr>
        <w:t>SaTScan</w:t>
      </w:r>
      <w:proofErr w:type="spellEnd"/>
      <w:r w:rsidRPr="00FC21B6">
        <w:rPr>
          <w:rFonts w:ascii="Times New Roman" w:hAnsi="Times New Roman" w:cs="Times New Roman"/>
          <w:sz w:val="24"/>
          <w:szCs w:val="24"/>
          <w:shd w:val="clear" w:color="auto" w:fill="FFFFFF"/>
        </w:rPr>
        <w:t xml:space="preserve">, we ran the spatial cluster analysis 4 times – once using the raw/unadjusted data, once using the observed/expected counts obtained from the model incorporating individual covariates and twice using the observed/expected counts obtained from the two HLM models incorporating neighborhood variables.  </w:t>
      </w:r>
      <w:r w:rsidR="008B698A" w:rsidRPr="00FC21B6">
        <w:rPr>
          <w:rFonts w:ascii="Times New Roman" w:hAnsi="Times New Roman" w:cs="Times New Roman"/>
          <w:sz w:val="24"/>
          <w:szCs w:val="24"/>
        </w:rPr>
        <w:t xml:space="preserve">The set of overlapping </w:t>
      </w:r>
      <w:r w:rsidR="00D84F14">
        <w:rPr>
          <w:rFonts w:ascii="Times New Roman" w:hAnsi="Times New Roman" w:cs="Times New Roman"/>
          <w:sz w:val="24"/>
          <w:szCs w:val="24"/>
        </w:rPr>
        <w:t>circles</w:t>
      </w:r>
      <w:r w:rsidR="008B698A" w:rsidRPr="00FC21B6">
        <w:rPr>
          <w:rFonts w:ascii="Times New Roman" w:hAnsi="Times New Roman" w:cs="Times New Roman"/>
          <w:sz w:val="24"/>
          <w:szCs w:val="24"/>
        </w:rPr>
        <w:t xml:space="preserve"> used to scan for clusters </w:t>
      </w:r>
      <w:r w:rsidR="008B698A" w:rsidRPr="00FC21B6">
        <w:rPr>
          <w:rFonts w:ascii="Times New Roman" w:hAnsi="Times New Roman" w:cs="Times New Roman"/>
          <w:sz w:val="24"/>
          <w:szCs w:val="24"/>
        </w:rPr>
        <w:lastRenderedPageBreak/>
        <w:t xml:space="preserve">remains the same across </w:t>
      </w:r>
      <w:r w:rsidRPr="00FC21B6">
        <w:rPr>
          <w:rFonts w:ascii="Times New Roman" w:hAnsi="Times New Roman" w:cs="Times New Roman"/>
          <w:sz w:val="24"/>
          <w:szCs w:val="24"/>
        </w:rPr>
        <w:t>each run of the spatial cluster analysis</w:t>
      </w:r>
      <w:r w:rsidR="00613A36">
        <w:rPr>
          <w:rFonts w:ascii="Times New Roman" w:hAnsi="Times New Roman" w:cs="Times New Roman"/>
          <w:sz w:val="24"/>
          <w:szCs w:val="24"/>
        </w:rPr>
        <w:t xml:space="preserve">.  </w:t>
      </w:r>
      <w:r w:rsidR="008B698A" w:rsidRPr="00FC21B6">
        <w:rPr>
          <w:rFonts w:ascii="Times New Roman" w:hAnsi="Times New Roman" w:cs="Times New Roman"/>
          <w:sz w:val="24"/>
          <w:szCs w:val="24"/>
        </w:rPr>
        <w:t>This means that if a primary cluster identified during the unadjusted analysis “disappears” during the adjusted analysis, it no longer has the highest log likelihood ratio after adjusting for covariates.  It has been replaced by a “new” primary cluster with a higher likelihood ratio.</w:t>
      </w:r>
    </w:p>
    <w:p w:rsidR="00523088" w:rsidRDefault="00523088" w:rsidP="008B698A">
      <w:pPr>
        <w:spacing w:after="0" w:line="240" w:lineRule="auto"/>
        <w:rPr>
          <w:rFonts w:ascii="Times New Roman" w:hAnsi="Times New Roman" w:cs="Times New Roman"/>
          <w:sz w:val="24"/>
          <w:szCs w:val="24"/>
        </w:rPr>
      </w:pPr>
    </w:p>
    <w:p w:rsidR="00FC7BEF" w:rsidRDefault="00FC7BEF" w:rsidP="008B698A">
      <w:pPr>
        <w:spacing w:after="0" w:line="240" w:lineRule="auto"/>
        <w:rPr>
          <w:rFonts w:ascii="Times New Roman" w:hAnsi="Times New Roman" w:cs="Times New Roman"/>
          <w:sz w:val="24"/>
          <w:szCs w:val="24"/>
        </w:rPr>
      </w:pPr>
    </w:p>
    <w:p w:rsidR="00523088" w:rsidRDefault="00FC7BEF" w:rsidP="008B698A">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 xml:space="preserve">Additional </w:t>
      </w:r>
      <w:r w:rsidR="00523088">
        <w:rPr>
          <w:rFonts w:ascii="Times New Roman" w:hAnsi="Times New Roman" w:cs="Times New Roman"/>
          <w:b/>
          <w:sz w:val="24"/>
          <w:szCs w:val="24"/>
          <w:u w:val="single"/>
        </w:rPr>
        <w:t>Results</w:t>
      </w:r>
    </w:p>
    <w:p w:rsidR="00994995" w:rsidRDefault="00994995" w:rsidP="008B698A">
      <w:pPr>
        <w:spacing w:after="0" w:line="240" w:lineRule="auto"/>
        <w:rPr>
          <w:rFonts w:ascii="Times New Roman" w:hAnsi="Times New Roman" w:cs="Times New Roman"/>
          <w:sz w:val="24"/>
          <w:szCs w:val="24"/>
        </w:rPr>
      </w:pPr>
    </w:p>
    <w:p w:rsidR="00D84F14" w:rsidRDefault="00D84F14" w:rsidP="00994995">
      <w:pPr>
        <w:spacing w:after="0" w:line="240" w:lineRule="auto"/>
        <w:rPr>
          <w:rFonts w:ascii="Times New Roman" w:hAnsi="Times New Roman" w:cs="Times New Roman"/>
          <w:sz w:val="24"/>
          <w:szCs w:val="24"/>
        </w:rPr>
      </w:pPr>
      <w:r>
        <w:rPr>
          <w:rFonts w:ascii="Times New Roman" w:hAnsi="Times New Roman" w:cs="Times New Roman"/>
          <w:sz w:val="24"/>
          <w:szCs w:val="24"/>
        </w:rPr>
        <w:t>Table S1 and S2 show descriptive characteristics for the individuals and areas contained within each cluster vs. outside of each cluster.  The individual covariates were obtained by calculating the mean or percentage for population whose arrest occurred inside of the area covered by the cluster compared to the population whose arrest occurred outside the area covered by the cluster.  The neighborhood covariates were obtained by calculating the mean/percentage for the census block groups contained in the cluster vs. outside of the cluster.</w:t>
      </w:r>
    </w:p>
    <w:p w:rsidR="00D84F14" w:rsidRDefault="00D84F14" w:rsidP="00994995">
      <w:pPr>
        <w:spacing w:after="0" w:line="240" w:lineRule="auto"/>
        <w:rPr>
          <w:rFonts w:ascii="Times New Roman" w:hAnsi="Times New Roman" w:cs="Times New Roman"/>
          <w:sz w:val="24"/>
          <w:szCs w:val="24"/>
        </w:rPr>
      </w:pPr>
    </w:p>
    <w:p w:rsidR="00994995" w:rsidRPr="00994995" w:rsidRDefault="00994995" w:rsidP="00994995">
      <w:pPr>
        <w:spacing w:after="0" w:line="240" w:lineRule="auto"/>
        <w:rPr>
          <w:rFonts w:ascii="Times New Roman" w:hAnsi="Times New Roman" w:cs="Times New Roman"/>
          <w:sz w:val="24"/>
        </w:rPr>
      </w:pPr>
      <w:r w:rsidRPr="00994995">
        <w:rPr>
          <w:rFonts w:ascii="Times New Roman" w:hAnsi="Times New Roman" w:cs="Times New Roman"/>
          <w:sz w:val="24"/>
        </w:rPr>
        <w:t xml:space="preserve">Figure </w:t>
      </w:r>
      <w:r>
        <w:rPr>
          <w:rFonts w:ascii="Times New Roman" w:hAnsi="Times New Roman" w:cs="Times New Roman"/>
          <w:sz w:val="24"/>
        </w:rPr>
        <w:t>S</w:t>
      </w:r>
      <w:r w:rsidRPr="00994995">
        <w:rPr>
          <w:rFonts w:ascii="Times New Roman" w:hAnsi="Times New Roman" w:cs="Times New Roman"/>
          <w:sz w:val="24"/>
        </w:rPr>
        <w:t xml:space="preserve">1 shows the distribution of </w:t>
      </w:r>
      <w:r>
        <w:rPr>
          <w:rFonts w:ascii="Times New Roman" w:hAnsi="Times New Roman" w:cs="Times New Roman"/>
          <w:sz w:val="24"/>
        </w:rPr>
        <w:t xml:space="preserve">select </w:t>
      </w:r>
      <w:r w:rsidRPr="00994995">
        <w:rPr>
          <w:rFonts w:ascii="Times New Roman" w:hAnsi="Times New Roman" w:cs="Times New Roman"/>
          <w:sz w:val="24"/>
        </w:rPr>
        <w:t>neighborhood characteristics by census block group: (A) Houston percent white population, (B) Houston median household income, (C) Austin-Travis County percent white population, and (D) Austin-Travis County median household income.  Red lines indicate major roads/highways, blue lines indicate major rivers, black lines indicate city and/or county boundaries, grey areas are parks and building icons represent major universities.</w:t>
      </w:r>
      <w:r>
        <w:rPr>
          <w:rFonts w:ascii="Times New Roman" w:hAnsi="Times New Roman" w:cs="Times New Roman"/>
          <w:sz w:val="24"/>
        </w:rPr>
        <w:t xml:space="preserve">  Maps like this can provide context to statistical analyses and assist in the interpretation of results.</w:t>
      </w:r>
    </w:p>
    <w:p w:rsidR="006915EF" w:rsidRPr="006915EF" w:rsidRDefault="006915EF" w:rsidP="008B698A">
      <w:pPr>
        <w:spacing w:after="0" w:line="240" w:lineRule="auto"/>
        <w:rPr>
          <w:rFonts w:ascii="Times New Roman" w:hAnsi="Times New Roman" w:cs="Times New Roman"/>
          <w:sz w:val="24"/>
          <w:szCs w:val="28"/>
        </w:rPr>
      </w:pPr>
    </w:p>
    <w:p w:rsidR="006915EF" w:rsidRPr="006915EF" w:rsidRDefault="006915EF" w:rsidP="008B698A">
      <w:pPr>
        <w:spacing w:after="0" w:line="240" w:lineRule="auto"/>
        <w:rPr>
          <w:rFonts w:ascii="Times New Roman" w:hAnsi="Times New Roman" w:cs="Times New Roman"/>
          <w:sz w:val="24"/>
          <w:szCs w:val="28"/>
        </w:rPr>
      </w:pPr>
    </w:p>
    <w:p w:rsidR="006915EF" w:rsidRPr="006915EF" w:rsidRDefault="006915EF" w:rsidP="006915EF">
      <w:pPr>
        <w:spacing w:after="0"/>
        <w:rPr>
          <w:rFonts w:ascii="Times New Roman" w:hAnsi="Times New Roman" w:cs="Times New Roman"/>
          <w:b/>
          <w:noProof/>
          <w:sz w:val="24"/>
          <w:szCs w:val="28"/>
          <w:u w:val="single"/>
        </w:rPr>
      </w:pPr>
      <w:r w:rsidRPr="006915EF">
        <w:rPr>
          <w:rFonts w:ascii="Times New Roman" w:hAnsi="Times New Roman" w:cs="Times New Roman"/>
          <w:sz w:val="24"/>
          <w:szCs w:val="28"/>
        </w:rPr>
        <w:fldChar w:fldCharType="begin"/>
      </w:r>
      <w:r w:rsidRPr="006915EF">
        <w:rPr>
          <w:rFonts w:ascii="Times New Roman" w:hAnsi="Times New Roman" w:cs="Times New Roman"/>
          <w:sz w:val="24"/>
          <w:szCs w:val="28"/>
        </w:rPr>
        <w:instrText xml:space="preserve"> ADDIN EN.REFLIST </w:instrText>
      </w:r>
      <w:r w:rsidRPr="006915EF">
        <w:rPr>
          <w:rFonts w:ascii="Times New Roman" w:hAnsi="Times New Roman" w:cs="Times New Roman"/>
          <w:sz w:val="24"/>
          <w:szCs w:val="28"/>
        </w:rPr>
        <w:fldChar w:fldCharType="separate"/>
      </w:r>
      <w:r w:rsidRPr="006915EF">
        <w:rPr>
          <w:rFonts w:ascii="Times New Roman" w:hAnsi="Times New Roman" w:cs="Times New Roman"/>
          <w:b/>
          <w:noProof/>
          <w:sz w:val="24"/>
          <w:szCs w:val="28"/>
          <w:u w:val="single"/>
        </w:rPr>
        <w:t>Literature Cited</w:t>
      </w:r>
    </w:p>
    <w:p w:rsidR="006915EF" w:rsidRPr="006915EF" w:rsidRDefault="006915EF" w:rsidP="006915EF">
      <w:pPr>
        <w:spacing w:after="0"/>
        <w:jc w:val="center"/>
        <w:rPr>
          <w:rFonts w:ascii="Times New Roman" w:hAnsi="Times New Roman" w:cs="Times New Roman"/>
          <w:noProof/>
          <w:sz w:val="24"/>
          <w:szCs w:val="28"/>
        </w:rPr>
      </w:pPr>
    </w:p>
    <w:p w:rsidR="006915EF" w:rsidRPr="006915EF" w:rsidRDefault="006915EF" w:rsidP="006915EF">
      <w:pPr>
        <w:spacing w:after="0" w:line="240" w:lineRule="auto"/>
        <w:rPr>
          <w:rFonts w:ascii="Times New Roman" w:hAnsi="Times New Roman" w:cs="Times New Roman"/>
          <w:noProof/>
          <w:sz w:val="24"/>
          <w:szCs w:val="28"/>
        </w:rPr>
      </w:pPr>
      <w:bookmarkStart w:id="1" w:name="_ENREF_1"/>
      <w:r w:rsidRPr="006915EF">
        <w:rPr>
          <w:rFonts w:ascii="Times New Roman" w:hAnsi="Times New Roman" w:cs="Times New Roman"/>
          <w:noProof/>
          <w:sz w:val="24"/>
          <w:szCs w:val="28"/>
        </w:rPr>
        <w:t xml:space="preserve">1. Kulldorff M. A spatial scan statistic. Communications in Statistics: Theory and Methods </w:t>
      </w:r>
      <w:r w:rsidRPr="006915EF">
        <w:rPr>
          <w:rFonts w:ascii="Times New Roman" w:hAnsi="Times New Roman" w:cs="Times New Roman"/>
          <w:b/>
          <w:noProof/>
          <w:sz w:val="24"/>
          <w:szCs w:val="28"/>
        </w:rPr>
        <w:t>1997</w:t>
      </w:r>
      <w:r w:rsidRPr="006915EF">
        <w:rPr>
          <w:rFonts w:ascii="Times New Roman" w:hAnsi="Times New Roman" w:cs="Times New Roman"/>
          <w:noProof/>
          <w:sz w:val="24"/>
          <w:szCs w:val="28"/>
        </w:rPr>
        <w:t>; 26:1481.</w:t>
      </w:r>
      <w:bookmarkEnd w:id="1"/>
    </w:p>
    <w:p w:rsidR="006915EF" w:rsidRPr="006915EF" w:rsidRDefault="006915EF" w:rsidP="006915EF">
      <w:pPr>
        <w:spacing w:after="0" w:line="240" w:lineRule="auto"/>
        <w:rPr>
          <w:rFonts w:ascii="Times New Roman" w:hAnsi="Times New Roman" w:cs="Times New Roman"/>
          <w:noProof/>
          <w:sz w:val="24"/>
          <w:szCs w:val="28"/>
        </w:rPr>
      </w:pPr>
      <w:bookmarkStart w:id="2" w:name="_ENREF_2"/>
      <w:r w:rsidRPr="006915EF">
        <w:rPr>
          <w:rFonts w:ascii="Times New Roman" w:hAnsi="Times New Roman" w:cs="Times New Roman"/>
          <w:noProof/>
          <w:sz w:val="24"/>
          <w:szCs w:val="28"/>
        </w:rPr>
        <w:t xml:space="preserve">2. Kulldorff M. SaTScan User Guide for version 7.0. </w:t>
      </w:r>
      <w:r w:rsidRPr="006915EF">
        <w:rPr>
          <w:rFonts w:ascii="Times New Roman" w:hAnsi="Times New Roman" w:cs="Times New Roman"/>
          <w:b/>
          <w:noProof/>
          <w:sz w:val="24"/>
          <w:szCs w:val="28"/>
        </w:rPr>
        <w:t>2006</w:t>
      </w:r>
      <w:r w:rsidRPr="006915EF">
        <w:rPr>
          <w:rFonts w:ascii="Times New Roman" w:hAnsi="Times New Roman" w:cs="Times New Roman"/>
          <w:noProof/>
          <w:sz w:val="24"/>
          <w:szCs w:val="28"/>
        </w:rPr>
        <w:t xml:space="preserve"> (Kulldorff M, ed.</w:t>
      </w:r>
      <w:bookmarkEnd w:id="2"/>
    </w:p>
    <w:p w:rsidR="006915EF" w:rsidRPr="006915EF" w:rsidRDefault="006915EF" w:rsidP="006915EF">
      <w:pPr>
        <w:spacing w:after="0" w:line="240" w:lineRule="auto"/>
        <w:rPr>
          <w:rFonts w:ascii="Times New Roman" w:hAnsi="Times New Roman" w:cs="Times New Roman"/>
          <w:noProof/>
          <w:sz w:val="24"/>
          <w:szCs w:val="28"/>
        </w:rPr>
      </w:pPr>
      <w:bookmarkStart w:id="3" w:name="_ENREF_3"/>
      <w:r w:rsidRPr="006915EF">
        <w:rPr>
          <w:rFonts w:ascii="Times New Roman" w:hAnsi="Times New Roman" w:cs="Times New Roman"/>
          <w:noProof/>
          <w:sz w:val="24"/>
          <w:szCs w:val="28"/>
        </w:rPr>
        <w:t xml:space="preserve">3. Klassen AC, Kulldorff M, Curriero F. Geographical clustering of prostate cancer grade and stage at diagnosis, before and after adjustment for risk factors. Int J Health Geogr </w:t>
      </w:r>
      <w:r w:rsidRPr="006915EF">
        <w:rPr>
          <w:rFonts w:ascii="Times New Roman" w:hAnsi="Times New Roman" w:cs="Times New Roman"/>
          <w:b/>
          <w:noProof/>
          <w:sz w:val="24"/>
          <w:szCs w:val="28"/>
        </w:rPr>
        <w:t>2005</w:t>
      </w:r>
      <w:r w:rsidRPr="006915EF">
        <w:rPr>
          <w:rFonts w:ascii="Times New Roman" w:hAnsi="Times New Roman" w:cs="Times New Roman"/>
          <w:noProof/>
          <w:sz w:val="24"/>
          <w:szCs w:val="28"/>
        </w:rPr>
        <w:t>; 4:1.</w:t>
      </w:r>
      <w:bookmarkEnd w:id="3"/>
    </w:p>
    <w:p w:rsidR="006915EF" w:rsidRPr="006915EF" w:rsidRDefault="006915EF" w:rsidP="006915EF">
      <w:pPr>
        <w:spacing w:after="0" w:line="240" w:lineRule="auto"/>
        <w:rPr>
          <w:rFonts w:ascii="Times New Roman" w:hAnsi="Times New Roman" w:cs="Times New Roman"/>
          <w:noProof/>
          <w:sz w:val="24"/>
          <w:szCs w:val="28"/>
        </w:rPr>
      </w:pPr>
    </w:p>
    <w:p w:rsidR="006915EF" w:rsidRPr="006915EF" w:rsidRDefault="006915EF" w:rsidP="006915EF">
      <w:pPr>
        <w:spacing w:after="0" w:line="240" w:lineRule="auto"/>
        <w:rPr>
          <w:rFonts w:ascii="Times New Roman" w:hAnsi="Times New Roman" w:cs="Times New Roman"/>
          <w:sz w:val="24"/>
          <w:szCs w:val="28"/>
        </w:rPr>
        <w:sectPr w:rsidR="006915EF" w:rsidRPr="006915EF" w:rsidSect="008F19FD">
          <w:type w:val="continuous"/>
          <w:pgSz w:w="12240" w:h="15840" w:code="1"/>
          <w:pgMar w:top="1440" w:right="1440" w:bottom="1440" w:left="1440" w:header="720" w:footer="720" w:gutter="0"/>
          <w:cols w:space="720"/>
          <w:docGrid w:linePitch="360"/>
        </w:sectPr>
      </w:pPr>
      <w:r w:rsidRPr="006915EF">
        <w:rPr>
          <w:rFonts w:ascii="Times New Roman" w:hAnsi="Times New Roman" w:cs="Times New Roman"/>
          <w:sz w:val="24"/>
          <w:szCs w:val="28"/>
        </w:rPr>
        <w:fldChar w:fldCharType="end"/>
      </w:r>
    </w:p>
    <w:p w:rsidR="00D84F14" w:rsidRPr="00FC7BEF" w:rsidRDefault="00FC7BEF" w:rsidP="00D84F14">
      <w:pPr>
        <w:rPr>
          <w:b/>
        </w:rPr>
      </w:pPr>
      <w:r w:rsidRPr="00FC7BEF">
        <w:rPr>
          <w:rFonts w:ascii="Times New Roman" w:hAnsi="Times New Roman" w:cs="Times New Roman"/>
          <w:b/>
          <w:sz w:val="24"/>
          <w:szCs w:val="24"/>
        </w:rPr>
        <w:lastRenderedPageBreak/>
        <w:t>Table S1:</w:t>
      </w:r>
      <w:r w:rsidR="00D84F14" w:rsidRPr="00FC7BEF">
        <w:rPr>
          <w:rFonts w:ascii="Times New Roman" w:hAnsi="Times New Roman" w:cs="Times New Roman"/>
          <w:b/>
          <w:sz w:val="24"/>
          <w:szCs w:val="24"/>
        </w:rPr>
        <w:t xml:space="preserve"> </w:t>
      </w:r>
      <w:r w:rsidR="00D84F14" w:rsidRPr="00FC7BEF">
        <w:rPr>
          <w:b/>
        </w:rPr>
        <w:t>Descriptive characteristic of clusters identified during the analysis, Houston, Texas</w:t>
      </w:r>
    </w:p>
    <w:tbl>
      <w:tblPr>
        <w:tblW w:w="12100" w:type="dxa"/>
        <w:tblInd w:w="93" w:type="dxa"/>
        <w:tblLayout w:type="fixed"/>
        <w:tblLook w:val="04A0" w:firstRow="1" w:lastRow="0" w:firstColumn="1" w:lastColumn="0" w:noHBand="0" w:noVBand="1"/>
      </w:tblPr>
      <w:tblGrid>
        <w:gridCol w:w="1946"/>
        <w:gridCol w:w="711"/>
        <w:gridCol w:w="819"/>
        <w:gridCol w:w="711"/>
        <w:gridCol w:w="711"/>
        <w:gridCol w:w="711"/>
        <w:gridCol w:w="711"/>
        <w:gridCol w:w="625"/>
        <w:gridCol w:w="632"/>
        <w:gridCol w:w="716"/>
        <w:gridCol w:w="711"/>
        <w:gridCol w:w="846"/>
        <w:gridCol w:w="810"/>
        <w:gridCol w:w="720"/>
        <w:gridCol w:w="720"/>
      </w:tblGrid>
      <w:tr w:rsidR="00D84F14" w:rsidRPr="00994995" w:rsidTr="00994995">
        <w:trPr>
          <w:trHeight w:val="600"/>
        </w:trPr>
        <w:tc>
          <w:tcPr>
            <w:tcW w:w="1946" w:type="dxa"/>
            <w:tcBorders>
              <w:top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p>
        </w:tc>
        <w:tc>
          <w:tcPr>
            <w:tcW w:w="7058" w:type="dxa"/>
            <w:gridSpan w:val="10"/>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Individual Covariates</w:t>
            </w:r>
          </w:p>
        </w:tc>
        <w:tc>
          <w:tcPr>
            <w:tcW w:w="3096" w:type="dxa"/>
            <w:gridSpan w:val="4"/>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Neighborhood Covariates</w:t>
            </w:r>
          </w:p>
        </w:tc>
      </w:tr>
      <w:tr w:rsidR="00D84F14" w:rsidRPr="00994995" w:rsidTr="00994995">
        <w:trPr>
          <w:trHeight w:val="600"/>
        </w:trPr>
        <w:tc>
          <w:tcPr>
            <w:tcW w:w="1946" w:type="dxa"/>
            <w:shd w:val="clear" w:color="auto" w:fill="auto"/>
            <w:vAlign w:val="center"/>
            <w:hideMark/>
          </w:tcPr>
          <w:p w:rsidR="00D84F14" w:rsidRPr="00994995" w:rsidRDefault="00D84F14" w:rsidP="00994995">
            <w:pPr>
              <w:spacing w:after="0" w:line="240" w:lineRule="auto"/>
              <w:jc w:val="center"/>
              <w:rPr>
                <w:rFonts w:ascii="Times New Roman" w:eastAsia="Times New Roman" w:hAnsi="Times New Roman" w:cs="Times New Roman"/>
                <w:b/>
                <w:color w:val="000000"/>
              </w:rPr>
            </w:pPr>
          </w:p>
        </w:tc>
        <w:tc>
          <w:tcPr>
            <w:tcW w:w="1530" w:type="dxa"/>
            <w:gridSpan w:val="2"/>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Average Age</w:t>
            </w:r>
          </w:p>
        </w:tc>
        <w:tc>
          <w:tcPr>
            <w:tcW w:w="1422" w:type="dxa"/>
            <w:gridSpan w:val="2"/>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Male</w:t>
            </w:r>
          </w:p>
        </w:tc>
        <w:tc>
          <w:tcPr>
            <w:tcW w:w="1422" w:type="dxa"/>
            <w:gridSpan w:val="2"/>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White</w:t>
            </w:r>
          </w:p>
        </w:tc>
        <w:tc>
          <w:tcPr>
            <w:tcW w:w="1257" w:type="dxa"/>
            <w:gridSpan w:val="2"/>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Black</w:t>
            </w:r>
          </w:p>
        </w:tc>
        <w:tc>
          <w:tcPr>
            <w:tcW w:w="1427" w:type="dxa"/>
            <w:gridSpan w:val="2"/>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Hispanic</w:t>
            </w:r>
          </w:p>
        </w:tc>
        <w:tc>
          <w:tcPr>
            <w:tcW w:w="1656" w:type="dxa"/>
            <w:gridSpan w:val="2"/>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Median HH Income</w:t>
            </w:r>
          </w:p>
        </w:tc>
        <w:tc>
          <w:tcPr>
            <w:tcW w:w="1440" w:type="dxa"/>
            <w:gridSpan w:val="2"/>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White</w:t>
            </w:r>
          </w:p>
        </w:tc>
      </w:tr>
      <w:tr w:rsidR="00D84F14" w:rsidRPr="00994995" w:rsidTr="00994995">
        <w:trPr>
          <w:trHeight w:val="300"/>
        </w:trPr>
        <w:tc>
          <w:tcPr>
            <w:tcW w:w="1946" w:type="dxa"/>
            <w:tcBorders>
              <w:bottom w:val="single" w:sz="4" w:space="0" w:color="auto"/>
            </w:tcBorders>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b/>
                <w:bCs/>
                <w:color w:val="000000"/>
              </w:rPr>
            </w:pPr>
          </w:p>
        </w:tc>
        <w:tc>
          <w:tcPr>
            <w:tcW w:w="711" w:type="dxa"/>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In</w:t>
            </w:r>
          </w:p>
        </w:tc>
        <w:tc>
          <w:tcPr>
            <w:tcW w:w="819" w:type="dxa"/>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Out</w:t>
            </w:r>
          </w:p>
        </w:tc>
        <w:tc>
          <w:tcPr>
            <w:tcW w:w="711" w:type="dxa"/>
            <w:tcBorders>
              <w:top w:val="single" w:sz="4" w:space="0" w:color="auto"/>
              <w:bottom w:val="single" w:sz="4" w:space="0" w:color="auto"/>
            </w:tcBorders>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In</w:t>
            </w:r>
          </w:p>
        </w:tc>
        <w:tc>
          <w:tcPr>
            <w:tcW w:w="711" w:type="dxa"/>
            <w:tcBorders>
              <w:top w:val="single" w:sz="4" w:space="0" w:color="auto"/>
              <w:bottom w:val="single" w:sz="4" w:space="0" w:color="auto"/>
            </w:tcBorders>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Out</w:t>
            </w:r>
          </w:p>
        </w:tc>
        <w:tc>
          <w:tcPr>
            <w:tcW w:w="711"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In</w:t>
            </w:r>
          </w:p>
        </w:tc>
        <w:tc>
          <w:tcPr>
            <w:tcW w:w="711" w:type="dxa"/>
            <w:tcBorders>
              <w:top w:val="single" w:sz="4" w:space="0" w:color="auto"/>
              <w:bottom w:val="single" w:sz="4" w:space="0" w:color="auto"/>
            </w:tcBorders>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Out</w:t>
            </w:r>
          </w:p>
        </w:tc>
        <w:tc>
          <w:tcPr>
            <w:tcW w:w="625"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In</w:t>
            </w:r>
          </w:p>
        </w:tc>
        <w:tc>
          <w:tcPr>
            <w:tcW w:w="632" w:type="dxa"/>
            <w:tcBorders>
              <w:top w:val="single" w:sz="4" w:space="0" w:color="auto"/>
              <w:bottom w:val="single" w:sz="4" w:space="0" w:color="auto"/>
            </w:tcBorders>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Out</w:t>
            </w:r>
          </w:p>
        </w:tc>
        <w:tc>
          <w:tcPr>
            <w:tcW w:w="716"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In</w:t>
            </w:r>
          </w:p>
        </w:tc>
        <w:tc>
          <w:tcPr>
            <w:tcW w:w="711"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Out</w:t>
            </w:r>
          </w:p>
        </w:tc>
        <w:tc>
          <w:tcPr>
            <w:tcW w:w="846"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In</w:t>
            </w:r>
          </w:p>
        </w:tc>
        <w:tc>
          <w:tcPr>
            <w:tcW w:w="810"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Out</w:t>
            </w:r>
          </w:p>
        </w:tc>
        <w:tc>
          <w:tcPr>
            <w:tcW w:w="720"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In</w:t>
            </w:r>
          </w:p>
        </w:tc>
        <w:tc>
          <w:tcPr>
            <w:tcW w:w="720"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Out</w:t>
            </w:r>
          </w:p>
        </w:tc>
      </w:tr>
      <w:tr w:rsidR="00D84F14" w:rsidRPr="00994995" w:rsidTr="00994995">
        <w:trPr>
          <w:trHeight w:val="300"/>
        </w:trPr>
        <w:tc>
          <w:tcPr>
            <w:tcW w:w="12100" w:type="dxa"/>
            <w:gridSpan w:val="15"/>
            <w:tcBorders>
              <w:top w:val="single" w:sz="4" w:space="0" w:color="auto"/>
            </w:tcBorders>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b/>
                <w:bCs/>
                <w:color w:val="000000"/>
              </w:rPr>
              <w:t>Map A: Unadjusted Analysis</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Primary Cluster</w:t>
            </w: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61.3</w:t>
            </w:r>
          </w:p>
        </w:tc>
        <w:tc>
          <w:tcPr>
            <w:tcW w:w="819"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60.5</w:t>
            </w: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59.5</w:t>
            </w: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62.3</w:t>
            </w: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17.2</w:t>
            </w: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40.3</w:t>
            </w:r>
          </w:p>
        </w:tc>
        <w:tc>
          <w:tcPr>
            <w:tcW w:w="625"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59.7</w:t>
            </w:r>
          </w:p>
        </w:tc>
        <w:tc>
          <w:tcPr>
            <w:tcW w:w="632"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39.9</w:t>
            </w:r>
          </w:p>
        </w:tc>
        <w:tc>
          <w:tcPr>
            <w:tcW w:w="71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22.1</w:t>
            </w: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15.2</w:t>
            </w:r>
          </w:p>
        </w:tc>
        <w:tc>
          <w:tcPr>
            <w:tcW w:w="84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27874</w:t>
            </w:r>
          </w:p>
        </w:tc>
        <w:tc>
          <w:tcPr>
            <w:tcW w:w="81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42430</w:t>
            </w: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35.7</w:t>
            </w: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47.2</w:t>
            </w:r>
          </w:p>
        </w:tc>
      </w:tr>
      <w:tr w:rsidR="00D84F14" w:rsidRPr="00994995" w:rsidTr="00994995">
        <w:trPr>
          <w:trHeight w:val="300"/>
        </w:trPr>
        <w:tc>
          <w:tcPr>
            <w:tcW w:w="1946"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Secondary Cluster</w:t>
            </w: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63.5</w:t>
            </w:r>
          </w:p>
        </w:tc>
        <w:tc>
          <w:tcPr>
            <w:tcW w:w="819"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60.5</w:t>
            </w: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60.0</w:t>
            </w: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61.2</w:t>
            </w: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24.0</w:t>
            </w: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32.7</w:t>
            </w:r>
          </w:p>
        </w:tc>
        <w:tc>
          <w:tcPr>
            <w:tcW w:w="625"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56.5</w:t>
            </w:r>
          </w:p>
        </w:tc>
        <w:tc>
          <w:tcPr>
            <w:tcW w:w="632"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45.7</w:t>
            </w:r>
          </w:p>
        </w:tc>
        <w:tc>
          <w:tcPr>
            <w:tcW w:w="71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18.5</w:t>
            </w: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17.6</w:t>
            </w:r>
          </w:p>
        </w:tc>
        <w:tc>
          <w:tcPr>
            <w:tcW w:w="84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28088</w:t>
            </w:r>
          </w:p>
        </w:tc>
        <w:tc>
          <w:tcPr>
            <w:tcW w:w="81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37638</w:t>
            </w: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37.3</w:t>
            </w: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41.6</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819"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625"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632"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84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81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r>
      <w:tr w:rsidR="00D84F14" w:rsidRPr="00994995" w:rsidTr="00994995">
        <w:trPr>
          <w:trHeight w:val="300"/>
        </w:trPr>
        <w:tc>
          <w:tcPr>
            <w:tcW w:w="12100" w:type="dxa"/>
            <w:gridSpan w:val="15"/>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b/>
                <w:bCs/>
                <w:color w:val="000000"/>
              </w:rPr>
              <w:t>Map B: Adjusted Analysis*</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Primary Cluster</w:t>
            </w:r>
          </w:p>
        </w:tc>
        <w:tc>
          <w:tcPr>
            <w:tcW w:w="711"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63.9</w:t>
            </w:r>
          </w:p>
        </w:tc>
        <w:tc>
          <w:tcPr>
            <w:tcW w:w="819"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60.4</w:t>
            </w:r>
          </w:p>
        </w:tc>
        <w:tc>
          <w:tcPr>
            <w:tcW w:w="711"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57.7</w:t>
            </w:r>
          </w:p>
        </w:tc>
        <w:tc>
          <w:tcPr>
            <w:tcW w:w="711"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61.4</w:t>
            </w:r>
          </w:p>
        </w:tc>
        <w:tc>
          <w:tcPr>
            <w:tcW w:w="711"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16.1</w:t>
            </w:r>
          </w:p>
        </w:tc>
        <w:tc>
          <w:tcPr>
            <w:tcW w:w="711"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33.5</w:t>
            </w:r>
          </w:p>
        </w:tc>
        <w:tc>
          <w:tcPr>
            <w:tcW w:w="625"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63.5</w:t>
            </w:r>
          </w:p>
        </w:tc>
        <w:tc>
          <w:tcPr>
            <w:tcW w:w="632"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45.0</w:t>
            </w:r>
          </w:p>
        </w:tc>
        <w:tc>
          <w:tcPr>
            <w:tcW w:w="716"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19.7</w:t>
            </w:r>
          </w:p>
        </w:tc>
        <w:tc>
          <w:tcPr>
            <w:tcW w:w="711"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17.5</w:t>
            </w:r>
          </w:p>
        </w:tc>
        <w:tc>
          <w:tcPr>
            <w:tcW w:w="846"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22806</w:t>
            </w:r>
          </w:p>
        </w:tc>
        <w:tc>
          <w:tcPr>
            <w:tcW w:w="810"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37970</w:t>
            </w:r>
          </w:p>
        </w:tc>
        <w:tc>
          <w:tcPr>
            <w:tcW w:w="720"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30.6</w:t>
            </w:r>
          </w:p>
        </w:tc>
        <w:tc>
          <w:tcPr>
            <w:tcW w:w="720"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41.8</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819"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625"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632"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84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81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r>
      <w:tr w:rsidR="00D84F14" w:rsidRPr="00994995" w:rsidTr="00994995">
        <w:trPr>
          <w:trHeight w:val="300"/>
        </w:trPr>
        <w:tc>
          <w:tcPr>
            <w:tcW w:w="12100" w:type="dxa"/>
            <w:gridSpan w:val="15"/>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b/>
                <w:bCs/>
                <w:color w:val="000000"/>
              </w:rPr>
              <w:t>Map C: Adjusted Analysis**</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Primary Cluster</w:t>
            </w:r>
          </w:p>
        </w:tc>
        <w:tc>
          <w:tcPr>
            <w:tcW w:w="711"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63.6</w:t>
            </w:r>
          </w:p>
        </w:tc>
        <w:tc>
          <w:tcPr>
            <w:tcW w:w="819"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60.4</w:t>
            </w:r>
          </w:p>
        </w:tc>
        <w:tc>
          <w:tcPr>
            <w:tcW w:w="711"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61.9</w:t>
            </w:r>
          </w:p>
        </w:tc>
        <w:tc>
          <w:tcPr>
            <w:tcW w:w="711"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61.2</w:t>
            </w:r>
          </w:p>
        </w:tc>
        <w:tc>
          <w:tcPr>
            <w:tcW w:w="711"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21.6</w:t>
            </w:r>
          </w:p>
        </w:tc>
        <w:tc>
          <w:tcPr>
            <w:tcW w:w="711"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33.2</w:t>
            </w:r>
          </w:p>
        </w:tc>
        <w:tc>
          <w:tcPr>
            <w:tcW w:w="625" w:type="dxa"/>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56.0</w:t>
            </w:r>
          </w:p>
        </w:tc>
        <w:tc>
          <w:tcPr>
            <w:tcW w:w="632"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45.4</w:t>
            </w:r>
          </w:p>
        </w:tc>
        <w:tc>
          <w:tcPr>
            <w:tcW w:w="716"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21.6</w:t>
            </w:r>
          </w:p>
        </w:tc>
        <w:tc>
          <w:tcPr>
            <w:tcW w:w="711"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17.4</w:t>
            </w:r>
          </w:p>
        </w:tc>
        <w:tc>
          <w:tcPr>
            <w:tcW w:w="846"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23176</w:t>
            </w:r>
          </w:p>
        </w:tc>
        <w:tc>
          <w:tcPr>
            <w:tcW w:w="810"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37928</w:t>
            </w:r>
          </w:p>
        </w:tc>
        <w:tc>
          <w:tcPr>
            <w:tcW w:w="720"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35.5</w:t>
            </w:r>
          </w:p>
        </w:tc>
        <w:tc>
          <w:tcPr>
            <w:tcW w:w="720" w:type="dxa"/>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41.5</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819"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625" w:type="dxa"/>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632"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846"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81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c>
          <w:tcPr>
            <w:tcW w:w="720" w:type="dxa"/>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p>
        </w:tc>
      </w:tr>
      <w:tr w:rsidR="00D84F14" w:rsidRPr="00994995" w:rsidTr="00994995">
        <w:trPr>
          <w:trHeight w:val="300"/>
        </w:trPr>
        <w:tc>
          <w:tcPr>
            <w:tcW w:w="12100" w:type="dxa"/>
            <w:gridSpan w:val="15"/>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b/>
                <w:bCs/>
                <w:color w:val="000000"/>
              </w:rPr>
              <w:t>Map D: Adjusted Analysis***</w:t>
            </w:r>
          </w:p>
        </w:tc>
      </w:tr>
      <w:tr w:rsidR="00D84F14" w:rsidRPr="00994995" w:rsidTr="00994995">
        <w:trPr>
          <w:trHeight w:val="300"/>
        </w:trPr>
        <w:tc>
          <w:tcPr>
            <w:tcW w:w="1946" w:type="dxa"/>
            <w:tcBorders>
              <w:bottom w:val="single" w:sz="4" w:space="0" w:color="auto"/>
            </w:tcBorders>
            <w:shd w:val="clear" w:color="auto" w:fill="auto"/>
            <w:noWrap/>
            <w:vAlign w:val="center"/>
            <w:hideMark/>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Primary Cluster</w:t>
            </w:r>
          </w:p>
        </w:tc>
        <w:tc>
          <w:tcPr>
            <w:tcW w:w="711" w:type="dxa"/>
            <w:tcBorders>
              <w:bottom w:val="single" w:sz="4" w:space="0" w:color="auto"/>
            </w:tcBorders>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63.9</w:t>
            </w:r>
          </w:p>
        </w:tc>
        <w:tc>
          <w:tcPr>
            <w:tcW w:w="819" w:type="dxa"/>
            <w:tcBorders>
              <w:bottom w:val="single" w:sz="4" w:space="0" w:color="auto"/>
            </w:tcBorders>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60.4</w:t>
            </w:r>
          </w:p>
        </w:tc>
        <w:tc>
          <w:tcPr>
            <w:tcW w:w="711" w:type="dxa"/>
            <w:tcBorders>
              <w:bottom w:val="single" w:sz="4" w:space="0" w:color="auto"/>
            </w:tcBorders>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57.7</w:t>
            </w:r>
          </w:p>
        </w:tc>
        <w:tc>
          <w:tcPr>
            <w:tcW w:w="711" w:type="dxa"/>
            <w:tcBorders>
              <w:bottom w:val="single" w:sz="4" w:space="0" w:color="auto"/>
            </w:tcBorders>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61.4</w:t>
            </w:r>
          </w:p>
        </w:tc>
        <w:tc>
          <w:tcPr>
            <w:tcW w:w="711" w:type="dxa"/>
            <w:tcBorders>
              <w:bottom w:val="single" w:sz="4" w:space="0" w:color="auto"/>
            </w:tcBorders>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16.1</w:t>
            </w:r>
          </w:p>
        </w:tc>
        <w:tc>
          <w:tcPr>
            <w:tcW w:w="711" w:type="dxa"/>
            <w:tcBorders>
              <w:bottom w:val="single" w:sz="4" w:space="0" w:color="auto"/>
            </w:tcBorders>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33.5</w:t>
            </w:r>
          </w:p>
        </w:tc>
        <w:tc>
          <w:tcPr>
            <w:tcW w:w="625" w:type="dxa"/>
            <w:tcBorders>
              <w:bottom w:val="single" w:sz="4" w:space="0" w:color="auto"/>
            </w:tcBorders>
            <w:shd w:val="clear" w:color="auto" w:fill="auto"/>
            <w:noWrap/>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63.5</w:t>
            </w:r>
          </w:p>
        </w:tc>
        <w:tc>
          <w:tcPr>
            <w:tcW w:w="632" w:type="dxa"/>
            <w:tcBorders>
              <w:bottom w:val="single" w:sz="4" w:space="0" w:color="auto"/>
            </w:tcBorders>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45.0</w:t>
            </w:r>
          </w:p>
        </w:tc>
        <w:tc>
          <w:tcPr>
            <w:tcW w:w="716" w:type="dxa"/>
            <w:tcBorders>
              <w:bottom w:val="single" w:sz="4" w:space="0" w:color="auto"/>
            </w:tcBorders>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19.7</w:t>
            </w:r>
          </w:p>
        </w:tc>
        <w:tc>
          <w:tcPr>
            <w:tcW w:w="711" w:type="dxa"/>
            <w:tcBorders>
              <w:bottom w:val="single" w:sz="4" w:space="0" w:color="auto"/>
            </w:tcBorders>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17.5</w:t>
            </w:r>
          </w:p>
        </w:tc>
        <w:tc>
          <w:tcPr>
            <w:tcW w:w="846" w:type="dxa"/>
            <w:tcBorders>
              <w:bottom w:val="single" w:sz="4" w:space="0" w:color="auto"/>
            </w:tcBorders>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22806</w:t>
            </w:r>
          </w:p>
        </w:tc>
        <w:tc>
          <w:tcPr>
            <w:tcW w:w="810" w:type="dxa"/>
            <w:tcBorders>
              <w:bottom w:val="single" w:sz="4" w:space="0" w:color="auto"/>
            </w:tcBorders>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37970</w:t>
            </w:r>
          </w:p>
        </w:tc>
        <w:tc>
          <w:tcPr>
            <w:tcW w:w="720" w:type="dxa"/>
            <w:tcBorders>
              <w:bottom w:val="single" w:sz="4" w:space="0" w:color="auto"/>
            </w:tcBorders>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30.6</w:t>
            </w:r>
          </w:p>
        </w:tc>
        <w:tc>
          <w:tcPr>
            <w:tcW w:w="720" w:type="dxa"/>
            <w:tcBorders>
              <w:bottom w:val="single" w:sz="4" w:space="0" w:color="auto"/>
            </w:tcBorders>
            <w:vAlign w:val="center"/>
          </w:tcPr>
          <w:p w:rsidR="00D84F14" w:rsidRPr="00994995" w:rsidRDefault="00D84F14" w:rsidP="00994995">
            <w:pPr>
              <w:spacing w:line="240" w:lineRule="auto"/>
              <w:jc w:val="center"/>
              <w:rPr>
                <w:rFonts w:ascii="Times New Roman" w:hAnsi="Times New Roman" w:cs="Times New Roman"/>
                <w:color w:val="000000"/>
              </w:rPr>
            </w:pPr>
            <w:r w:rsidRPr="00994995">
              <w:rPr>
                <w:rFonts w:ascii="Times New Roman" w:hAnsi="Times New Roman" w:cs="Times New Roman"/>
                <w:color w:val="000000"/>
              </w:rPr>
              <w:t>41.8</w:t>
            </w:r>
          </w:p>
        </w:tc>
      </w:tr>
    </w:tbl>
    <w:p w:rsidR="00D84F14" w:rsidRDefault="00D84F14" w:rsidP="00D84F14">
      <w:r>
        <w:t xml:space="preserve">Notes: The “in” column provides summary statistics for all census block groups that were identified within the cluster; the “out” column provides summary statistics for all </w:t>
      </w:r>
      <w:proofErr w:type="gramStart"/>
      <w:r>
        <w:t>census</w:t>
      </w:r>
      <w:proofErr w:type="gramEnd"/>
      <w:r>
        <w:t xml:space="preserve"> block groups not identified within the cluster.  </w:t>
      </w:r>
    </w:p>
    <w:p w:rsidR="00FC7BEF" w:rsidRDefault="00FC7BEF">
      <w:r>
        <w:br w:type="page"/>
      </w:r>
    </w:p>
    <w:p w:rsidR="00D84F14" w:rsidRPr="00FC7BEF" w:rsidRDefault="00FC7BEF" w:rsidP="00D84F14">
      <w:pPr>
        <w:rPr>
          <w:b/>
        </w:rPr>
      </w:pPr>
      <w:r w:rsidRPr="00FC7BEF">
        <w:rPr>
          <w:b/>
        </w:rPr>
        <w:lastRenderedPageBreak/>
        <w:t xml:space="preserve">Table S2: </w:t>
      </w:r>
      <w:r w:rsidR="00D84F14" w:rsidRPr="00FC7BEF">
        <w:rPr>
          <w:b/>
        </w:rPr>
        <w:t>Descriptive characteristic of clusters identified during the analysis, Austin-Travis County, Texas.</w:t>
      </w:r>
    </w:p>
    <w:tbl>
      <w:tblPr>
        <w:tblW w:w="11967" w:type="dxa"/>
        <w:tblInd w:w="93" w:type="dxa"/>
        <w:tblLook w:val="04A0" w:firstRow="1" w:lastRow="0" w:firstColumn="1" w:lastColumn="0" w:noHBand="0" w:noVBand="1"/>
      </w:tblPr>
      <w:tblGrid>
        <w:gridCol w:w="1946"/>
        <w:gridCol w:w="711"/>
        <w:gridCol w:w="819"/>
        <w:gridCol w:w="711"/>
        <w:gridCol w:w="711"/>
        <w:gridCol w:w="711"/>
        <w:gridCol w:w="711"/>
        <w:gridCol w:w="601"/>
        <w:gridCol w:w="656"/>
        <w:gridCol w:w="601"/>
        <w:gridCol w:w="711"/>
        <w:gridCol w:w="876"/>
        <w:gridCol w:w="780"/>
        <w:gridCol w:w="711"/>
        <w:gridCol w:w="711"/>
      </w:tblGrid>
      <w:tr w:rsidR="00D84F14" w:rsidRPr="00994995" w:rsidTr="00994995">
        <w:trPr>
          <w:trHeight w:val="600"/>
        </w:trPr>
        <w:tc>
          <w:tcPr>
            <w:tcW w:w="1946" w:type="dxa"/>
            <w:tcBorders>
              <w:top w:val="single" w:sz="4" w:space="0" w:color="auto"/>
            </w:tcBorders>
            <w:shd w:val="clear" w:color="auto" w:fill="auto"/>
            <w:vAlign w:val="center"/>
          </w:tcPr>
          <w:p w:rsidR="00D84F14" w:rsidRPr="00994995" w:rsidRDefault="00D84F14" w:rsidP="00994995">
            <w:pPr>
              <w:spacing w:after="0" w:line="240" w:lineRule="auto"/>
              <w:rPr>
                <w:rFonts w:ascii="Times New Roman" w:eastAsia="Times New Roman" w:hAnsi="Times New Roman" w:cs="Times New Roman"/>
                <w:b/>
                <w:color w:val="000000"/>
              </w:rPr>
            </w:pPr>
          </w:p>
        </w:tc>
        <w:tc>
          <w:tcPr>
            <w:tcW w:w="6943" w:type="dxa"/>
            <w:gridSpan w:val="10"/>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Individual Covariates</w:t>
            </w:r>
          </w:p>
        </w:tc>
        <w:tc>
          <w:tcPr>
            <w:tcW w:w="3078" w:type="dxa"/>
            <w:gridSpan w:val="4"/>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Neighborhood Covariates</w:t>
            </w:r>
          </w:p>
        </w:tc>
      </w:tr>
      <w:tr w:rsidR="00D84F14" w:rsidRPr="00994995" w:rsidTr="00994995">
        <w:trPr>
          <w:trHeight w:val="600"/>
        </w:trPr>
        <w:tc>
          <w:tcPr>
            <w:tcW w:w="1946" w:type="dxa"/>
            <w:shd w:val="clear" w:color="auto" w:fill="auto"/>
            <w:vAlign w:val="center"/>
            <w:hideMark/>
          </w:tcPr>
          <w:p w:rsidR="00D84F14" w:rsidRPr="00994995" w:rsidRDefault="00D84F14" w:rsidP="00994995">
            <w:pPr>
              <w:spacing w:after="0" w:line="240" w:lineRule="auto"/>
              <w:rPr>
                <w:rFonts w:ascii="Times New Roman" w:eastAsia="Times New Roman" w:hAnsi="Times New Roman" w:cs="Times New Roman"/>
                <w:b/>
                <w:color w:val="000000"/>
              </w:rPr>
            </w:pPr>
          </w:p>
        </w:tc>
        <w:tc>
          <w:tcPr>
            <w:tcW w:w="1530" w:type="dxa"/>
            <w:gridSpan w:val="2"/>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Average Age</w:t>
            </w:r>
          </w:p>
        </w:tc>
        <w:tc>
          <w:tcPr>
            <w:tcW w:w="1422" w:type="dxa"/>
            <w:gridSpan w:val="2"/>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Male</w:t>
            </w:r>
          </w:p>
        </w:tc>
        <w:tc>
          <w:tcPr>
            <w:tcW w:w="1422" w:type="dxa"/>
            <w:gridSpan w:val="2"/>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White</w:t>
            </w:r>
          </w:p>
        </w:tc>
        <w:tc>
          <w:tcPr>
            <w:tcW w:w="1257" w:type="dxa"/>
            <w:gridSpan w:val="2"/>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Black</w:t>
            </w:r>
          </w:p>
        </w:tc>
        <w:tc>
          <w:tcPr>
            <w:tcW w:w="1312" w:type="dxa"/>
            <w:gridSpan w:val="2"/>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Hispanic</w:t>
            </w:r>
          </w:p>
        </w:tc>
        <w:tc>
          <w:tcPr>
            <w:tcW w:w="1656" w:type="dxa"/>
            <w:gridSpan w:val="2"/>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Median HH Income</w:t>
            </w:r>
          </w:p>
        </w:tc>
        <w:tc>
          <w:tcPr>
            <w:tcW w:w="1422" w:type="dxa"/>
            <w:gridSpan w:val="2"/>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b/>
                <w:color w:val="000000"/>
              </w:rPr>
            </w:pPr>
            <w:r w:rsidRPr="00994995">
              <w:rPr>
                <w:rFonts w:ascii="Times New Roman" w:eastAsia="Times New Roman" w:hAnsi="Times New Roman" w:cs="Times New Roman"/>
                <w:b/>
                <w:color w:val="000000"/>
              </w:rPr>
              <w:t>% White</w:t>
            </w:r>
          </w:p>
        </w:tc>
      </w:tr>
      <w:tr w:rsidR="00D84F14" w:rsidRPr="00994995" w:rsidTr="00994995">
        <w:trPr>
          <w:trHeight w:val="300"/>
        </w:trPr>
        <w:tc>
          <w:tcPr>
            <w:tcW w:w="1946" w:type="dxa"/>
            <w:tcBorders>
              <w:bottom w:val="single" w:sz="4" w:space="0" w:color="auto"/>
            </w:tcBorders>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b/>
                <w:bCs/>
                <w:color w:val="000000"/>
              </w:rPr>
            </w:pPr>
          </w:p>
        </w:tc>
        <w:tc>
          <w:tcPr>
            <w:tcW w:w="711" w:type="dxa"/>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In</w:t>
            </w:r>
          </w:p>
        </w:tc>
        <w:tc>
          <w:tcPr>
            <w:tcW w:w="819" w:type="dxa"/>
            <w:tcBorders>
              <w:top w:val="single" w:sz="4" w:space="0" w:color="auto"/>
              <w:bottom w:val="single" w:sz="4" w:space="0" w:color="auto"/>
            </w:tcBorders>
            <w:shd w:val="clear" w:color="auto" w:fill="auto"/>
            <w:vAlign w:val="center"/>
          </w:tcPr>
          <w:p w:rsidR="00D84F14" w:rsidRPr="00994995" w:rsidRDefault="00D84F14" w:rsidP="00994995">
            <w:pPr>
              <w:spacing w:after="0" w:line="240" w:lineRule="auto"/>
              <w:jc w:val="center"/>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Out</w:t>
            </w:r>
          </w:p>
        </w:tc>
        <w:tc>
          <w:tcPr>
            <w:tcW w:w="711" w:type="dxa"/>
            <w:tcBorders>
              <w:top w:val="single" w:sz="4" w:space="0" w:color="auto"/>
              <w:bottom w:val="single" w:sz="4" w:space="0" w:color="auto"/>
            </w:tcBorders>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In</w:t>
            </w:r>
          </w:p>
        </w:tc>
        <w:tc>
          <w:tcPr>
            <w:tcW w:w="711" w:type="dxa"/>
            <w:tcBorders>
              <w:top w:val="single" w:sz="4" w:space="0" w:color="auto"/>
              <w:bottom w:val="single" w:sz="4" w:space="0" w:color="auto"/>
            </w:tcBorders>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Out</w:t>
            </w:r>
          </w:p>
        </w:tc>
        <w:tc>
          <w:tcPr>
            <w:tcW w:w="711"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In</w:t>
            </w:r>
          </w:p>
        </w:tc>
        <w:tc>
          <w:tcPr>
            <w:tcW w:w="711" w:type="dxa"/>
            <w:tcBorders>
              <w:top w:val="single" w:sz="4" w:space="0" w:color="auto"/>
              <w:bottom w:val="single" w:sz="4" w:space="0" w:color="auto"/>
            </w:tcBorders>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Out</w:t>
            </w:r>
          </w:p>
        </w:tc>
        <w:tc>
          <w:tcPr>
            <w:tcW w:w="601"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In</w:t>
            </w:r>
          </w:p>
        </w:tc>
        <w:tc>
          <w:tcPr>
            <w:tcW w:w="656" w:type="dxa"/>
            <w:tcBorders>
              <w:top w:val="single" w:sz="4" w:space="0" w:color="auto"/>
              <w:bottom w:val="single" w:sz="4" w:space="0" w:color="auto"/>
            </w:tcBorders>
            <w:shd w:val="clear" w:color="auto" w:fill="auto"/>
            <w:noWrap/>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Out</w:t>
            </w:r>
          </w:p>
        </w:tc>
        <w:tc>
          <w:tcPr>
            <w:tcW w:w="601"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In</w:t>
            </w:r>
          </w:p>
        </w:tc>
        <w:tc>
          <w:tcPr>
            <w:tcW w:w="711"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Out</w:t>
            </w:r>
          </w:p>
        </w:tc>
        <w:tc>
          <w:tcPr>
            <w:tcW w:w="876"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In</w:t>
            </w:r>
          </w:p>
        </w:tc>
        <w:tc>
          <w:tcPr>
            <w:tcW w:w="780"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Out</w:t>
            </w:r>
          </w:p>
        </w:tc>
        <w:tc>
          <w:tcPr>
            <w:tcW w:w="711"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In</w:t>
            </w:r>
          </w:p>
        </w:tc>
        <w:tc>
          <w:tcPr>
            <w:tcW w:w="711" w:type="dxa"/>
            <w:tcBorders>
              <w:top w:val="single" w:sz="4" w:space="0" w:color="auto"/>
              <w:bottom w:val="single" w:sz="4" w:space="0" w:color="auto"/>
            </w:tcBorders>
            <w:vAlign w:val="center"/>
          </w:tcPr>
          <w:p w:rsidR="00D84F14" w:rsidRPr="00994995" w:rsidRDefault="00D84F14" w:rsidP="00994995">
            <w:pPr>
              <w:spacing w:after="0" w:line="240" w:lineRule="auto"/>
              <w:jc w:val="center"/>
              <w:rPr>
                <w:rFonts w:ascii="Times New Roman" w:eastAsia="Times New Roman" w:hAnsi="Times New Roman" w:cs="Times New Roman"/>
                <w:color w:val="000000"/>
              </w:rPr>
            </w:pPr>
            <w:r w:rsidRPr="00994995">
              <w:rPr>
                <w:rFonts w:ascii="Times New Roman" w:eastAsia="Times New Roman" w:hAnsi="Times New Roman" w:cs="Times New Roman"/>
                <w:color w:val="000000"/>
              </w:rPr>
              <w:t>Out</w:t>
            </w:r>
          </w:p>
        </w:tc>
      </w:tr>
      <w:tr w:rsidR="00D84F14" w:rsidRPr="00994995" w:rsidTr="00994995">
        <w:trPr>
          <w:trHeight w:val="300"/>
        </w:trPr>
        <w:tc>
          <w:tcPr>
            <w:tcW w:w="11967" w:type="dxa"/>
            <w:gridSpan w:val="15"/>
            <w:tcBorders>
              <w:top w:val="single" w:sz="4" w:space="0" w:color="auto"/>
            </w:tcBorders>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b/>
                <w:bCs/>
                <w:color w:val="000000"/>
              </w:rPr>
              <w:t>Map A: Unadjusted Analysis</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Primary Cluster</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60.9</w:t>
            </w:r>
          </w:p>
        </w:tc>
        <w:tc>
          <w:tcPr>
            <w:tcW w:w="819"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61.8</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70.0</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65.7</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31.6</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21.0</w:t>
            </w:r>
          </w:p>
        </w:tc>
        <w:tc>
          <w:tcPr>
            <w:tcW w:w="60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2.5</w:t>
            </w:r>
          </w:p>
        </w:tc>
        <w:tc>
          <w:tcPr>
            <w:tcW w:w="65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7.3</w:t>
            </w:r>
          </w:p>
        </w:tc>
        <w:tc>
          <w:tcPr>
            <w:tcW w:w="60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5.8</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16.3</w:t>
            </w:r>
          </w:p>
        </w:tc>
        <w:tc>
          <w:tcPr>
            <w:tcW w:w="87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85520</w:t>
            </w:r>
          </w:p>
        </w:tc>
        <w:tc>
          <w:tcPr>
            <w:tcW w:w="780"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47438</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90.4</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62.9</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p>
        </w:tc>
        <w:tc>
          <w:tcPr>
            <w:tcW w:w="819"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p>
        </w:tc>
        <w:tc>
          <w:tcPr>
            <w:tcW w:w="601"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p>
        </w:tc>
        <w:tc>
          <w:tcPr>
            <w:tcW w:w="65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60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87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80"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r>
      <w:tr w:rsidR="00D84F14" w:rsidRPr="00994995" w:rsidTr="00994995">
        <w:trPr>
          <w:trHeight w:val="300"/>
        </w:trPr>
        <w:tc>
          <w:tcPr>
            <w:tcW w:w="11967" w:type="dxa"/>
            <w:gridSpan w:val="15"/>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b/>
                <w:bCs/>
                <w:color w:val="000000"/>
              </w:rPr>
              <w:t>Map B: Adjusted Analysis*</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Primary Cluster</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60.9</w:t>
            </w:r>
          </w:p>
        </w:tc>
        <w:tc>
          <w:tcPr>
            <w:tcW w:w="819"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bCs/>
                <w:color w:val="000000"/>
              </w:rPr>
            </w:pPr>
            <w:r w:rsidRPr="00994995">
              <w:rPr>
                <w:rFonts w:ascii="Times New Roman" w:eastAsia="Times New Roman" w:hAnsi="Times New Roman" w:cs="Times New Roman"/>
                <w:bCs/>
                <w:color w:val="000000"/>
              </w:rPr>
              <w:t>61.8</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70.0</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65.7</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31.6</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21.0</w:t>
            </w:r>
          </w:p>
        </w:tc>
        <w:tc>
          <w:tcPr>
            <w:tcW w:w="60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2.5</w:t>
            </w:r>
          </w:p>
        </w:tc>
        <w:tc>
          <w:tcPr>
            <w:tcW w:w="65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7.3</w:t>
            </w:r>
          </w:p>
        </w:tc>
        <w:tc>
          <w:tcPr>
            <w:tcW w:w="60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5.8</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16.3</w:t>
            </w:r>
          </w:p>
        </w:tc>
        <w:tc>
          <w:tcPr>
            <w:tcW w:w="87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85520</w:t>
            </w:r>
          </w:p>
        </w:tc>
        <w:tc>
          <w:tcPr>
            <w:tcW w:w="780"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47438</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90.4</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62.9</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819"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60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65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60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87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80"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r>
      <w:tr w:rsidR="00D84F14" w:rsidRPr="00994995" w:rsidTr="00994995">
        <w:trPr>
          <w:trHeight w:val="300"/>
        </w:trPr>
        <w:tc>
          <w:tcPr>
            <w:tcW w:w="11967" w:type="dxa"/>
            <w:gridSpan w:val="15"/>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b/>
                <w:bCs/>
                <w:color w:val="000000"/>
              </w:rPr>
              <w:t>Map C: Adjusted Analysis**</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Primary Cluster</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819"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60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65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60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87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80"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r>
      <w:tr w:rsidR="00D84F14" w:rsidRPr="00994995" w:rsidTr="00994995">
        <w:trPr>
          <w:trHeight w:val="300"/>
        </w:trPr>
        <w:tc>
          <w:tcPr>
            <w:tcW w:w="1946" w:type="dxa"/>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819"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601" w:type="dxa"/>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65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60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876"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80"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c>
          <w:tcPr>
            <w:tcW w:w="711" w:type="dxa"/>
            <w:vAlign w:val="center"/>
          </w:tcPr>
          <w:p w:rsidR="00D84F14" w:rsidRPr="00994995" w:rsidRDefault="00D84F14" w:rsidP="00994995">
            <w:pPr>
              <w:spacing w:after="0" w:line="240" w:lineRule="auto"/>
              <w:rPr>
                <w:rFonts w:ascii="Times New Roman" w:eastAsia="Times New Roman" w:hAnsi="Times New Roman" w:cs="Times New Roman"/>
                <w:color w:val="000000"/>
              </w:rPr>
            </w:pPr>
          </w:p>
        </w:tc>
      </w:tr>
      <w:tr w:rsidR="00D84F14" w:rsidRPr="00994995" w:rsidTr="00994995">
        <w:trPr>
          <w:trHeight w:val="300"/>
        </w:trPr>
        <w:tc>
          <w:tcPr>
            <w:tcW w:w="11967" w:type="dxa"/>
            <w:gridSpan w:val="15"/>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b/>
                <w:bCs/>
                <w:color w:val="000000"/>
              </w:rPr>
              <w:t>Map D: Adjusted Analysis***</w:t>
            </w:r>
          </w:p>
        </w:tc>
      </w:tr>
      <w:tr w:rsidR="00D84F14" w:rsidRPr="00994995" w:rsidTr="00994995">
        <w:trPr>
          <w:trHeight w:val="300"/>
        </w:trPr>
        <w:tc>
          <w:tcPr>
            <w:tcW w:w="1946" w:type="dxa"/>
            <w:tcBorders>
              <w:bottom w:val="single" w:sz="4" w:space="0" w:color="auto"/>
            </w:tcBorders>
            <w:shd w:val="clear" w:color="auto" w:fill="auto"/>
            <w:noWrap/>
            <w:vAlign w:val="center"/>
            <w:hideMark/>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Primary Cluster</w:t>
            </w:r>
          </w:p>
        </w:tc>
        <w:tc>
          <w:tcPr>
            <w:tcW w:w="711" w:type="dxa"/>
            <w:tcBorders>
              <w:bottom w:val="single" w:sz="4" w:space="0" w:color="auto"/>
            </w:tcBorders>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819" w:type="dxa"/>
            <w:tcBorders>
              <w:bottom w:val="single" w:sz="4" w:space="0" w:color="auto"/>
            </w:tcBorders>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tcBorders>
              <w:bottom w:val="single" w:sz="4" w:space="0" w:color="auto"/>
            </w:tcBorders>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tcBorders>
              <w:bottom w:val="single" w:sz="4" w:space="0" w:color="auto"/>
            </w:tcBorders>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tcBorders>
              <w:bottom w:val="single" w:sz="4" w:space="0" w:color="auto"/>
            </w:tcBorders>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tcBorders>
              <w:bottom w:val="single" w:sz="4" w:space="0" w:color="auto"/>
            </w:tcBorders>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601" w:type="dxa"/>
            <w:tcBorders>
              <w:bottom w:val="single" w:sz="4" w:space="0" w:color="auto"/>
            </w:tcBorders>
            <w:shd w:val="clear" w:color="auto" w:fill="auto"/>
            <w:noWrap/>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656" w:type="dxa"/>
            <w:tcBorders>
              <w:bottom w:val="single" w:sz="4" w:space="0" w:color="auto"/>
            </w:tcBorders>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601" w:type="dxa"/>
            <w:tcBorders>
              <w:bottom w:val="single" w:sz="4" w:space="0" w:color="auto"/>
            </w:tcBorders>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tcBorders>
              <w:bottom w:val="single" w:sz="4" w:space="0" w:color="auto"/>
            </w:tcBorders>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876" w:type="dxa"/>
            <w:tcBorders>
              <w:bottom w:val="single" w:sz="4" w:space="0" w:color="auto"/>
            </w:tcBorders>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80" w:type="dxa"/>
            <w:tcBorders>
              <w:bottom w:val="single" w:sz="4" w:space="0" w:color="auto"/>
            </w:tcBorders>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tcBorders>
              <w:bottom w:val="single" w:sz="4" w:space="0" w:color="auto"/>
            </w:tcBorders>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c>
          <w:tcPr>
            <w:tcW w:w="711" w:type="dxa"/>
            <w:tcBorders>
              <w:bottom w:val="single" w:sz="4" w:space="0" w:color="auto"/>
            </w:tcBorders>
            <w:vAlign w:val="center"/>
          </w:tcPr>
          <w:p w:rsidR="00D84F14" w:rsidRPr="00994995" w:rsidRDefault="00D84F14" w:rsidP="00994995">
            <w:pPr>
              <w:spacing w:after="0" w:line="240" w:lineRule="auto"/>
              <w:rPr>
                <w:rFonts w:ascii="Times New Roman" w:eastAsia="Times New Roman" w:hAnsi="Times New Roman" w:cs="Times New Roman"/>
                <w:color w:val="000000"/>
              </w:rPr>
            </w:pPr>
            <w:r w:rsidRPr="00994995">
              <w:rPr>
                <w:rFonts w:ascii="Times New Roman" w:eastAsia="Times New Roman" w:hAnsi="Times New Roman" w:cs="Times New Roman"/>
                <w:color w:val="000000"/>
              </w:rPr>
              <w:t>-</w:t>
            </w:r>
          </w:p>
        </w:tc>
      </w:tr>
    </w:tbl>
    <w:p w:rsidR="00D84F14" w:rsidRDefault="00D84F14" w:rsidP="00D84F14">
      <w:r>
        <w:t xml:space="preserve">Notes: The “in” column provides summary statistics for all census block groups that were identified within the cluster; the “out” column provides summary statistics for all </w:t>
      </w:r>
      <w:proofErr w:type="gramStart"/>
      <w:r>
        <w:t>census</w:t>
      </w:r>
      <w:proofErr w:type="gramEnd"/>
      <w:r>
        <w:t xml:space="preserve"> block groups not identified within the cluster.  For Map C and D, there were not enough data points in the cluster (only one census block) to calculate characteristics.</w:t>
      </w:r>
    </w:p>
    <w:p w:rsidR="00994995" w:rsidRDefault="00994995">
      <w:pPr>
        <w:rPr>
          <w:rFonts w:ascii="Times New Roman" w:hAnsi="Times New Roman" w:cs="Times New Roman"/>
          <w:sz w:val="24"/>
          <w:szCs w:val="24"/>
        </w:rPr>
      </w:pPr>
      <w:r>
        <w:rPr>
          <w:rFonts w:ascii="Times New Roman" w:hAnsi="Times New Roman" w:cs="Times New Roman"/>
          <w:sz w:val="24"/>
          <w:szCs w:val="24"/>
        </w:rPr>
        <w:br w:type="page"/>
      </w:r>
    </w:p>
    <w:p w:rsidR="00D84F14" w:rsidRPr="00994995" w:rsidRDefault="00994995" w:rsidP="008B698A">
      <w:pPr>
        <w:spacing w:after="0" w:line="240" w:lineRule="auto"/>
        <w:rPr>
          <w:rFonts w:ascii="Times New Roman" w:hAnsi="Times New Roman" w:cs="Times New Roman"/>
          <w:b/>
          <w:sz w:val="24"/>
          <w:szCs w:val="24"/>
        </w:rPr>
      </w:pPr>
      <w:r w:rsidRPr="00994995">
        <w:rPr>
          <w:rFonts w:ascii="Times New Roman" w:hAnsi="Times New Roman" w:cs="Times New Roman"/>
          <w:b/>
          <w:sz w:val="24"/>
          <w:szCs w:val="24"/>
        </w:rPr>
        <w:lastRenderedPageBreak/>
        <w:t xml:space="preserve">Figure S1: </w:t>
      </w:r>
      <w:r w:rsidRPr="00994995">
        <w:rPr>
          <w:rFonts w:ascii="Times New Roman" w:hAnsi="Times New Roman" w:cs="Times New Roman"/>
          <w:b/>
          <w:sz w:val="24"/>
        </w:rPr>
        <w:t>Distribution of select neighborhood characteristics by census block group.</w:t>
      </w:r>
    </w:p>
    <w:p w:rsidR="008B698A" w:rsidRPr="00FC21B6" w:rsidRDefault="00994995" w:rsidP="008B698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125419" cy="57208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h_Locator.tif"/>
                    <pic:cNvPicPr/>
                  </pic:nvPicPr>
                  <pic:blipFill rotWithShape="1">
                    <a:blip r:embed="rId8" cstate="print">
                      <a:extLst>
                        <a:ext uri="{28A0092B-C50C-407E-A947-70E740481C1C}">
                          <a14:useLocalDpi xmlns:a14="http://schemas.microsoft.com/office/drawing/2010/main" val="0"/>
                        </a:ext>
                      </a:extLst>
                    </a:blip>
                    <a:srcRect l="2132" t="1743" r="4421" b="1163"/>
                    <a:stretch/>
                  </pic:blipFill>
                  <pic:spPr bwMode="auto">
                    <a:xfrm>
                      <a:off x="0" y="0"/>
                      <a:ext cx="7139198" cy="5731952"/>
                    </a:xfrm>
                    <a:prstGeom prst="rect">
                      <a:avLst/>
                    </a:prstGeom>
                    <a:ln>
                      <a:noFill/>
                    </a:ln>
                    <a:extLst>
                      <a:ext uri="{53640926-AAD7-44D8-BBD7-CCE9431645EC}">
                        <a14:shadowObscured xmlns:a14="http://schemas.microsoft.com/office/drawing/2010/main"/>
                      </a:ext>
                    </a:extLst>
                  </pic:spPr>
                </pic:pic>
              </a:graphicData>
            </a:graphic>
          </wp:inline>
        </w:drawing>
      </w:r>
    </w:p>
    <w:sectPr w:rsidR="008B698A" w:rsidRPr="00FC21B6" w:rsidSect="00D84F14">
      <w:pgSz w:w="15840" w:h="12240" w:orient="landscape"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GNJJG+TimesNewRoman,Bold">
    <w:altName w:val="Times New Roman"/>
    <w:panose1 w:val="00000000000000000000"/>
    <w:charset w:val="00"/>
    <w:family w:val="roman"/>
    <w:notTrueType/>
    <w:pitch w:val="default"/>
    <w:sig w:usb0="00000003" w:usb1="00000000" w:usb2="00000000" w:usb3="00000000" w:csb0="00000001" w:csb1="00000000"/>
  </w:font>
  <w:font w:name="GGNJIK+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8027BC"/>
    <w:multiLevelType w:val="hybridMultilevel"/>
    <w:tmpl w:val="18C45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J Infectious Diseases&lt;/Style&gt;&lt;LeftDelim&gt;{&lt;/LeftDelim&gt;&lt;RightDelim&gt;}&lt;/RightDelim&gt;&lt;FontName&gt;Calibri&lt;/FontName&gt;&lt;FontSize&gt;11&lt;/FontSize&gt;&lt;ReflistTitle&gt;Literature Cited&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B698A"/>
    <w:rsid w:val="000637EA"/>
    <w:rsid w:val="001353F9"/>
    <w:rsid w:val="0017482E"/>
    <w:rsid w:val="003B6C35"/>
    <w:rsid w:val="00523088"/>
    <w:rsid w:val="00595914"/>
    <w:rsid w:val="00613A36"/>
    <w:rsid w:val="006915EF"/>
    <w:rsid w:val="00770A01"/>
    <w:rsid w:val="00823370"/>
    <w:rsid w:val="008613EC"/>
    <w:rsid w:val="00862526"/>
    <w:rsid w:val="008B698A"/>
    <w:rsid w:val="008F19FD"/>
    <w:rsid w:val="00994995"/>
    <w:rsid w:val="009E6F22"/>
    <w:rsid w:val="009F0D61"/>
    <w:rsid w:val="00A80C47"/>
    <w:rsid w:val="00C22D03"/>
    <w:rsid w:val="00D84F14"/>
    <w:rsid w:val="00F4165D"/>
    <w:rsid w:val="00FC21B6"/>
    <w:rsid w:val="00FC7BEF"/>
    <w:rsid w:val="00FD2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B698A"/>
  </w:style>
  <w:style w:type="paragraph" w:styleId="BalloonText">
    <w:name w:val="Balloon Text"/>
    <w:basedOn w:val="Normal"/>
    <w:link w:val="BalloonTextChar"/>
    <w:uiPriority w:val="99"/>
    <w:semiHidden/>
    <w:unhideWhenUsed/>
    <w:rsid w:val="00770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A01"/>
    <w:rPr>
      <w:rFonts w:ascii="Tahoma" w:hAnsi="Tahoma" w:cs="Tahoma"/>
      <w:sz w:val="16"/>
      <w:szCs w:val="16"/>
    </w:rPr>
  </w:style>
  <w:style w:type="paragraph" w:styleId="PlainText">
    <w:name w:val="Plain Text"/>
    <w:basedOn w:val="Normal"/>
    <w:link w:val="PlainTextChar"/>
    <w:uiPriority w:val="99"/>
    <w:unhideWhenUsed/>
    <w:rsid w:val="00770A0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70A01"/>
    <w:rPr>
      <w:rFonts w:ascii="Calibri" w:hAnsi="Calibri"/>
      <w:szCs w:val="21"/>
    </w:rPr>
  </w:style>
  <w:style w:type="paragraph" w:styleId="NoSpacing">
    <w:name w:val="No Spacing"/>
    <w:link w:val="NoSpacingChar"/>
    <w:uiPriority w:val="1"/>
    <w:qFormat/>
    <w:rsid w:val="000637EA"/>
    <w:pPr>
      <w:spacing w:after="0" w:line="240" w:lineRule="auto"/>
    </w:pPr>
    <w:rPr>
      <w:rFonts w:eastAsiaTheme="minorEastAsia"/>
    </w:rPr>
  </w:style>
  <w:style w:type="character" w:customStyle="1" w:styleId="NoSpacingChar">
    <w:name w:val="No Spacing Char"/>
    <w:basedOn w:val="DefaultParagraphFont"/>
    <w:link w:val="NoSpacing"/>
    <w:uiPriority w:val="1"/>
    <w:rsid w:val="000637EA"/>
    <w:rPr>
      <w:rFonts w:eastAsiaTheme="minorEastAsia"/>
    </w:rPr>
  </w:style>
  <w:style w:type="paragraph" w:styleId="ListParagraph">
    <w:name w:val="List Paragraph"/>
    <w:basedOn w:val="Normal"/>
    <w:uiPriority w:val="34"/>
    <w:qFormat/>
    <w:rsid w:val="000637EA"/>
    <w:pPr>
      <w:ind w:left="720"/>
      <w:contextualSpacing/>
    </w:pPr>
  </w:style>
  <w:style w:type="character" w:styleId="Strong">
    <w:name w:val="Strong"/>
    <w:basedOn w:val="DefaultParagraphFont"/>
    <w:uiPriority w:val="22"/>
    <w:qFormat/>
    <w:rsid w:val="000637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B698A"/>
  </w:style>
  <w:style w:type="paragraph" w:styleId="BalloonText">
    <w:name w:val="Balloon Text"/>
    <w:basedOn w:val="Normal"/>
    <w:link w:val="BalloonTextChar"/>
    <w:uiPriority w:val="99"/>
    <w:semiHidden/>
    <w:unhideWhenUsed/>
    <w:rsid w:val="00770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A01"/>
    <w:rPr>
      <w:rFonts w:ascii="Tahoma" w:hAnsi="Tahoma" w:cs="Tahoma"/>
      <w:sz w:val="16"/>
      <w:szCs w:val="16"/>
    </w:rPr>
  </w:style>
  <w:style w:type="paragraph" w:styleId="PlainText">
    <w:name w:val="Plain Text"/>
    <w:basedOn w:val="Normal"/>
    <w:link w:val="PlainTextChar"/>
    <w:uiPriority w:val="99"/>
    <w:unhideWhenUsed/>
    <w:rsid w:val="00770A0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70A01"/>
    <w:rPr>
      <w:rFonts w:ascii="Calibri" w:hAnsi="Calibri"/>
      <w:szCs w:val="21"/>
    </w:rPr>
  </w:style>
  <w:style w:type="paragraph" w:styleId="NoSpacing">
    <w:name w:val="No Spacing"/>
    <w:link w:val="NoSpacingChar"/>
    <w:uiPriority w:val="1"/>
    <w:qFormat/>
    <w:rsid w:val="000637EA"/>
    <w:pPr>
      <w:spacing w:after="0" w:line="240" w:lineRule="auto"/>
    </w:pPr>
    <w:rPr>
      <w:rFonts w:eastAsiaTheme="minorEastAsia"/>
    </w:rPr>
  </w:style>
  <w:style w:type="character" w:customStyle="1" w:styleId="NoSpacingChar">
    <w:name w:val="No Spacing Char"/>
    <w:basedOn w:val="DefaultParagraphFont"/>
    <w:link w:val="NoSpacing"/>
    <w:uiPriority w:val="1"/>
    <w:rsid w:val="000637EA"/>
    <w:rPr>
      <w:rFonts w:eastAsiaTheme="minorEastAsia"/>
    </w:rPr>
  </w:style>
  <w:style w:type="paragraph" w:styleId="ListParagraph">
    <w:name w:val="List Paragraph"/>
    <w:basedOn w:val="Normal"/>
    <w:uiPriority w:val="34"/>
    <w:qFormat/>
    <w:rsid w:val="000637EA"/>
    <w:pPr>
      <w:ind w:left="720"/>
      <w:contextualSpacing/>
    </w:pPr>
  </w:style>
  <w:style w:type="character" w:styleId="Strong">
    <w:name w:val="Strong"/>
    <w:basedOn w:val="DefaultParagraphFont"/>
    <w:uiPriority w:val="22"/>
    <w:qFormat/>
    <w:rsid w:val="000637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2137</Words>
  <Characters>12185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eroot</dc:creator>
  <cp:lastModifiedBy>eroot</cp:lastModifiedBy>
  <cp:revision>3</cp:revision>
  <dcterms:created xsi:type="dcterms:W3CDTF">2013-01-22T19:25:00Z</dcterms:created>
  <dcterms:modified xsi:type="dcterms:W3CDTF">2013-01-22T19:27:00Z</dcterms:modified>
</cp:coreProperties>
</file>