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C" w:rsidRDefault="00021E8C" w:rsidP="006125B1">
      <w:pPr>
        <w:spacing w:line="480" w:lineRule="auto"/>
        <w:ind w:firstLine="720"/>
        <w:jc w:val="center"/>
        <w:rPr>
          <w:rStyle w:val="Emphasis"/>
          <w:rFonts w:ascii="Helvetica" w:hAnsi="Helvetica" w:cs="Arial"/>
          <w:i w:val="0"/>
        </w:rPr>
      </w:pPr>
      <w:r>
        <w:rPr>
          <w:rStyle w:val="Emphasis"/>
          <w:rFonts w:ascii="Helvetica" w:hAnsi="Helvetica" w:cs="Arial"/>
          <w:i w:val="0"/>
        </w:rPr>
        <w:t>Supplementary Material for the article</w:t>
      </w:r>
    </w:p>
    <w:p w:rsidR="00021E8C" w:rsidRDefault="00021E8C" w:rsidP="006125B1">
      <w:pPr>
        <w:spacing w:line="480" w:lineRule="auto"/>
        <w:ind w:firstLine="720"/>
        <w:jc w:val="center"/>
        <w:rPr>
          <w:rStyle w:val="Emphasis"/>
          <w:rFonts w:ascii="Helvetica" w:hAnsi="Helvetica" w:cs="Arial"/>
          <w:i w:val="0"/>
        </w:rPr>
      </w:pPr>
    </w:p>
    <w:p w:rsidR="006125B1" w:rsidRPr="006125B1" w:rsidRDefault="00021E8C" w:rsidP="006125B1">
      <w:pPr>
        <w:spacing w:line="480" w:lineRule="auto"/>
        <w:ind w:firstLine="720"/>
        <w:jc w:val="center"/>
        <w:rPr>
          <w:rStyle w:val="Emphasis"/>
          <w:rFonts w:eastAsiaTheme="minorEastAsia"/>
          <w:sz w:val="24"/>
          <w:szCs w:val="24"/>
        </w:rPr>
      </w:pPr>
      <w:r>
        <w:rPr>
          <w:rStyle w:val="Emphasis"/>
          <w:rFonts w:ascii="Helvetica" w:hAnsi="Helvetica" w:cs="Arial"/>
          <w:i w:val="0"/>
        </w:rPr>
        <w:t>“</w:t>
      </w:r>
      <w:r w:rsidR="000C53AC">
        <w:rPr>
          <w:rStyle w:val="Emphasis"/>
          <w:rFonts w:ascii="Helvetica" w:hAnsi="Helvetica" w:cs="Arial"/>
          <w:i w:val="0"/>
        </w:rPr>
        <w:t>Prescription</w:t>
      </w:r>
      <w:r w:rsidR="006125B1" w:rsidRPr="006125B1">
        <w:rPr>
          <w:rStyle w:val="Emphasis"/>
          <w:rFonts w:ascii="Helvetica" w:hAnsi="Helvetica" w:cs="Arial"/>
          <w:i w:val="0"/>
        </w:rPr>
        <w:t xml:space="preserve"> </w:t>
      </w:r>
      <w:proofErr w:type="spellStart"/>
      <w:r w:rsidR="006125B1" w:rsidRPr="006125B1">
        <w:rPr>
          <w:rFonts w:ascii="Helvetica" w:hAnsi="Helvetica" w:cs="Arial"/>
        </w:rPr>
        <w:t>opioid</w:t>
      </w:r>
      <w:proofErr w:type="spellEnd"/>
      <w:r w:rsidR="006125B1" w:rsidRPr="006125B1">
        <w:rPr>
          <w:rFonts w:ascii="Helvetica" w:hAnsi="Helvetica" w:cs="Arial"/>
        </w:rPr>
        <w:t xml:space="preserve"> </w:t>
      </w:r>
      <w:r w:rsidR="006125B1" w:rsidRPr="006125B1">
        <w:rPr>
          <w:rStyle w:val="Emphasis"/>
          <w:rFonts w:ascii="Helvetica" w:hAnsi="Helvetica" w:cs="Arial"/>
          <w:i w:val="0"/>
        </w:rPr>
        <w:t>mortality trends in New York City, 1990-2006: examining the emergence of an epidemic</w:t>
      </w:r>
      <w:r>
        <w:rPr>
          <w:rStyle w:val="Emphasis"/>
          <w:rFonts w:ascii="Helvetica" w:hAnsi="Helvetica" w:cs="Arial"/>
          <w:i w:val="0"/>
        </w:rPr>
        <w:t>”</w:t>
      </w:r>
    </w:p>
    <w:p w:rsidR="006125B1" w:rsidRPr="006125B1" w:rsidRDefault="006125B1" w:rsidP="006125B1">
      <w:pPr>
        <w:spacing w:line="480" w:lineRule="auto"/>
        <w:ind w:firstLine="720"/>
        <w:jc w:val="center"/>
        <w:rPr>
          <w:rStyle w:val="Emphasis"/>
        </w:rPr>
      </w:pPr>
    </w:p>
    <w:p w:rsidR="00021E8C" w:rsidRDefault="006125B1" w:rsidP="006125B1">
      <w:pPr>
        <w:spacing w:line="480" w:lineRule="auto"/>
        <w:jc w:val="center"/>
        <w:rPr>
          <w:rStyle w:val="Emphasis"/>
          <w:rFonts w:ascii="Helvetica" w:hAnsi="Helvetica" w:cs="Arial"/>
          <w:i w:val="0"/>
        </w:rPr>
      </w:pPr>
      <w:r w:rsidRPr="006125B1">
        <w:rPr>
          <w:rStyle w:val="Emphasis"/>
          <w:rFonts w:ascii="Helvetica" w:hAnsi="Helvetica" w:cs="Arial"/>
          <w:i w:val="0"/>
        </w:rPr>
        <w:t xml:space="preserve">Magdalena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Cerdá</w:t>
      </w:r>
      <w:proofErr w:type="gramStart"/>
      <w:r w:rsidRPr="006125B1">
        <w:rPr>
          <w:rStyle w:val="Emphasis"/>
          <w:rFonts w:ascii="Helvetica" w:hAnsi="Helvetica" w:cs="Arial"/>
          <w:i w:val="0"/>
        </w:rPr>
        <w:t>,Yusuf</w:t>
      </w:r>
      <w:proofErr w:type="spellEnd"/>
      <w:proofErr w:type="gramEnd"/>
      <w:r w:rsidRPr="006125B1">
        <w:rPr>
          <w:rStyle w:val="Emphasis"/>
          <w:rFonts w:ascii="Helvetica" w:hAnsi="Helvetica" w:cs="Arial"/>
          <w:i w:val="0"/>
        </w:rPr>
        <w:t xml:space="preserve">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Ransome</w:t>
      </w:r>
      <w:proofErr w:type="spellEnd"/>
      <w:r w:rsidRPr="006125B1">
        <w:rPr>
          <w:rStyle w:val="Emphasis"/>
          <w:rFonts w:ascii="Helvetica" w:hAnsi="Helvetica" w:cs="Arial"/>
          <w:i w:val="0"/>
        </w:rPr>
        <w:t>,</w:t>
      </w:r>
      <w:r>
        <w:rPr>
          <w:rStyle w:val="Emphasis"/>
          <w:rFonts w:ascii="Helvetica" w:hAnsi="Helvetica" w:cs="Arial"/>
          <w:i w:val="0"/>
          <w:vertAlign w:val="superscript"/>
        </w:rPr>
        <w:t xml:space="preserve"> </w:t>
      </w:r>
      <w:r w:rsidRPr="006125B1">
        <w:rPr>
          <w:rStyle w:val="Emphasis"/>
          <w:rFonts w:ascii="Helvetica" w:hAnsi="Helvetica" w:cs="Arial"/>
          <w:i w:val="0"/>
        </w:rPr>
        <w:t xml:space="preserve">Katherine M. Keyes,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Karestan</w:t>
      </w:r>
      <w:proofErr w:type="spellEnd"/>
      <w:r w:rsidRPr="006125B1">
        <w:rPr>
          <w:rStyle w:val="Emphasis"/>
          <w:rFonts w:ascii="Helvetica" w:hAnsi="Helvetica" w:cs="Arial"/>
          <w:i w:val="0"/>
        </w:rPr>
        <w:t xml:space="preserve"> C.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Koenen</w:t>
      </w:r>
      <w:proofErr w:type="spellEnd"/>
      <w:r w:rsidRPr="006125B1">
        <w:rPr>
          <w:rStyle w:val="Emphasis"/>
          <w:rFonts w:ascii="Helvetica" w:hAnsi="Helvetica" w:cs="Arial"/>
          <w:i w:val="0"/>
        </w:rPr>
        <w:t>,</w:t>
      </w:r>
      <w:r w:rsidRPr="006125B1">
        <w:rPr>
          <w:rStyle w:val="Emphasis"/>
          <w:rFonts w:ascii="Helvetica" w:hAnsi="Helvetica" w:cs="Arial"/>
          <w:i w:val="0"/>
          <w:vertAlign w:val="superscript"/>
        </w:rPr>
        <w:t xml:space="preserve"> </w:t>
      </w:r>
      <w:r w:rsidRPr="006125B1">
        <w:rPr>
          <w:rStyle w:val="Emphasis"/>
          <w:rFonts w:ascii="Helvetica" w:hAnsi="Helvetica" w:cs="Arial"/>
          <w:i w:val="0"/>
        </w:rPr>
        <w:t xml:space="preserve">Melissa Tracy, Kenneth J.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Tardiff</w:t>
      </w:r>
      <w:proofErr w:type="spellEnd"/>
      <w:r w:rsidRPr="006125B1">
        <w:rPr>
          <w:rStyle w:val="Emphasis"/>
          <w:rFonts w:ascii="Helvetica" w:hAnsi="Helvetica" w:cs="Arial"/>
          <w:i w:val="0"/>
        </w:rPr>
        <w:t xml:space="preserve">, David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Vlahov</w:t>
      </w:r>
      <w:proofErr w:type="spellEnd"/>
      <w:r w:rsidRPr="006125B1">
        <w:rPr>
          <w:rStyle w:val="Emphasis"/>
          <w:rFonts w:ascii="Helvetica" w:hAnsi="Helvetica" w:cs="Arial"/>
          <w:i w:val="0"/>
        </w:rPr>
        <w:t xml:space="preserve">,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Sandro</w:t>
      </w:r>
      <w:proofErr w:type="spellEnd"/>
      <w:r w:rsidRPr="006125B1">
        <w:rPr>
          <w:rStyle w:val="Emphasis"/>
          <w:rFonts w:ascii="Helvetica" w:hAnsi="Helvetica" w:cs="Arial"/>
          <w:i w:val="0"/>
        </w:rPr>
        <w:t xml:space="preserve"> </w:t>
      </w:r>
      <w:proofErr w:type="spellStart"/>
      <w:r w:rsidRPr="006125B1">
        <w:rPr>
          <w:rStyle w:val="Emphasis"/>
          <w:rFonts w:ascii="Helvetica" w:hAnsi="Helvetica" w:cs="Arial"/>
          <w:i w:val="0"/>
        </w:rPr>
        <w:t>Galea</w:t>
      </w:r>
      <w:proofErr w:type="spellEnd"/>
    </w:p>
    <w:p w:rsidR="00021E8C" w:rsidRDefault="00021E8C" w:rsidP="006125B1">
      <w:pPr>
        <w:spacing w:line="480" w:lineRule="auto"/>
        <w:jc w:val="center"/>
        <w:rPr>
          <w:rStyle w:val="Emphasis"/>
          <w:rFonts w:ascii="Helvetica" w:hAnsi="Helvetica" w:cs="Arial"/>
          <w:i w:val="0"/>
        </w:rPr>
      </w:pPr>
    </w:p>
    <w:p w:rsidR="00021E8C" w:rsidRDefault="00021E8C" w:rsidP="006125B1">
      <w:pPr>
        <w:spacing w:line="480" w:lineRule="auto"/>
        <w:jc w:val="center"/>
        <w:rPr>
          <w:rStyle w:val="Emphasis"/>
          <w:rFonts w:ascii="Helvetica" w:hAnsi="Helvetica" w:cs="Arial"/>
          <w:i w:val="0"/>
        </w:rPr>
      </w:pPr>
      <w:r>
        <w:rPr>
          <w:rStyle w:val="Emphasis"/>
          <w:rFonts w:ascii="Helvetica" w:hAnsi="Helvetica" w:cs="Arial"/>
          <w:i w:val="0"/>
        </w:rPr>
        <w:t xml:space="preserve">For more information, contact: </w:t>
      </w:r>
    </w:p>
    <w:p w:rsidR="00021E8C" w:rsidRPr="00EB448D" w:rsidRDefault="00021E8C" w:rsidP="00021E8C">
      <w:pPr>
        <w:spacing w:line="480" w:lineRule="auto"/>
        <w:rPr>
          <w:rStyle w:val="Emphasis"/>
        </w:rPr>
      </w:pPr>
      <w:r w:rsidRPr="00EB448D">
        <w:rPr>
          <w:rStyle w:val="Emphasis"/>
          <w:rFonts w:ascii="Helvetica" w:hAnsi="Helvetica" w:cs="Arial"/>
        </w:rPr>
        <w:t xml:space="preserve">Magdalena </w:t>
      </w:r>
      <w:proofErr w:type="spellStart"/>
      <w:r w:rsidRPr="00EB448D">
        <w:rPr>
          <w:rStyle w:val="Emphasis"/>
          <w:rFonts w:ascii="Helvetica" w:hAnsi="Helvetica" w:cs="Arial"/>
        </w:rPr>
        <w:t>Cerdá</w:t>
      </w:r>
      <w:proofErr w:type="spellEnd"/>
      <w:r w:rsidRPr="00EB448D">
        <w:rPr>
          <w:rStyle w:val="Emphasis"/>
          <w:rFonts w:ascii="Helvetica" w:hAnsi="Helvetica" w:cs="Arial"/>
        </w:rPr>
        <w:t>, Columbia University Mailman School of Public Health, 722 W168th St, Room 527, New York, NY, 10032, USA</w:t>
      </w:r>
    </w:p>
    <w:p w:rsidR="00021E8C" w:rsidRPr="00EB448D" w:rsidRDefault="00021E8C" w:rsidP="00021E8C">
      <w:pPr>
        <w:rPr>
          <w:rStyle w:val="Emphasis"/>
        </w:rPr>
      </w:pPr>
      <w:r w:rsidRPr="00EB448D">
        <w:rPr>
          <w:rStyle w:val="Emphasis"/>
          <w:rFonts w:ascii="Helvetica" w:hAnsi="Helvetica" w:cs="Arial"/>
        </w:rPr>
        <w:t xml:space="preserve">Phone: (212) 305-2570; </w:t>
      </w:r>
      <w:r w:rsidRPr="00EB448D">
        <w:rPr>
          <w:rFonts w:ascii="Helvetica" w:hAnsi="Helvetica"/>
        </w:rPr>
        <w:t xml:space="preserve">Fax: (212) 342-5168; </w:t>
      </w:r>
      <w:r w:rsidRPr="00EB448D">
        <w:rPr>
          <w:rStyle w:val="Emphasis"/>
          <w:rFonts w:ascii="Helvetica" w:hAnsi="Helvetica" w:cs="Arial"/>
        </w:rPr>
        <w:t>Email: mc3226@columbia.edu</w:t>
      </w:r>
    </w:p>
    <w:p w:rsidR="006125B1" w:rsidRDefault="006125B1" w:rsidP="006125B1">
      <w:pPr>
        <w:spacing w:line="480" w:lineRule="auto"/>
        <w:jc w:val="center"/>
        <w:rPr>
          <w:rStyle w:val="Emphasis"/>
        </w:rPr>
      </w:pPr>
    </w:p>
    <w:p w:rsidR="006125B1" w:rsidRDefault="006125B1" w:rsidP="006125B1">
      <w:pPr>
        <w:spacing w:after="0" w:line="240" w:lineRule="auto"/>
        <w:rPr>
          <w:rStyle w:val="Emphasis"/>
        </w:rPr>
      </w:pPr>
    </w:p>
    <w:p w:rsidR="006125B1" w:rsidRPr="006125B1" w:rsidRDefault="006125B1" w:rsidP="006125B1">
      <w:pPr>
        <w:spacing w:after="0" w:line="240" w:lineRule="auto"/>
        <w:jc w:val="center"/>
        <w:rPr>
          <w:rStyle w:val="Emphasis"/>
        </w:rPr>
      </w:pPr>
      <w:r w:rsidRPr="006125B1">
        <w:rPr>
          <w:rStyle w:val="Emphasis"/>
          <w:rFonts w:ascii="Helvetica" w:hAnsi="Helvetica" w:cs="Arial"/>
        </w:rPr>
        <w:t>This material supplements but does not replace the content of the peer-reviewed paper published in </w:t>
      </w:r>
      <w:r w:rsidRPr="006125B1">
        <w:rPr>
          <w:rStyle w:val="Emphasis"/>
          <w:rFonts w:ascii="Helvetica" w:hAnsi="Helvetica" w:cs="Arial"/>
          <w:iCs w:val="0"/>
        </w:rPr>
        <w:t>Drug and Alcohol Dependence</w:t>
      </w:r>
    </w:p>
    <w:p w:rsidR="006125B1" w:rsidRPr="006125B1" w:rsidRDefault="006125B1" w:rsidP="006125B1">
      <w:pPr>
        <w:spacing w:line="480" w:lineRule="auto"/>
        <w:jc w:val="center"/>
        <w:rPr>
          <w:rStyle w:val="Emphasis"/>
        </w:rPr>
      </w:pPr>
    </w:p>
    <w:p w:rsidR="006125B1" w:rsidRPr="006125B1" w:rsidRDefault="006125B1"/>
    <w:p w:rsidR="006125B1" w:rsidRDefault="006125B1"/>
    <w:p w:rsidR="006125B1" w:rsidRDefault="006125B1">
      <w:r>
        <w:br w:type="page"/>
      </w:r>
    </w:p>
    <w:tbl>
      <w:tblPr>
        <w:tblW w:w="3480" w:type="dxa"/>
        <w:tblInd w:w="93" w:type="dxa"/>
        <w:tblLook w:val="04A0"/>
      </w:tblPr>
      <w:tblGrid>
        <w:gridCol w:w="1980"/>
        <w:gridCol w:w="1500"/>
      </w:tblGrid>
      <w:tr w:rsidR="001C6684" w:rsidRPr="001C6684">
        <w:trPr>
          <w:trHeight w:val="1500"/>
        </w:trPr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Proportion of analgesic overdose deaths due to each type of drug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Percent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Codeine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Fentanyl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Hydrocodone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Hydromorphone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Meperidine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Morphine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44.50%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Oxycodone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21.60%</w:t>
            </w:r>
          </w:p>
        </w:tc>
      </w:tr>
      <w:tr w:rsidR="001C6684" w:rsidRPr="001C6684">
        <w:trPr>
          <w:trHeight w:val="5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Propoxyphene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15.90%</w:t>
            </w:r>
          </w:p>
        </w:tc>
      </w:tr>
      <w:tr w:rsidR="001C6684" w:rsidRPr="001C6684">
        <w:trPr>
          <w:trHeight w:val="12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684" w:rsidRPr="001C6684" w:rsidRDefault="001C6684" w:rsidP="001C6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66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Notes: percent do not total 100 because drugs are not mutually exclusive</w:t>
            </w:r>
          </w:p>
        </w:tc>
      </w:tr>
    </w:tbl>
    <w:p w:rsidR="00071F47" w:rsidRDefault="00071F47" w:rsidP="00071F47"/>
    <w:p w:rsidR="000C53AC" w:rsidRDefault="000C53AC">
      <w:r>
        <w:br w:type="page"/>
      </w:r>
    </w:p>
    <w:tbl>
      <w:tblPr>
        <w:tblW w:w="6080" w:type="dxa"/>
        <w:tblInd w:w="93" w:type="dxa"/>
        <w:tblLook w:val="04A0"/>
      </w:tblPr>
      <w:tblGrid>
        <w:gridCol w:w="3040"/>
        <w:gridCol w:w="3040"/>
      </w:tblGrid>
      <w:tr w:rsidR="000C53AC" w:rsidRPr="000C53AC">
        <w:trPr>
          <w:trHeight w:val="800"/>
        </w:trPr>
        <w:tc>
          <w:tcPr>
            <w:tcW w:w="6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Types of benzodiazepines and antidepressants detected, NYC, 1990-2006</w:t>
            </w:r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Benzodiazepines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Antidepressants detected</w:t>
            </w:r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alprazolam</w:t>
            </w:r>
            <w:proofErr w:type="gramEnd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amozapine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clonazepam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citalopram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clorazepate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desipramine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diazepam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fluoxetine</w:t>
            </w:r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flurazepam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mirtazapine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nortriptyline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sertraline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hydroxyalprazolam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venlafaxine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midazolam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amtriptyline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nordiazepam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clomipramine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oxazepam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doxepin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temazepam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fluvoxamine</w:t>
            </w:r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triazolam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nefazodone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zolpidem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paroxcetine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trantrazadone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buproprion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escitalopram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imipramine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norsertraline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phenelzine</w:t>
            </w:r>
            <w:proofErr w:type="spellEnd"/>
            <w:proofErr w:type="gramEnd"/>
          </w:p>
        </w:tc>
      </w:tr>
      <w:tr w:rsidR="000C53AC" w:rsidRPr="000C53AC">
        <w:trPr>
          <w:trHeight w:val="40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3AC" w:rsidRPr="000C53AC" w:rsidRDefault="000C53AC" w:rsidP="000C5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53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tranylcypromine</w:t>
            </w:r>
            <w:proofErr w:type="spellEnd"/>
            <w:proofErr w:type="gramEnd"/>
          </w:p>
        </w:tc>
      </w:tr>
    </w:tbl>
    <w:p w:rsidR="001679F9" w:rsidRDefault="001679F9"/>
    <w:sectPr w:rsidR="001679F9" w:rsidSect="00190B20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1F47"/>
    <w:rsid w:val="00021E8C"/>
    <w:rsid w:val="00071F47"/>
    <w:rsid w:val="000A6B41"/>
    <w:rsid w:val="000C53AC"/>
    <w:rsid w:val="001679F9"/>
    <w:rsid w:val="0017475A"/>
    <w:rsid w:val="00190B20"/>
    <w:rsid w:val="001C6684"/>
    <w:rsid w:val="002B0AF5"/>
    <w:rsid w:val="003F1DF4"/>
    <w:rsid w:val="004C671D"/>
    <w:rsid w:val="006125B1"/>
    <w:rsid w:val="00651DA8"/>
    <w:rsid w:val="006D69A4"/>
    <w:rsid w:val="007E17DD"/>
    <w:rsid w:val="007F0AD6"/>
    <w:rsid w:val="00805907"/>
    <w:rsid w:val="008720D1"/>
    <w:rsid w:val="00942948"/>
    <w:rsid w:val="009A1769"/>
    <w:rsid w:val="00B3217A"/>
    <w:rsid w:val="00DE7ACD"/>
    <w:rsid w:val="00EB19AF"/>
    <w:rsid w:val="00F1120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125B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612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125B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61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Ransome</dc:creator>
  <cp:lastModifiedBy>Johns Hopkins</cp:lastModifiedBy>
  <cp:revision>2</cp:revision>
  <dcterms:created xsi:type="dcterms:W3CDTF">2012-12-30T13:03:00Z</dcterms:created>
  <dcterms:modified xsi:type="dcterms:W3CDTF">2012-12-30T13:03:00Z</dcterms:modified>
</cp:coreProperties>
</file>