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0C" w:rsidRDefault="00E0520C" w:rsidP="00E05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Table S3. </w:t>
      </w:r>
      <w:r w:rsidRPr="002248DF">
        <w:rPr>
          <w:rFonts w:ascii="Arial" w:hAnsi="Arial" w:cs="Arial"/>
          <w:bCs/>
          <w:sz w:val="24"/>
          <w:szCs w:val="24"/>
        </w:rPr>
        <w:t xml:space="preserve">SARI and ILI case definitions </w:t>
      </w:r>
      <w:r>
        <w:rPr>
          <w:rFonts w:ascii="Arial" w:hAnsi="Arial" w:cs="Arial"/>
          <w:bCs/>
          <w:sz w:val="24"/>
          <w:szCs w:val="24"/>
        </w:rPr>
        <w:t xml:space="preserve">used for screening and enrolment </w:t>
      </w:r>
      <w:r w:rsidRPr="002248DF">
        <w:rPr>
          <w:rFonts w:ascii="Arial" w:hAnsi="Arial" w:cs="Arial"/>
          <w:bCs/>
          <w:sz w:val="24"/>
          <w:szCs w:val="24"/>
        </w:rPr>
        <w:t>by the SARI and Viral Watch surveillance programmes respectively,</w:t>
      </w:r>
      <w:r>
        <w:rPr>
          <w:rFonts w:ascii="Arial" w:hAnsi="Arial" w:cs="Arial"/>
          <w:bCs/>
          <w:sz w:val="24"/>
          <w:szCs w:val="24"/>
        </w:rPr>
        <w:t xml:space="preserve"> South Africa, 2009</w:t>
      </w:r>
      <w:r w:rsidRPr="002248DF">
        <w:rPr>
          <w:rFonts w:ascii="Arial" w:hAnsi="Arial" w:cs="Arial"/>
          <w:bCs/>
          <w:sz w:val="24"/>
          <w:szCs w:val="24"/>
        </w:rPr>
        <w:t>–2012</w:t>
      </w:r>
    </w:p>
    <w:p w:rsidR="00E0520C" w:rsidRDefault="00E0520C" w:rsidP="00E05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18" w:type="pct"/>
        <w:tblInd w:w="-34" w:type="dxa"/>
        <w:tblLook w:val="01E0" w:firstRow="1" w:lastRow="1" w:firstColumn="1" w:lastColumn="1" w:noHBand="0" w:noVBand="0"/>
      </w:tblPr>
      <w:tblGrid>
        <w:gridCol w:w="790"/>
        <w:gridCol w:w="1054"/>
        <w:gridCol w:w="2141"/>
        <w:gridCol w:w="5290"/>
      </w:tblGrid>
      <w:tr w:rsidR="00F30233" w:rsidRPr="00B54A73" w:rsidTr="00F30233">
        <w:trPr>
          <w:trHeight w:val="37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E0520C" w:rsidP="00722E0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E0520C" w:rsidP="005F780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Date</w:t>
            </w:r>
            <w:r w:rsidR="005F7806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F30233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of use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E0520C" w:rsidP="00722E0B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 xml:space="preserve">Condition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E0520C" w:rsidP="00722E0B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Definition</w:t>
            </w:r>
          </w:p>
        </w:tc>
      </w:tr>
      <w:tr w:rsidR="00F30233" w:rsidRPr="008C386E" w:rsidTr="00F30233">
        <w:trPr>
          <w:cantSplit/>
          <w:trHeight w:val="572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20C" w:rsidRPr="00F30233" w:rsidRDefault="00E0520C" w:rsidP="005F7806">
            <w:pPr>
              <w:spacing w:after="0" w:line="240" w:lineRule="auto"/>
              <w:ind w:left="255" w:right="113" w:hanging="14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SARI Surveillance Programme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20C" w:rsidRPr="00F30233" w:rsidRDefault="00E0520C" w:rsidP="00F302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February 2009 to present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E0520C" w:rsidP="00F30233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SARI in persons 2 days to &lt; 3 </w:t>
            </w:r>
            <w:r w:rsid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m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onths old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F30233" w:rsidP="00F30233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) 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Any child with diagnosis of suspected sepsis or physician diagnosed LRTI irrespec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tive of signs and symptoms, AND (ii) p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atient presenting within 7 days of the onset of illness</w:t>
            </w:r>
          </w:p>
        </w:tc>
      </w:tr>
      <w:tr w:rsidR="00F30233" w:rsidRPr="008C386E" w:rsidTr="00F30233">
        <w:trPr>
          <w:cantSplit/>
          <w:trHeight w:val="78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20C" w:rsidRPr="00F30233" w:rsidRDefault="00E0520C" w:rsidP="00722E0B">
            <w:pPr>
              <w:spacing w:after="0" w:line="240" w:lineRule="auto"/>
              <w:ind w:left="255" w:right="113" w:hanging="14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20C" w:rsidRPr="00F30233" w:rsidRDefault="00E0520C" w:rsidP="00F302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E0520C" w:rsidP="00F30233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Physician-diagnosed</w:t>
            </w:r>
            <w:r w:rsidR="00F30233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lower respiratory tract 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infection (LRTI) in persons 3</w:t>
            </w:r>
            <w:r w:rsidR="00F30233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-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59</w:t>
            </w:r>
            <w:r w:rsidR="00F30233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months of age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F30233" w:rsidP="00F30233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) 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Any child 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aged 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3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-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59 months with LRTI, which includes bronchiolitis, pneumonia, bron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chitis or pleural effusion, AND (ii) p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atient presenting within 7 days of the onset of illness</w:t>
            </w:r>
          </w:p>
        </w:tc>
      </w:tr>
      <w:tr w:rsidR="00F30233" w:rsidRPr="00BB7AB8" w:rsidTr="00F30233">
        <w:trPr>
          <w:cantSplit/>
          <w:trHeight w:val="1134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20C" w:rsidRPr="00F30233" w:rsidRDefault="00E0520C" w:rsidP="00722E0B">
            <w:pPr>
              <w:spacing w:after="0" w:line="240" w:lineRule="auto"/>
              <w:ind w:left="255" w:right="113" w:hanging="14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20C" w:rsidRPr="00F30233" w:rsidRDefault="00E0520C" w:rsidP="00F302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February 2009 to April 2012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E0520C" w:rsidP="005F7806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SARI (≥5 years of age)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F30233" w:rsidP="00F30233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) 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Any person presenting with manifestations of acute l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ower respiratory infection, AND (ii) s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udden onset of fever (&gt;38ºC) AND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(iii) c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ough or sore throat AND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(iv) s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hortness of breath, or difficulty breathing with or without clinical or radiographic findings of pneumonia), or </w:t>
            </w:r>
            <w:proofErr w:type="spellStart"/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tachypnea</w:t>
            </w:r>
            <w:proofErr w:type="spellEnd"/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, AND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(v) p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atient presenting within 7 days of the onset of illness</w:t>
            </w:r>
          </w:p>
        </w:tc>
      </w:tr>
      <w:tr w:rsidR="00F30233" w:rsidRPr="00BB7AB8" w:rsidTr="00F30233">
        <w:trPr>
          <w:cantSplit/>
          <w:trHeight w:val="1134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20C" w:rsidRPr="00F30233" w:rsidRDefault="00E0520C" w:rsidP="00722E0B">
            <w:pPr>
              <w:spacing w:after="0" w:line="240" w:lineRule="auto"/>
              <w:ind w:left="255" w:right="113" w:hanging="14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20C" w:rsidRPr="00F30233" w:rsidRDefault="00E0520C" w:rsidP="00F302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May 2012 to present</w:t>
            </w:r>
          </w:p>
          <w:p w:rsidR="00E0520C" w:rsidRPr="00F30233" w:rsidRDefault="00E0520C" w:rsidP="00F302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E0520C" w:rsidP="005F7806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SARI (≥5 years of age)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F30233" w:rsidP="00F30233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) 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An ac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ute respiratory infection with h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istory of fever or measured fever of ≥38°C, AND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(ii) c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ough, AND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(iii) o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nset within the last seven days, AND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(iv) r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equires hospitalization</w:t>
            </w:r>
          </w:p>
        </w:tc>
      </w:tr>
      <w:tr w:rsidR="00F30233" w:rsidRPr="00BB7AB8" w:rsidTr="00F30233">
        <w:trPr>
          <w:cantSplit/>
          <w:trHeight w:val="1465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20C" w:rsidRPr="00F30233" w:rsidRDefault="00E0520C" w:rsidP="00722E0B">
            <w:pPr>
              <w:spacing w:after="0" w:line="240" w:lineRule="auto"/>
              <w:ind w:left="142" w:hanging="14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Viral Watch Programme</w:t>
            </w:r>
            <w:bookmarkStart w:id="0" w:name="_GoBack"/>
            <w:bookmarkEnd w:id="0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20C" w:rsidRPr="00F30233" w:rsidRDefault="00E0520C" w:rsidP="00F3023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March 2012 to present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E0520C" w:rsidP="005F7806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Influenza-like</w:t>
            </w:r>
            <w:r w:rsid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illness (ILI )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F30233" w:rsidP="00F30233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) 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Patients of all age groups, with an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acute respiratory illness with a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measured temperature of ≥ 38 ˚C, AND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(ii) c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ough, AND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(iii) o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nset within the past 7 days</w:t>
            </w:r>
          </w:p>
        </w:tc>
      </w:tr>
      <w:tr w:rsidR="00F30233" w:rsidRPr="00BB7AB8" w:rsidTr="00F30233">
        <w:trPr>
          <w:cantSplit/>
          <w:trHeight w:val="1188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20C" w:rsidRPr="00F30233" w:rsidRDefault="00E0520C" w:rsidP="00722E0B">
            <w:pPr>
              <w:spacing w:after="0" w:line="240" w:lineRule="auto"/>
              <w:ind w:left="255" w:right="113" w:hanging="14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20C" w:rsidRPr="00F30233" w:rsidRDefault="00E0520C" w:rsidP="00F302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2009 to February 2012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E0520C" w:rsidP="005F7806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Influenza-like </w:t>
            </w:r>
            <w:r w:rsid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i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llness (ILI )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0C" w:rsidRPr="00F30233" w:rsidRDefault="00F30233" w:rsidP="00F30233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) 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P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atients of all age groups, with a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cute respiratory tract infections of recent onset (within 72 hours), AND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(ii) s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udden onset of fever, AND</w:t>
            </w:r>
            <w:r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(iii) t</w:t>
            </w:r>
            <w:r w:rsidR="00E0520C" w:rsidRPr="00F30233">
              <w:rPr>
                <w:rFonts w:ascii="Arial" w:eastAsia="Calibri" w:hAnsi="Arial" w:cs="Arial"/>
                <w:sz w:val="24"/>
                <w:szCs w:val="24"/>
                <w:lang w:eastAsia="en-GB"/>
              </w:rPr>
              <w:t>wo or more of headache, myalgia, cough and sore throat</w:t>
            </w:r>
          </w:p>
        </w:tc>
      </w:tr>
    </w:tbl>
    <w:p w:rsidR="005A23A5" w:rsidRPr="00E0520C" w:rsidRDefault="005A23A5" w:rsidP="00E0520C"/>
    <w:sectPr w:rsidR="005A23A5" w:rsidRPr="00E05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54A"/>
    <w:multiLevelType w:val="hybridMultilevel"/>
    <w:tmpl w:val="3A0E83B4"/>
    <w:lvl w:ilvl="0" w:tplc="3B048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0BA7"/>
    <w:multiLevelType w:val="hybridMultilevel"/>
    <w:tmpl w:val="4DB6B4F4"/>
    <w:lvl w:ilvl="0" w:tplc="3B048EB6">
      <w:numFmt w:val="bullet"/>
      <w:lvlText w:val="•"/>
      <w:lvlJc w:val="left"/>
      <w:pPr>
        <w:ind w:left="691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">
    <w:nsid w:val="1AEE610F"/>
    <w:multiLevelType w:val="hybridMultilevel"/>
    <w:tmpl w:val="B3BE1174"/>
    <w:lvl w:ilvl="0" w:tplc="3B048EB6">
      <w:numFmt w:val="bullet"/>
      <w:lvlText w:val="•"/>
      <w:lvlJc w:val="left"/>
      <w:pPr>
        <w:ind w:left="691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">
    <w:nsid w:val="1CC57807"/>
    <w:multiLevelType w:val="hybridMultilevel"/>
    <w:tmpl w:val="C5ACFD56"/>
    <w:lvl w:ilvl="0" w:tplc="3B048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96D5C"/>
    <w:multiLevelType w:val="hybridMultilevel"/>
    <w:tmpl w:val="6974F130"/>
    <w:lvl w:ilvl="0" w:tplc="3B048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90B47"/>
    <w:multiLevelType w:val="hybridMultilevel"/>
    <w:tmpl w:val="C74C51E2"/>
    <w:lvl w:ilvl="0" w:tplc="3B048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61F0D"/>
    <w:multiLevelType w:val="hybridMultilevel"/>
    <w:tmpl w:val="F8CAE6D8"/>
    <w:lvl w:ilvl="0" w:tplc="3B048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02623"/>
    <w:multiLevelType w:val="hybridMultilevel"/>
    <w:tmpl w:val="354E798A"/>
    <w:lvl w:ilvl="0" w:tplc="3B048EB6">
      <w:numFmt w:val="bullet"/>
      <w:lvlText w:val="•"/>
      <w:lvlJc w:val="left"/>
      <w:pPr>
        <w:ind w:left="691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8">
    <w:nsid w:val="34D0402F"/>
    <w:multiLevelType w:val="hybridMultilevel"/>
    <w:tmpl w:val="10142CF0"/>
    <w:lvl w:ilvl="0" w:tplc="3B048EB6">
      <w:numFmt w:val="bullet"/>
      <w:lvlText w:val="•"/>
      <w:lvlJc w:val="left"/>
      <w:pPr>
        <w:ind w:left="833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49A578CF"/>
    <w:multiLevelType w:val="hybridMultilevel"/>
    <w:tmpl w:val="D47A07A8"/>
    <w:lvl w:ilvl="0" w:tplc="3B048EB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166EC8"/>
    <w:multiLevelType w:val="hybridMultilevel"/>
    <w:tmpl w:val="8B64DD64"/>
    <w:lvl w:ilvl="0" w:tplc="3B048EB6">
      <w:numFmt w:val="bullet"/>
      <w:lvlText w:val="•"/>
      <w:lvlJc w:val="left"/>
      <w:pPr>
        <w:ind w:left="691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1">
    <w:nsid w:val="65036164"/>
    <w:multiLevelType w:val="hybridMultilevel"/>
    <w:tmpl w:val="FA32E674"/>
    <w:lvl w:ilvl="0" w:tplc="3B048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99"/>
    <w:rsid w:val="00476F33"/>
    <w:rsid w:val="00520899"/>
    <w:rsid w:val="005A23A5"/>
    <w:rsid w:val="005F7806"/>
    <w:rsid w:val="006012C5"/>
    <w:rsid w:val="007345FC"/>
    <w:rsid w:val="00A70DD6"/>
    <w:rsid w:val="00B15B99"/>
    <w:rsid w:val="00E0520C"/>
    <w:rsid w:val="00F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0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0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Budgell</dc:creator>
  <cp:lastModifiedBy>Eric Budgell</cp:lastModifiedBy>
  <cp:revision>7</cp:revision>
  <dcterms:created xsi:type="dcterms:W3CDTF">2014-08-04T20:03:00Z</dcterms:created>
  <dcterms:modified xsi:type="dcterms:W3CDTF">2015-02-12T07:51:00Z</dcterms:modified>
</cp:coreProperties>
</file>