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F5" w:rsidRPr="00CD6DF5" w:rsidRDefault="00CD6DF5" w:rsidP="00CD6DF5">
      <w:pPr>
        <w:spacing w:line="480" w:lineRule="auto"/>
        <w:rPr>
          <w:b/>
          <w:sz w:val="40"/>
          <w:szCs w:val="40"/>
        </w:rPr>
      </w:pPr>
      <w:r w:rsidRPr="00CD6DF5">
        <w:rPr>
          <w:b/>
          <w:sz w:val="40"/>
          <w:szCs w:val="40"/>
        </w:rPr>
        <w:t>Supplementary material</w:t>
      </w:r>
    </w:p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1766"/>
        <w:gridCol w:w="1768"/>
        <w:gridCol w:w="1766"/>
        <w:gridCol w:w="1768"/>
      </w:tblGrid>
      <w:tr w:rsidR="00CD6DF5" w:rsidRPr="00EF12C3" w:rsidTr="00661216">
        <w:trPr>
          <w:trHeight w:val="53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rPr>
                <w:b/>
              </w:rPr>
            </w:pPr>
            <w:r>
              <w:rPr>
                <w:b/>
              </w:rPr>
              <w:t>Table S1. Disease state costs and health utility estimates</w:t>
            </w:r>
          </w:p>
        </w:tc>
      </w:tr>
      <w:tr w:rsidR="00CD6DF5" w:rsidRPr="00EF12C3" w:rsidTr="00661216">
        <w:trPr>
          <w:trHeight w:val="537"/>
        </w:trPr>
        <w:tc>
          <w:tcPr>
            <w:tcW w:w="1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rPr>
                <w:b/>
              </w:rPr>
            </w:pPr>
            <w:r>
              <w:rPr>
                <w:b/>
              </w:rPr>
              <w:t>Disease State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Annual cost (£)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9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Health utility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  <w:rPr>
                <w:b/>
              </w:rPr>
            </w:pPr>
            <w:r w:rsidRPr="00EF12C3">
              <w:rPr>
                <w:b/>
              </w:rPr>
              <w:t>Source</w:t>
            </w:r>
          </w:p>
        </w:tc>
      </w:tr>
      <w:tr w:rsidR="00CD6DF5" w:rsidRPr="00EF12C3" w:rsidTr="00661216">
        <w:tc>
          <w:tcPr>
            <w:tcW w:w="1270" w:type="pct"/>
            <w:tcBorders>
              <w:top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</w:pPr>
            <w:r>
              <w:t>F0/F1</w:t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177</w:t>
            </w: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tcBorders>
              <w:top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0.77</w:t>
            </w:r>
          </w:p>
        </w:tc>
        <w:tc>
          <w:tcPr>
            <w:tcW w:w="933" w:type="pct"/>
            <w:tcBorders>
              <w:top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1270" w:type="pct"/>
            <w:vAlign w:val="center"/>
          </w:tcPr>
          <w:p w:rsidR="00CD6DF5" w:rsidRPr="00EF12C3" w:rsidRDefault="00CD6DF5" w:rsidP="00661216">
            <w:pPr>
              <w:keepNext/>
              <w:keepLines/>
            </w:pPr>
            <w:r>
              <w:t>F2/F3</w:t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922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0.66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1270" w:type="pct"/>
            <w:vAlign w:val="center"/>
          </w:tcPr>
          <w:p w:rsidR="00CD6DF5" w:rsidRPr="00EF12C3" w:rsidRDefault="00CD6DF5" w:rsidP="00661216">
            <w:pPr>
              <w:keepNext/>
              <w:keepLines/>
            </w:pPr>
            <w:r>
              <w:t>F4</w:t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1,464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0.55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1270" w:type="pct"/>
            <w:vAlign w:val="center"/>
          </w:tcPr>
          <w:p w:rsidR="00CD6DF5" w:rsidRPr="00EF12C3" w:rsidRDefault="00CD6DF5" w:rsidP="00661216">
            <w:pPr>
              <w:keepNext/>
              <w:keepLines/>
            </w:pPr>
            <w:r>
              <w:t>DC</w:t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11,729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0.45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1270" w:type="pct"/>
            <w:vAlign w:val="center"/>
          </w:tcPr>
          <w:p w:rsidR="00CD6DF5" w:rsidRPr="00EF12C3" w:rsidRDefault="00CD6DF5" w:rsidP="00661216">
            <w:pPr>
              <w:keepNext/>
              <w:keepLines/>
            </w:pPr>
            <w:r>
              <w:t>HCC</w:t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10,452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0.45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rPr>
          <w:trHeight w:val="315"/>
        </w:trPr>
        <w:tc>
          <w:tcPr>
            <w:tcW w:w="1270" w:type="pct"/>
            <w:vAlign w:val="center"/>
          </w:tcPr>
          <w:p w:rsidR="00CD6DF5" w:rsidRPr="00EF12C3" w:rsidRDefault="00CD6DF5" w:rsidP="00661216">
            <w:pPr>
              <w:keepNext/>
              <w:keepLines/>
            </w:pPr>
            <w:proofErr w:type="spellStart"/>
            <w:r>
              <w:t>LTx</w:t>
            </w:r>
            <w:proofErr w:type="spellEnd"/>
            <w:r>
              <w:t xml:space="preserve"> (year 1)</w:t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47,311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0.45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1270" w:type="pct"/>
            <w:vAlign w:val="center"/>
          </w:tcPr>
          <w:p w:rsidR="00CD6DF5" w:rsidRPr="00EF12C3" w:rsidRDefault="00CD6DF5" w:rsidP="00661216">
            <w:pPr>
              <w:keepNext/>
              <w:keepLines/>
            </w:pPr>
            <w:proofErr w:type="spellStart"/>
            <w:r>
              <w:t>LTx</w:t>
            </w:r>
            <w:proofErr w:type="spellEnd"/>
            <w:r>
              <w:t xml:space="preserve"> (subsequent years)</w:t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1,781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0.67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1270" w:type="pct"/>
            <w:vAlign w:val="center"/>
          </w:tcPr>
          <w:p w:rsidR="00CD6DF5" w:rsidRPr="00EF12C3" w:rsidRDefault="00CD6DF5" w:rsidP="00661216">
            <w:pPr>
              <w:keepNext/>
              <w:keepLines/>
            </w:pPr>
            <w:r>
              <w:t>SVR from F0/F1*</w:t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333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0.82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1270" w:type="pct"/>
            <w:vAlign w:val="center"/>
          </w:tcPr>
          <w:p w:rsidR="00CD6DF5" w:rsidRPr="00EF12C3" w:rsidRDefault="00CD6DF5" w:rsidP="00661216">
            <w:pPr>
              <w:keepNext/>
              <w:keepLines/>
            </w:pPr>
            <w:r>
              <w:t>SVR from F2/F3*</w:t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922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0.72</w:t>
            </w:r>
          </w:p>
        </w:tc>
        <w:tc>
          <w:tcPr>
            <w:tcW w:w="933" w:type="pct"/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1270" w:type="pct"/>
            <w:tcBorders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</w:pPr>
            <w:r>
              <w:t>SVR from F4*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1,464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>0.72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CD6DF5" w:rsidRPr="00EF12C3" w:rsidRDefault="00CD6DF5" w:rsidP="00661216">
            <w:pPr>
              <w:keepNext/>
              <w:keepLines/>
              <w:jc w:val="center"/>
            </w:pPr>
            <w:r>
              <w:t xml:space="preserve">^Assumption based on </w:t>
            </w:r>
            <w:r>
              <w:fldChar w:fldCharType="begin"/>
            </w:r>
            <w:r>
              <w:instrText xml:space="preserve"> ADDIN EN.CITE &lt;EndNote&gt;&lt;Cite&gt;&lt;Author&gt;Martin&lt;/Author&gt;&lt;Year&gt;2012&lt;/Year&gt;&lt;RecNum&gt;356&lt;/RecNum&gt;&lt;DisplayText&gt;[40]&lt;/DisplayText&gt;&lt;record&gt;&lt;rec-number&gt;356&lt;/rec-number&gt;&lt;foreign-keys&gt;&lt;key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J.&lt;/au</w:instrText>
            </w:r>
            <w:r>
              <w:rPr>
                <w:rFonts w:hint="eastAsia"/>
              </w:rPr>
              <w:instrText>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</w:rPr>
              <w:instrText>‐</w:instrText>
            </w:r>
            <w:r>
              <w:rPr>
                <w:rFonts w:hint="eastAsia"/>
              </w:rPr>
              <w:instrText>effectiveness of hepatitis C virus antiviral treatment for injection drug user populations&lt;/title&gt;&lt;secondary-title&gt;Hepatology&lt;/secondary-</w:instrText>
            </w:r>
            <w:r>
              <w:instrText>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0" w:tooltip="Martin, 2012 #356" w:history="1">
              <w:r>
                <w:rPr>
                  <w:noProof/>
                </w:rPr>
                <w:t>40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CD6DF5" w:rsidRPr="00EF12C3" w:rsidTr="00661216"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CD6DF5" w:rsidRDefault="00CD6DF5" w:rsidP="00661216">
            <w:pPr>
              <w:keepNext/>
              <w:keepLines/>
              <w:rPr>
                <w:sz w:val="18"/>
              </w:rPr>
            </w:pPr>
            <w:r w:rsidRPr="006D1CFB">
              <w:rPr>
                <w:sz w:val="18"/>
              </w:rPr>
              <w:t xml:space="preserve">CC, compensated cirrhosis; DC, decompensated cirrhosis; HCC, hepatocellular carcinoma; </w:t>
            </w:r>
            <w:proofErr w:type="spellStart"/>
            <w:r w:rsidRPr="006D1CFB">
              <w:rPr>
                <w:sz w:val="18"/>
              </w:rPr>
              <w:t>LTx</w:t>
            </w:r>
            <w:proofErr w:type="spellEnd"/>
            <w:r w:rsidRPr="006D1CFB">
              <w:rPr>
                <w:sz w:val="18"/>
              </w:rPr>
              <w:t>, liver transplant; SVR, sustained virologic response</w:t>
            </w:r>
            <w:r>
              <w:rPr>
                <w:sz w:val="18"/>
              </w:rPr>
              <w:t>.</w:t>
            </w:r>
          </w:p>
          <w:p w:rsidR="00CD6DF5" w:rsidRPr="00081FA8" w:rsidRDefault="00CD6DF5" w:rsidP="00661216">
            <w:pPr>
              <w:keepNext/>
              <w:keepLines/>
              <w:rPr>
                <w:sz w:val="14"/>
              </w:rPr>
            </w:pPr>
            <w:r w:rsidRPr="00081FA8">
              <w:rPr>
                <w:bCs/>
                <w:sz w:val="18"/>
              </w:rPr>
              <w:t>Notes: All costs inflated to 2012/13 values using the Hospital &amp; community health services (HCHS) index</w:t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fldChar w:fldCharType="begin"/>
            </w:r>
            <w:r>
              <w:rPr>
                <w:bCs/>
                <w:sz w:val="18"/>
              </w:rPr>
              <w:instrText xml:space="preserve"> ADDIN EN.CITE &lt;EndNote&gt;&lt;Cite&gt;&lt;Author&gt;Curtin&lt;/Author&gt;&lt;Year&gt;2013&lt;/Year&gt;&lt;RecNum&gt;380&lt;/RecNum&gt;&lt;DisplayText&gt;[41]&lt;/DisplayText&gt;&lt;record&gt;&lt;rec-number&gt;380&lt;/rec-number&gt;&lt;foreign-keys&gt;&lt;key app="EN" db-id="xar2s2tvi9rr2mexds6ve9wppw9pf9tspvv9" timestamp="1391183565"&gt;380&lt;/key&gt;&lt;/foreign-keys&gt;&lt;ref-type name="Electronic Article"&gt;43&lt;/ref-type&gt;&lt;contributors&gt;&lt;authors&gt;&lt;author&gt;Curtin, Lester R.,&lt;/author&gt;&lt;/authors&gt;&lt;/contributors&gt;&lt;titles&gt;&lt;title&gt;Personal Social Services Research Unit (PSSRU), Unit Costs of Health and Social Care&lt;/title&gt;&lt;/titles&gt;&lt;dates&gt;&lt;year&gt;2013&lt;/year&gt;&lt;pub-dates&gt;&lt;date&gt;November 2014&lt;/date&gt;&lt;/pub-dates&gt;&lt;/dates&gt;&lt;urls&gt;&lt;related-urls&gt;&lt;url&gt;http://www.pssru.ac.uk/project-information.php?id=354&lt;/url&gt;&lt;/related-urls&gt;&lt;/urls&gt;&lt;/record&gt;&lt;/Cite&gt;&lt;/EndNote&gt;</w:instrText>
            </w:r>
            <w:r>
              <w:rPr>
                <w:bCs/>
                <w:sz w:val="18"/>
              </w:rPr>
              <w:fldChar w:fldCharType="separate"/>
            </w:r>
            <w:r>
              <w:rPr>
                <w:bCs/>
                <w:noProof/>
                <w:sz w:val="18"/>
              </w:rPr>
              <w:t>[</w:t>
            </w:r>
            <w:hyperlink w:anchor="_ENREF_41" w:tooltip="Curtin, 2013 #380" w:history="1">
              <w:r>
                <w:rPr>
                  <w:bCs/>
                  <w:noProof/>
                  <w:sz w:val="18"/>
                </w:rPr>
                <w:t>41</w:t>
              </w:r>
            </w:hyperlink>
            <w:r>
              <w:rPr>
                <w:bCs/>
                <w:noProof/>
                <w:sz w:val="18"/>
              </w:rPr>
              <w:t>]</w:t>
            </w:r>
            <w:r>
              <w:rPr>
                <w:bCs/>
                <w:sz w:val="18"/>
              </w:rPr>
              <w:fldChar w:fldCharType="end"/>
            </w:r>
            <w:r w:rsidRPr="00081FA8">
              <w:rPr>
                <w:bCs/>
                <w:sz w:val="18"/>
              </w:rPr>
              <w:t>.</w:t>
            </w:r>
          </w:p>
          <w:p w:rsidR="00CD6DF5" w:rsidRDefault="00CD6DF5" w:rsidP="00661216">
            <w:pPr>
              <w:keepNext/>
              <w:keepLines/>
              <w:rPr>
                <w:sz w:val="18"/>
              </w:rPr>
            </w:pPr>
            <w:r w:rsidRPr="006D1CFB">
              <w:rPr>
                <w:sz w:val="18"/>
              </w:rPr>
              <w:t>*Costs applied in the first year after SVR is achieved only</w:t>
            </w:r>
            <w:r>
              <w:rPr>
                <w:sz w:val="18"/>
              </w:rPr>
              <w:t xml:space="preserve">, in line with previous studies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ADDIN EN.CITE &lt;EndNote&gt;&lt;Cite&gt;&lt;Author&gt;Martin&lt;/Author&gt;&lt;Year&gt;2012&lt;/Year&gt;&lt;RecNum&gt;356&lt;/RecNum&gt;&lt;DisplayText&gt;[36,40]&lt;/DisplayText&gt;&lt;record&gt;&lt;rec-number&gt;356&lt;/rec-number&gt;&lt;foreign-keys&gt;&lt;key app="EN" db-id="xar2s2tvi9rr2mexds6ve9wppw9pf9tspvv9" timestamp="1391081661"&gt;356&lt;/key&gt;&lt;/foreign-keys&gt;&lt;ref-type name="Journal Article"&gt;17&lt;/ref-type&gt;&lt;contributors&gt;&lt;authors&gt;&lt;author&gt;Martin, Natasha K.&lt;/author&gt;&lt;author&gt;Vickerman, Peter&lt;/author&gt;&lt;author&gt;Miners, Alec&lt;/author&gt;&lt;author&gt;Foster, Graham R.&lt;/author&gt;&lt;author&gt;Hutchinson, Sharon J.&lt;</w:instrText>
            </w:r>
            <w:r>
              <w:rPr>
                <w:rFonts w:hint="eastAsia"/>
                <w:sz w:val="18"/>
              </w:rPr>
              <w:instrText>/author&gt;&lt;author&gt;Goldberg, David J.&lt;/author&gt;&lt;author&gt;Hickman, Matthew&lt;/author&gt;&lt;/authors&gt;&lt;/contributors&gt;&lt;titles&gt;&lt;title&gt;Cost</w:instrText>
            </w:r>
            <w:r>
              <w:rPr>
                <w:rFonts w:ascii="Cambria Math" w:hAnsi="Cambria Math" w:cs="Cambria Math"/>
                <w:sz w:val="18"/>
              </w:rPr>
              <w:instrText>‐</w:instrText>
            </w:r>
            <w:r>
              <w:rPr>
                <w:rFonts w:hint="eastAsia"/>
                <w:sz w:val="18"/>
              </w:rPr>
              <w:instrText>effectiveness of hepatitis C virus antiviral treatment for injection drug user populations&lt;/title&gt;&lt;secondary-title&gt;Hepatology&lt;/seconda</w:instrText>
            </w:r>
            <w:r>
              <w:rPr>
                <w:sz w:val="18"/>
              </w:rPr>
              <w:instrText>ry-title&gt;&lt;/titles&gt;&lt;periodical&gt;&lt;full-title&gt;Hepatology&lt;/full-title&gt;&lt;/periodical&gt;&lt;pages&gt;49-57&lt;/pages&gt;&lt;volume&gt;55&lt;/volume&gt;&lt;number&gt;1&lt;/number&gt;&lt;dates&gt;&lt;year&gt;2012&lt;/year&gt;&lt;/dates&gt;&lt;publisher&gt;Wiley Online Library&lt;/publisher&gt;&lt;isbn&gt;1527-3350&lt;/isbn&gt;&lt;urls&gt;&lt;/urls&gt;&lt;/record&gt;&lt;/Cite&gt;&lt;Cite&gt;&lt;Author&gt;Shepherd&lt;/Author&gt;&lt;Year&gt;2004&lt;/Year&gt;&lt;RecNum&gt;358&lt;/RecNum&gt;&lt;record&gt;&lt;rec-number&gt;358&lt;/rec-number&gt;&lt;foreign-keys&gt;&lt;key app="EN" db-id="xar2s2tvi9rr2mexds6ve9wppw9pf9tspvv9" timestamp="1391082153"&gt;358&lt;/key&gt;&lt;/foreign-keys&gt;&lt;ref-type name="Journal Article"&gt;17&lt;/ref-type&gt;&lt;contributors&gt;&lt;authors&gt;&lt;author&gt;Shepherd, J.&lt;/author&gt;&lt;author&gt;Brodin, Håkan&lt;/author&gt;&lt;author&gt;Cave, Carolyn&lt;/author&gt;&lt;author&gt;Waugh, Norman&lt;/author&gt;&lt;author&gt;Price, Alison&lt;/author&gt;&lt;author&gt;Gabbay, John&lt;/author&gt;&lt;/authors&gt;&lt;/contributors&gt;&lt;titles&gt;&lt;title&gt;Pegylated interferon alpha-2a and-2b in combination with ribavirin in the treatment of chronic hepatitis C: a systematic review and economic evaluation&lt;/title&gt;&lt;secondary-title&gt;Health Technology Assessment&lt;/secondary-title&gt;&lt;/titles&gt;&lt;periodical&gt;&lt;full-title&gt;Health Technology Assessment&lt;/full-title&gt;&lt;/periodical&gt;&lt;volume&gt;8&lt;/volume&gt;&lt;number&gt;39&lt;/number&gt;&lt;dates&gt;&lt;year&gt;2004&lt;/year&gt;&lt;/dates&gt;&lt;publisher&gt;NIHR Health Technology Assessment programme&lt;/publisher&gt;&lt;isbn&gt;1366-5278&lt;/isbn&gt;&lt;urls&gt;&lt;/urls&gt;&lt;/record&gt;&lt;/Cite&gt;&lt;/EndNote&gt;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[</w:t>
            </w:r>
            <w:hyperlink w:anchor="_ENREF_36" w:tooltip="Shepherd, 2004 #358" w:history="1">
              <w:r>
                <w:rPr>
                  <w:noProof/>
                  <w:sz w:val="18"/>
                </w:rPr>
                <w:t>36</w:t>
              </w:r>
            </w:hyperlink>
            <w:r>
              <w:rPr>
                <w:noProof/>
                <w:sz w:val="18"/>
              </w:rPr>
              <w:t>,</w:t>
            </w:r>
            <w:hyperlink w:anchor="_ENREF_40" w:tooltip="Martin, 2012 #356" w:history="1">
              <w:r>
                <w:rPr>
                  <w:noProof/>
                  <w:sz w:val="18"/>
                </w:rPr>
                <w:t>40</w:t>
              </w:r>
            </w:hyperlink>
            <w:r>
              <w:rPr>
                <w:noProof/>
                <w:sz w:val="18"/>
              </w:rPr>
              <w:t>]</w:t>
            </w:r>
            <w:r>
              <w:rPr>
                <w:sz w:val="18"/>
              </w:rPr>
              <w:fldChar w:fldCharType="end"/>
            </w:r>
            <w:r w:rsidRPr="006D1CFB">
              <w:rPr>
                <w:sz w:val="18"/>
              </w:rPr>
              <w:t>.</w:t>
            </w:r>
          </w:p>
          <w:p w:rsidR="00CD6DF5" w:rsidRPr="006D1CFB" w:rsidRDefault="00CD6DF5" w:rsidP="00661216">
            <w:pPr>
              <w:keepNext/>
              <w:keepLines/>
              <w:rPr>
                <w:sz w:val="18"/>
              </w:rPr>
            </w:pPr>
            <w:r>
              <w:rPr>
                <w:sz w:val="18"/>
              </w:rPr>
              <w:t>^ Assumed the health utility associated with SVR from F4 is the same as the health utility associated with SVR from F2/F3.</w:t>
            </w:r>
          </w:p>
        </w:tc>
      </w:tr>
    </w:tbl>
    <w:p w:rsidR="00CD6DF5" w:rsidRPr="00EF12C3" w:rsidRDefault="00CD6DF5" w:rsidP="00CD6DF5">
      <w:pPr>
        <w:spacing w:line="480" w:lineRule="auto"/>
        <w:rPr>
          <w:b/>
          <w:u w:val="single"/>
        </w:rPr>
      </w:pPr>
      <w:bookmarkStart w:id="0" w:name="_GoBack"/>
      <w:bookmarkEnd w:id="0"/>
    </w:p>
    <w:p w:rsidR="00274999" w:rsidRDefault="00274999"/>
    <w:sectPr w:rsidR="002749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F5"/>
    <w:rsid w:val="00274999"/>
    <w:rsid w:val="005325FB"/>
    <w:rsid w:val="00C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F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F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DF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DF5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F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danielsugrue</dc:creator>
  <cp:lastModifiedBy>danielsugrue</cp:lastModifiedBy>
  <cp:revision>2</cp:revision>
  <dcterms:created xsi:type="dcterms:W3CDTF">2014-11-07T15:16:00Z</dcterms:created>
  <dcterms:modified xsi:type="dcterms:W3CDTF">2014-11-07T15:16:00Z</dcterms:modified>
</cp:coreProperties>
</file>