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7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530"/>
        <w:gridCol w:w="1530"/>
        <w:gridCol w:w="1902"/>
        <w:gridCol w:w="276"/>
        <w:gridCol w:w="1518"/>
        <w:gridCol w:w="1620"/>
        <w:gridCol w:w="1716"/>
        <w:gridCol w:w="276"/>
        <w:gridCol w:w="1782"/>
        <w:gridCol w:w="1530"/>
        <w:gridCol w:w="1800"/>
      </w:tblGrid>
      <w:tr w:rsidR="00AA61DD" w:rsidRPr="00AA61DD" w:rsidTr="005E1A9F">
        <w:trPr>
          <w:trHeight w:hRule="exact" w:val="245"/>
        </w:trPr>
        <w:tc>
          <w:tcPr>
            <w:tcW w:w="17478" w:type="dxa"/>
            <w:gridSpan w:val="12"/>
            <w:shd w:val="clear" w:color="auto" w:fill="FFFFFF" w:themeFill="background1"/>
            <w:noWrap/>
            <w:hideMark/>
          </w:tcPr>
          <w:p w:rsidR="00AA61DD" w:rsidRPr="00AA61DD" w:rsidRDefault="00AA61DD" w:rsidP="00AA61DD">
            <w:pPr>
              <w:spacing w:after="200" w:line="276" w:lineRule="auto"/>
              <w:rPr>
                <w:b/>
                <w:bCs/>
                <w:sz w:val="20"/>
                <w:szCs w:val="20"/>
              </w:rPr>
            </w:pPr>
            <w:bookmarkStart w:id="0" w:name="_GoBack"/>
            <w:bookmarkEnd w:id="0"/>
            <w:r w:rsidRPr="00AA61DD">
              <w:rPr>
                <w:b/>
                <w:bCs/>
                <w:sz w:val="20"/>
                <w:szCs w:val="20"/>
              </w:rPr>
              <w:t>Supplemental Table 1. Overall and state-specific HPV vaccination coverage among adolescent girls, 13-17 years,* NIS-Teen, United States, 2008 and 2010</w:t>
            </w:r>
          </w:p>
        </w:tc>
      </w:tr>
      <w:tr w:rsidR="00AA61DD" w:rsidRPr="00AA61DD" w:rsidTr="005E1A9F">
        <w:trPr>
          <w:trHeight w:hRule="exact" w:val="245"/>
        </w:trPr>
        <w:tc>
          <w:tcPr>
            <w:tcW w:w="1998" w:type="dxa"/>
            <w:tcBorders>
              <w:bottom w:val="single" w:sz="4" w:space="0" w:color="auto"/>
            </w:tcBorders>
            <w:noWrap/>
            <w:hideMark/>
          </w:tcPr>
          <w:p w:rsidR="00AA61DD" w:rsidRPr="00AA61DD" w:rsidRDefault="00AA61DD" w:rsidP="00AA61DD">
            <w:pPr>
              <w:spacing w:after="200" w:line="276" w:lineRule="auto"/>
              <w:rPr>
                <w:sz w:val="20"/>
                <w:szCs w:val="20"/>
              </w:rPr>
            </w:pPr>
          </w:p>
        </w:tc>
        <w:tc>
          <w:tcPr>
            <w:tcW w:w="1530"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1530"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1902"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276"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1518"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1620"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1716"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276"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1782"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1530"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c>
          <w:tcPr>
            <w:tcW w:w="1800" w:type="dxa"/>
            <w:tcBorders>
              <w:bottom w:val="single" w:sz="4" w:space="0" w:color="auto"/>
            </w:tcBorders>
            <w:shd w:val="clear" w:color="auto" w:fill="FFFFFF" w:themeFill="background1"/>
            <w:noWrap/>
            <w:hideMark/>
          </w:tcPr>
          <w:p w:rsidR="00AA61DD" w:rsidRPr="00AA61DD" w:rsidRDefault="00AA61DD" w:rsidP="00AA61DD">
            <w:pPr>
              <w:spacing w:after="200" w:line="276" w:lineRule="auto"/>
              <w:rPr>
                <w:sz w:val="20"/>
                <w:szCs w:val="20"/>
              </w:rPr>
            </w:pPr>
          </w:p>
        </w:tc>
      </w:tr>
      <w:tr w:rsidR="00AA61DD" w:rsidRPr="00AA61DD" w:rsidTr="005E1A9F">
        <w:trPr>
          <w:trHeight w:hRule="exact" w:val="245"/>
        </w:trPr>
        <w:tc>
          <w:tcPr>
            <w:tcW w:w="1998" w:type="dxa"/>
            <w:tcBorders>
              <w:top w:val="single" w:sz="4" w:space="0" w:color="auto"/>
            </w:tcBorders>
            <w:noWrap/>
            <w:vAlign w:val="center"/>
            <w:hideMark/>
          </w:tcPr>
          <w:p w:rsidR="00AA61DD" w:rsidRPr="00AA61DD" w:rsidRDefault="00AA61DD" w:rsidP="00AA61DD">
            <w:pPr>
              <w:spacing w:after="200" w:line="276" w:lineRule="auto"/>
              <w:rPr>
                <w:sz w:val="20"/>
                <w:szCs w:val="20"/>
              </w:rPr>
            </w:pPr>
          </w:p>
        </w:tc>
        <w:tc>
          <w:tcPr>
            <w:tcW w:w="4962" w:type="dxa"/>
            <w:gridSpan w:val="3"/>
            <w:tcBorders>
              <w:top w:val="single" w:sz="4" w:space="0" w:color="auto"/>
              <w:bottom w:val="single" w:sz="4" w:space="0" w:color="auto"/>
            </w:tcBorders>
            <w:shd w:val="clear" w:color="auto" w:fill="FFFFFF" w:themeFill="background1"/>
            <w:vAlign w:val="center"/>
            <w:hideMark/>
          </w:tcPr>
          <w:p w:rsidR="00AA61DD" w:rsidRPr="00AA61DD" w:rsidRDefault="00AA61DD" w:rsidP="00AA61DD">
            <w:pPr>
              <w:spacing w:after="200" w:line="276" w:lineRule="auto"/>
              <w:jc w:val="center"/>
              <w:rPr>
                <w:sz w:val="20"/>
                <w:szCs w:val="20"/>
              </w:rPr>
            </w:pPr>
            <w:r w:rsidRPr="00AA61DD">
              <w:rPr>
                <w:sz w:val="20"/>
                <w:szCs w:val="20"/>
              </w:rPr>
              <w:t>≥1 dose†</w:t>
            </w:r>
          </w:p>
        </w:tc>
        <w:tc>
          <w:tcPr>
            <w:tcW w:w="276" w:type="dxa"/>
            <w:tcBorders>
              <w:top w:val="single" w:sz="4" w:space="0" w:color="auto"/>
            </w:tcBorders>
            <w:shd w:val="clear" w:color="auto" w:fill="FFFFFF" w:themeFill="background1"/>
            <w:vAlign w:val="center"/>
            <w:hideMark/>
          </w:tcPr>
          <w:p w:rsidR="00AA61DD" w:rsidRPr="00AA61DD" w:rsidRDefault="00AA61DD" w:rsidP="00AA61DD">
            <w:pPr>
              <w:spacing w:after="200" w:line="276" w:lineRule="auto"/>
              <w:jc w:val="center"/>
              <w:rPr>
                <w:sz w:val="20"/>
                <w:szCs w:val="20"/>
              </w:rPr>
            </w:pPr>
          </w:p>
        </w:tc>
        <w:tc>
          <w:tcPr>
            <w:tcW w:w="4854" w:type="dxa"/>
            <w:gridSpan w:val="3"/>
            <w:tcBorders>
              <w:top w:val="single" w:sz="4" w:space="0" w:color="auto"/>
              <w:bottom w:val="single" w:sz="4" w:space="0" w:color="auto"/>
            </w:tcBorders>
            <w:shd w:val="clear" w:color="auto" w:fill="FFFFFF" w:themeFill="background1"/>
            <w:vAlign w:val="center"/>
            <w:hideMark/>
          </w:tcPr>
          <w:p w:rsidR="00AA61DD" w:rsidRPr="00AA61DD" w:rsidRDefault="00AA61DD" w:rsidP="00AA61DD">
            <w:pPr>
              <w:spacing w:after="200" w:line="276" w:lineRule="auto"/>
              <w:jc w:val="center"/>
              <w:rPr>
                <w:sz w:val="20"/>
                <w:szCs w:val="20"/>
              </w:rPr>
            </w:pPr>
            <w:r w:rsidRPr="00AA61DD">
              <w:rPr>
                <w:sz w:val="20"/>
                <w:szCs w:val="20"/>
              </w:rPr>
              <w:t>3 dose</w:t>
            </w:r>
          </w:p>
        </w:tc>
        <w:tc>
          <w:tcPr>
            <w:tcW w:w="276" w:type="dxa"/>
            <w:tcBorders>
              <w:top w:val="single" w:sz="4" w:space="0" w:color="auto"/>
            </w:tcBorders>
            <w:shd w:val="clear" w:color="auto" w:fill="FFFFFF" w:themeFill="background1"/>
            <w:vAlign w:val="center"/>
            <w:hideMark/>
          </w:tcPr>
          <w:p w:rsidR="00AA61DD" w:rsidRPr="00AA61DD" w:rsidRDefault="00AA61DD" w:rsidP="00AA61DD">
            <w:pPr>
              <w:spacing w:after="200" w:line="276" w:lineRule="auto"/>
              <w:jc w:val="center"/>
              <w:rPr>
                <w:sz w:val="20"/>
                <w:szCs w:val="20"/>
              </w:rPr>
            </w:pPr>
          </w:p>
        </w:tc>
        <w:tc>
          <w:tcPr>
            <w:tcW w:w="5112" w:type="dxa"/>
            <w:gridSpan w:val="3"/>
            <w:tcBorders>
              <w:top w:val="single" w:sz="4" w:space="0" w:color="auto"/>
              <w:bottom w:val="single" w:sz="4" w:space="0" w:color="auto"/>
            </w:tcBorders>
            <w:shd w:val="clear" w:color="auto" w:fill="FFFFFF" w:themeFill="background1"/>
            <w:vAlign w:val="center"/>
            <w:hideMark/>
          </w:tcPr>
          <w:p w:rsidR="00AA61DD" w:rsidRPr="00AA61DD" w:rsidRDefault="00AA61DD" w:rsidP="00AA61DD">
            <w:pPr>
              <w:spacing w:after="200" w:line="276" w:lineRule="auto"/>
              <w:jc w:val="center"/>
              <w:rPr>
                <w:sz w:val="20"/>
                <w:szCs w:val="20"/>
              </w:rPr>
            </w:pPr>
            <w:r w:rsidRPr="00AA61DD">
              <w:rPr>
                <w:sz w:val="20"/>
                <w:szCs w:val="20"/>
              </w:rPr>
              <w:t>3-dose series completion‡</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p>
        </w:tc>
        <w:tc>
          <w:tcPr>
            <w:tcW w:w="1530"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2008</w:t>
            </w:r>
          </w:p>
        </w:tc>
        <w:tc>
          <w:tcPr>
            <w:tcW w:w="1530"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2010</w:t>
            </w:r>
          </w:p>
        </w:tc>
        <w:tc>
          <w:tcPr>
            <w:tcW w:w="1902"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Difference</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2008</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2010</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Difference</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2008</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2010</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Difference</w:t>
            </w:r>
          </w:p>
        </w:tc>
      </w:tr>
      <w:tr w:rsidR="00AA61DD" w:rsidRPr="00AA61DD" w:rsidTr="005E1A9F">
        <w:trPr>
          <w:trHeight w:hRule="exact" w:val="245"/>
        </w:trPr>
        <w:tc>
          <w:tcPr>
            <w:tcW w:w="1998" w:type="dxa"/>
            <w:tcBorders>
              <w:bottom w:val="single" w:sz="4" w:space="0" w:color="auto"/>
            </w:tcBorders>
            <w:noWrap/>
            <w:vAlign w:val="center"/>
            <w:hideMark/>
          </w:tcPr>
          <w:p w:rsidR="00AA61DD" w:rsidRPr="00AA61DD" w:rsidRDefault="00AA61DD" w:rsidP="00AA61DD">
            <w:pPr>
              <w:spacing w:after="200" w:line="276" w:lineRule="auto"/>
              <w:rPr>
                <w:sz w:val="20"/>
                <w:szCs w:val="20"/>
              </w:rPr>
            </w:pPr>
          </w:p>
        </w:tc>
        <w:tc>
          <w:tcPr>
            <w:tcW w:w="1530"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 (95% CI)§</w:t>
            </w:r>
          </w:p>
        </w:tc>
        <w:tc>
          <w:tcPr>
            <w:tcW w:w="1530"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 (95% CI)</w:t>
            </w:r>
          </w:p>
        </w:tc>
        <w:tc>
          <w:tcPr>
            <w:tcW w:w="1902"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 (95%CI)</w:t>
            </w:r>
          </w:p>
        </w:tc>
        <w:tc>
          <w:tcPr>
            <w:tcW w:w="276"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 (95% CI)</w:t>
            </w:r>
          </w:p>
        </w:tc>
        <w:tc>
          <w:tcPr>
            <w:tcW w:w="1620"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 (95% CI)</w:t>
            </w:r>
          </w:p>
        </w:tc>
        <w:tc>
          <w:tcPr>
            <w:tcW w:w="1716"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 (95%CI)</w:t>
            </w:r>
          </w:p>
        </w:tc>
        <w:tc>
          <w:tcPr>
            <w:tcW w:w="276"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 (95% CI)</w:t>
            </w:r>
          </w:p>
        </w:tc>
        <w:tc>
          <w:tcPr>
            <w:tcW w:w="1530"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 (95% CI)</w:t>
            </w:r>
          </w:p>
        </w:tc>
        <w:tc>
          <w:tcPr>
            <w:tcW w:w="1800" w:type="dxa"/>
            <w:tcBorders>
              <w:bottom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 (95%CI)</w:t>
            </w:r>
          </w:p>
        </w:tc>
      </w:tr>
      <w:tr w:rsidR="00AA61DD" w:rsidRPr="00AA61DD" w:rsidTr="005E1A9F">
        <w:trPr>
          <w:trHeight w:hRule="exact" w:val="245"/>
        </w:trPr>
        <w:tc>
          <w:tcPr>
            <w:tcW w:w="1998" w:type="dxa"/>
            <w:tcBorders>
              <w:top w:val="single" w:sz="4" w:space="0" w:color="auto"/>
            </w:tcBorders>
            <w:noWrap/>
            <w:vAlign w:val="center"/>
            <w:hideMark/>
          </w:tcPr>
          <w:p w:rsidR="00AA61DD" w:rsidRPr="00AA61DD" w:rsidRDefault="00AA61DD" w:rsidP="00AA61DD">
            <w:pPr>
              <w:spacing w:after="200" w:line="276" w:lineRule="auto"/>
              <w:rPr>
                <w:b/>
                <w:bCs/>
                <w:sz w:val="20"/>
                <w:szCs w:val="20"/>
              </w:rPr>
            </w:pPr>
            <w:r w:rsidRPr="00AA61DD">
              <w:rPr>
                <w:b/>
                <w:bCs/>
                <w:sz w:val="20"/>
                <w:szCs w:val="20"/>
              </w:rPr>
              <w:t>United States</w:t>
            </w:r>
          </w:p>
        </w:tc>
        <w:tc>
          <w:tcPr>
            <w:tcW w:w="1530"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37.2 (35.1-39.3)</w:t>
            </w:r>
          </w:p>
        </w:tc>
        <w:tc>
          <w:tcPr>
            <w:tcW w:w="1530"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48.7 (46.9-50.5)</w:t>
            </w:r>
          </w:p>
        </w:tc>
        <w:tc>
          <w:tcPr>
            <w:tcW w:w="1902"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11.5 (8.7 - 14.3)||</w:t>
            </w:r>
          </w:p>
        </w:tc>
        <w:tc>
          <w:tcPr>
            <w:tcW w:w="276"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17.9 (16.3-19.6)</w:t>
            </w:r>
          </w:p>
        </w:tc>
        <w:tc>
          <w:tcPr>
            <w:tcW w:w="1620"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32.0 (30.3-33.6)</w:t>
            </w:r>
          </w:p>
        </w:tc>
        <w:tc>
          <w:tcPr>
            <w:tcW w:w="1716"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14.1 (11.8 - 16.4)||</w:t>
            </w:r>
          </w:p>
        </w:tc>
        <w:tc>
          <w:tcPr>
            <w:tcW w:w="276"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59.6 (55.5-63.5)</w:t>
            </w:r>
          </w:p>
        </w:tc>
        <w:tc>
          <w:tcPr>
            <w:tcW w:w="1530"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69.6 (66.8-72.2)</w:t>
            </w:r>
          </w:p>
        </w:tc>
        <w:tc>
          <w:tcPr>
            <w:tcW w:w="1800" w:type="dxa"/>
            <w:tcBorders>
              <w:top w:val="single" w:sz="4" w:space="0" w:color="auto"/>
            </w:tcBorders>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10.0 (5.2 - 14.8)||</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Alabama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32.8 (25.5-41.1)</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45.8 (36.9-55.0)</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13.0 (0.9 - 25.1)||</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13.2 (8.8-19.3)</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20.0 (13.9-27.9)</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6.8 (-1.9 - 15.5)</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50.3 (34.4-66.1)</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47.4 (34.3-60.9)</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-2.9 (-24.2 - 18.4)</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Alaska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38.8 (30.6-47.8)</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40.8 (32.0-50.3)</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 (-10.7 - 14.7)</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21.0 (14.7-29.0)</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25.0 (17.8-33.9)</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4.0 (-6.8 - 14.8)</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67.7 (50.7-81.1)</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63.4 (49.2-75.7)</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-4.3 (-24.9 - 16.3)</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Arizona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50.5 (40.3-60.7)</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52.8 (43.4-62.0)</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2.3 (-11.7 - 16.3)</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20.8 (13.8-30.1)</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33.1 (24.7-42.8)</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12.3 (0.1 - 24.5)||</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51.2 (35.1-67.0)</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67.0 (53.7-78.0)</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15.8 (-4.9 - 36.5)</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Arkansas</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22.4 (16.2-30.2)</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37.9 (28.5-48.3)</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15.5 (3.3 - 27.7)||</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19.6 (13.2-28.2)</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38.3 (21.4-58.4)</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63.4 (41.5-80.8)</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25.1 (-3.2 - 53.4)</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California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46.6 (36.1-57.5)</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56.1 (46.9-64.9)</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9.5 (-4.6 - 23.6)</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22.1 (14.2-32.8)</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32.0 (24.5-40.6)</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9.9 (-2.5 - 22.3)</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57.0 (39.3-73.1)</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61.0 (48.3-72.4)</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4.0 (-17.5 - 25.5)</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Colorado</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33.5 (25.6-42.6)</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52.5 (43.5-61.4)</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19.0 (6.6 - 31.4)||</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19.0 (12.7-27.4)</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40.9 (32.5-49.9)</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21.9 (10.4 - 33.4)||</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72.7 (55.7-85.0)</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81.6 (69.7-89.5)</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8.9 (-9.0 - 26.8)</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Connecticut</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45.0 (35.6-54.8)</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57.9 (49.4-65.9)</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12.9 (0.1 - 25.7||</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23.3 (16.4-32.0)</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45.5 (37.2-54.1)</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22.2 (10.6 - 33.8)||</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67.7 (50.6-81.1)</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83.2 (71.3-90.8)</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15.5 (-2.9 - 33.9)</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Delaware</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46.8 (37.9-56.0)</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63.9 (54.9-72.0)</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17.1 (4.5 - 29.7)||</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26.1 (18.8-34.9)</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40.4 (31.7-49.7)</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14.3 (2.2 - 26.4)||</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79.7 (67.1-88.3)</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68.6 (55.3-79.5)</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-11.1 (-27.3 - 5.1)</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District of Columbia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38.7 (30.0-48.3)</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57.5 (48.6-66.0)</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18.8 (6.0 - 31.6)||</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12.4 (7.7-19.3)</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33.8 (26.2-42.5)</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21.4 (11.4 - 31.4)||</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37.4 (23.1-54.2)</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62.7 (50.8-73.2)</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25.3 (5.6 - 45.0)||</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Florida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36.7 (26.8-48.0)</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41.1 (31.5-51.4)</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4.4 (-10.4 - 19.2)</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20.2 (13.3-29.6)</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24.9 (16.9-35.1)</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4.7 (-7.5 - 16.9)</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65.9 (46.0-81.4)</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62.0 (45.7-76.0)</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-3.9 (-28.0 - 20.2)</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Georgia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18.5 (13.0-25.6)</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43.5 (35.8-51.5)</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25.0 (14.9 - 35.1)||</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8.1 (5.0-12.9)</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22.8 (17.4-29.4)</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14.7 (7.5 - 21.9)||</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56.1 (37.8-73.0)</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56.2 (43.3-68.3)</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0.1 (-22.3 - 22.5)</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Hawaii</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40.2 (32.3-48.6)</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62.7 (52.8-71.6)</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22.5 (10.0 - 35.0)||</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18.7 (13.1-25.9)</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39.9 (31.1-49.4)</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21.2 (10.0 - 32.4)||</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64.5 (49.3-77.2)</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70.9 (59.0-80.5)</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6.4 (-11.6 - 24.4)</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Idaho</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28.4 (20.5-38.0)</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28.8 (21.6-37.3)</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0.4 (-11.5 - 12.3)</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8.0 (4.4-14.1)</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17.6 (11.8-25.4)</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9.6 (1.3 - 17.9)||</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66.1 (49.5-79.6)</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Illinois</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27.0 (20.8-34.2)</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39.7 (33.3-46.4)</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12.7 (3.3 - 22.1)||</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12.8 (8.5-18.9)</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26.0 (20.6-32.2)</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13.2 (5.4 - 21.0)||</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59.3 (44.3-72.7)</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72.2 (62.3-80.4)</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12.9 (-4.3 - 30.1)</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Indiana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26.1 (19.8-33.6)</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37.0 (29.2-45.6)</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10.9 (0.1 - 21.7)||</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11.6 (7.4-17.6)</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24.8 (18.4-32.7)</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13.2 (4.4 - 22.0)||</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62.2 (44.0-77.5)</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77.6 (62.8-87.7)</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15.4 (-6.0 - 36.8)</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Iowa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41.9 (32.6-51.9)</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48.2 (38.9-57.7)</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6.3 (-7.3 - 19.9)</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26.8 (18.7-36.7)</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36.2 (27.8-45.5)</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9.4 (-3.3 - 22.1)</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75.2 (58.8-86.6)</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79.4 (66.3-88.3)</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4.2 (-13.7 - 22.1)</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Kansas</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30.1 (21.8-40.0)</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40.2 (32.0-48.9)</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10.1 (-2.4 - 22.6)</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15.6 (9.1-25.3)</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25.1 (18.6-33.0)</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9.5 (-1.3 - 20.3)</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64.2 (44.4-80.2)</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62.9 (47.7-76.0)</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-1.3 (-25.0 - 22.4)</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Kentucky</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26.3 (18.8-35.4)</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40.1 (31.4-49.5)</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13.8 (1.4 - 26.2)||</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12.7 (8.1-19.4)</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27.3 (20.1-35.9)</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14.6 (4.9 - 24.3)||</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59.7 (38.5-77.8)</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75.5 (59.0-86.9)</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15.8 (-9.2 - 40.8)</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Louisiana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36.6 (28.3-45.6)</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54.2 (44.9-63.2)</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17.6 (4.9 - 30.3)||</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16.5 (11.0-24.1)</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39.3 (30.6-48.6)</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22.8 (11.6 - 34.0)||</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54.4 (37.1-70.6)</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74.4 (62.1-83.8)</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20.0 (-0.6 - 40.6)</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Maine</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40.3 (32.2-49.0)</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54.6 (45.0-63.8)</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14.3 (1.5 - 27.1)||</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21.4 (14.9-29.8)</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32.9 (24.8-42.2)</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11.5 (0.0 - 23.0)||</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74.1 (59.4-84.9)</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65.2 (51.9-76.5)</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-8.9 (-26.9 - 9.1)</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Maryland</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41.1 (32.4-50.5)</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41.6 (32.6-51.3)</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0.5 (-12.6 - 13.6)</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14.2 (9.7-20.5)</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30.8 (22.9-40.0)</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16.6 (6.5 - 26.7)||</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43.3 (28.7-59.1)</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76.5 (62.1-86.6)</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33.2 (13.2 - 53.2)||</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Massachusetts</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53.3 (43.8-62.6)</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65.9 (56.5-74.1)</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12.6 (-0.4 - 25.6)</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29.1 (21.7-37.8)</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46.8 (37.1-56.9)</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17.7 (4.8 - 30.6)||</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63.8 (49.1-76.4)</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71.1 (56.7-82.2)</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7.3 (-11.7 - 26.3)</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Michigan</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32.3 (23.8-42.1)</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49.4 (39.6-59.3)</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17.1 (3.5 - 30.7)||</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13.5 (8.5-20.7)</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25.2 (18.1-33.9)</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11.7 (1.7 - 21.7)||</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53.4 (32.4-73.2)</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52.7 (38.4-66.6)</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-0.7 (-26.7 - 25.3)</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Minnesota</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33.6 (26.4-41.6)</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51.3 (42.0-60.5)</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17.7 (5.6 - 29.8)||</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14.7 (10.1-20.7)</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37.8 (29.3-47.1)</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23.1 (12.7 - 33.5)||</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52.4 (38.2-66.3)</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80.1 (65.8-89.4)</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27.7 (9.1 - 46.3)||</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Mississippi</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15.8 (10.6-23.0)</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34.0 (26.2-42.6)</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18.2 (7.9 - 28.5)||</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20.0 (13.8-28.2)</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62.8 (46.9-76.3)</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Missouri</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31.6 (23.8-40.7)</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41.4 (33.4-49.8)</w:t>
            </w:r>
          </w:p>
        </w:tc>
        <w:tc>
          <w:tcPr>
            <w:tcW w:w="190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9.8 (-2.1 - 21.7)</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518"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15.1 (9.8-22.6)</w:t>
            </w:r>
          </w:p>
        </w:tc>
        <w:tc>
          <w:tcPr>
            <w:tcW w:w="162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25.5 (19.3-33.0)</w:t>
            </w:r>
          </w:p>
        </w:tc>
        <w:tc>
          <w:tcPr>
            <w:tcW w:w="171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10.4 (1.0 - 19.8)||</w:t>
            </w:r>
          </w:p>
        </w:tc>
        <w:tc>
          <w:tcPr>
            <w:tcW w:w="276"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p>
        </w:tc>
        <w:tc>
          <w:tcPr>
            <w:tcW w:w="1782"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57.8 (38.3-75.2)</w:t>
            </w:r>
          </w:p>
        </w:tc>
        <w:tc>
          <w:tcPr>
            <w:tcW w:w="153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66.0 (51.3-78.1)</w:t>
            </w:r>
          </w:p>
        </w:tc>
        <w:tc>
          <w:tcPr>
            <w:tcW w:w="1800" w:type="dxa"/>
            <w:shd w:val="clear" w:color="auto" w:fill="FFFFFF" w:themeFill="background1"/>
            <w:noWrap/>
            <w:vAlign w:val="center"/>
            <w:hideMark/>
          </w:tcPr>
          <w:p w:rsidR="00AA61DD" w:rsidRPr="00AA61DD" w:rsidRDefault="00AA61DD" w:rsidP="00AA61DD">
            <w:pPr>
              <w:spacing w:after="200" w:line="276" w:lineRule="auto"/>
              <w:jc w:val="center"/>
              <w:rPr>
                <w:sz w:val="20"/>
                <w:szCs w:val="20"/>
              </w:rPr>
            </w:pPr>
            <w:r w:rsidRPr="00AA61DD">
              <w:rPr>
                <w:sz w:val="20"/>
                <w:szCs w:val="20"/>
              </w:rPr>
              <w:t>8.2 (-15.5 - 31.9)</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Montana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17.8 (12.0-25.5)</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45.5 (36.9-54.4)</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27.7 (16.6 - 38.8)||</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8.6 (4.8-15.1)</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33.2 (25.1-42.3)</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24.6 (14.6 - 34.6)||</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77.3 (64.9-86.3)</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Nebraska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29.5 (23.0-37.0)</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52.3 (42.8-61.6)</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22.8 (11.0 - 34.6)||</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17.5 (12.4-24.3)</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42.5 (33.3-52.2)</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25.0 (13.8 - 36.2)||</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74.8 (60.6-85.2)</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84.0 (73.2-91.0)</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9.2 (-6.0 - 24.4)</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Nevada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30.0 (21.2-40.5)</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47.4 (38.9-56.2)</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17.4 (4.3 - 30.5)||</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25.9 (19.1-34.1)</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60.2 (46.3-72.7)</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r>
      <w:tr w:rsidR="00AA61DD" w:rsidRPr="00AA61DD" w:rsidTr="005E1A9F">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New Hampshire</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54.4 (44.3-64.1)</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49.6 (41.4-57.7)</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-4.8 (-17.7 - 8.1)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23.2 (15.3-33.5)</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42.2 (34.4-50.4)</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19.0 (6.8 - 31.2)||</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55.3 (37.8-71.5)</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87.1 (77.1-93.1)</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31.8 (12.6 - 51.0)||</w:t>
            </w:r>
          </w:p>
        </w:tc>
      </w:tr>
    </w:tbl>
    <w:p w:rsidR="00467CA4" w:rsidRDefault="00467CA4">
      <w:r>
        <w:br w:type="page"/>
      </w:r>
    </w:p>
    <w:tbl>
      <w:tblPr>
        <w:tblStyle w:val="TableGrid"/>
        <w:tblW w:w="17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530"/>
        <w:gridCol w:w="1530"/>
        <w:gridCol w:w="1902"/>
        <w:gridCol w:w="276"/>
        <w:gridCol w:w="1518"/>
        <w:gridCol w:w="1620"/>
        <w:gridCol w:w="1716"/>
        <w:gridCol w:w="276"/>
        <w:gridCol w:w="1782"/>
        <w:gridCol w:w="1530"/>
        <w:gridCol w:w="1800"/>
      </w:tblGrid>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lastRenderedPageBreak/>
              <w:t>New Jersey</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43.0 (34.3-52.1)</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35.4 (27.0-44.9)</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-7.6 (-20.4 - 5.2)</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20.4 (14.2-28.3)</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25.4 (18.6-33.7)</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5.0 (-5.3 - 15.3)</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60.8 (44.1-75.3)</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76.2 (56.2-88.9)</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15.4 (-7.7 - 38.5)</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New Mexico</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48.3 (38.4-58.4)</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48.4 (40.1-56.8)</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0.1 (-13.1 - 13.3)</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23.2 (15.4-33.4)</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31.1 (23.7-39.5)</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7.9 (-4.1 - 19.9)</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60.6 (44.1-75.1)</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67.6 (53.9-78.9)</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7.0 (-13.4 - 27.4)</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New York</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50.2 (43.1-57.3)</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56.2 (49.5-62.7)</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6.0 (-3.8 - 15.8)</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29.2 (22.9-36.4)</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39.7 (33.3-46.5)</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10.5 (1.0 - 20.0)||</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71.4 (60.4-80.4)</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76.9 (66.7-84.7)</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5.5 (-8.1 - 19.1)</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North Carolina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34.4 (26.3-43.6)</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51.9 (42.8-60.9)</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17.5 (4.9 - 30.1)||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17.8 (12.2-25.3)</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39.3 (30.6-48.6)</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21.5 (10.3 - 32.7)||</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67.4 (47.1-82.8)</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80.2 (67.6-88.8)</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12.8 (-8.5 - 34.1)</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North Dakota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28.7 (21.9-36.7)</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41.7 (33.7-50.2)</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13.0 (1.8 - 24.2)||</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15.9 (10.8-22.8)</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26.3 (19.8-34.0)</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10.4 (1.1 - 19.7)||</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69.4 (51.0-83.1)</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67.4 (53.1-79.1)</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-2.0 (-23.2 - 19.2)</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Ohio</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29.1 (21.6-37.9)</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44.0 (35.3-53.0)</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14.9 (2.7 - 27.1)||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15.6 (10.0-23.5)</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31.1 (23.6-39.8)</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15.5 (5.0 - 26.0)||</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65.1 (46.7-79.9)</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72.0 (56.3-83.7)</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6.9 (-15.2 - 29.0)</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Oklahoma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35.5 (27.3-44.7)</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47.4 (38.8-56.2)</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11.9 (-0.6 - 24.4)</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16.6 (10.9-24.4)</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31.1 (23.5-39.9)</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14.5 (3.9 - 25.1)||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58.2 (39.8-74.5)</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68.7 (54.8-79.9)</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10.5 (-11.6 - 32.6)</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Oregon</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34.8 (25.6-45.3)</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54.1 (44.4-63.4)</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19.3 (5.5 - 33.1)||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14.3 (8.7-22.4)</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38.2 (29.2-48.0)</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23.9 (12.2 - 35.6)||</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56.9 (37.5-74.5)</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74.3 (59.6-85.0)</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17.4 (-5.9 - 40.7)</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Pennsylvania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46.1 (38.7-53.7)</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52.3 (44.7-59.7)</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6.2 (-4.5 - 16.9)</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25.7 (19.5-33.0)</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41.7 (34.4-49.3)</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16.0 (5.9 - 26.1)||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64.8 (53.3-74.8)</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82.8 (74.0-89.1)</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18.0 (4.8 - 31.2)||</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Rhode Island</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54.7 (44.2-64.8)</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73.0 (64.6-80.0)</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18.3 (5.3 - 31.3)||</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31.4 (23.2-40.9)</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55.1 (46.0-63.9)</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23.7 (11.0 - 36.4)||</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67.2 (52.9-78.8)</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79.6 (68.7-87.4)</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12.4 (-3.8 - 28.6)</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South Carolina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18.7 (13.2-25.9)</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41.5 (32.6-51.0)</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22.8 (11.6 - 34.0)||</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13.8 (9.0-20.7)</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29.5 (21.5-39.0)</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15.7 (5.2 - 26.2)||</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80.8 (62.9-91.2)</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74.6 (60.0-85.2)</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-6.2 (-25.1 - 12.7)</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South Dakota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45.9 (37.9-54.1)</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68.8 (60.5-76.1)</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22.9 (11.6 - 34.2)||</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34.2 (26.9-42.4)</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54.5 (45.6-63.1)</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20.3 (8.5 - 32.1)||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75.6 (64.7-83.9)</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85.5 (75.7-91.7)</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9.9 (-2.6 - 22.4)</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Tennessee</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29.6 (21.5-39.3)</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33.1 (25.7-41.4)</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3.5 (-8.5 - 15.5)</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13.0 (7.9-20.9)</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26.3 (19.7-34.2)</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13.3 (3.6 - 23.0)||</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50.0 (30.7-69.3)</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83.1 (69.6-91.3)</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33.1 (10.1 - 56.1)||</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Texas</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31.6 (23.2-41.5)</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47.5 (40.5-54.6)</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15.9 (4.3 - 27.5)||</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9.7 (5.8-15.6)</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27.0 (21.3-33.6)</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17.3 (9.5 - 25.1)||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40.6 (24.3-59.3)</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62.3 (51.1-72.4)</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21.7 (0.5 - 42.9)||</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Utah</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17.1 (10.3-27.2)</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39.2 (31.0-48.0)</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22.1 (10.1 - 34.1)||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22.2 (15.7-30.5)</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59.1 (45.0-71.8)</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Vermont</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50.4 (40.9-59.8)</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49.6 (40.4-58.8)</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-0.8 (-14.2 - 12.6)</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25.8 (18.2-35.2)</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38.6 (30.2-47.7)</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12.8 (0.5 - 25.1)||</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69.6 (53.8-81.9)</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82.6 (65.7-92.2)</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13.0 (-6.4 - 32.4)</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Virginia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40.6 (31.9-50.0)</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54.0 (44.3-63.5)</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13.4 (0.0 - 26.8)||</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21.2 (14.7-29.6)</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41.5 (32.1-51.5)</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20.3 (7.9 - 32.7)||</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63.0 (46.8-76.6)</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78.2 (66.5-86.6)</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15.2 (-3.1 - 33.5)</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Washington</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46.5 (37.1-56.1)</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69.3 (61.5-76.2)</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22.8 (10.7 - 34.9)||</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23.8 (16.1-33.7)</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45.5 (37.3-53.9)</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21.7 (9.5 - 33.9)||</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60.5 (43.4-75.3)</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66.5 (55.8-75.8)</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6.0 (-13.4 - 25.4)</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West Virginia</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33.6 (25.7-42.6)</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42.4 (34.3-51.0)</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8.8 (-3.2 - 20.8)</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17.1 (11.3-25.1)</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25.3 (18.9-32.9)</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8.2 (-1.6 - 18.0)</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66.0 (47.5-80.6)</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63.9 (49.3-76.3)</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-2.1 (-24.1 - 19.9)</w:t>
            </w:r>
          </w:p>
        </w:tc>
      </w:tr>
      <w:tr w:rsidR="00AA61DD" w:rsidRPr="00AA61DD" w:rsidTr="007217CD">
        <w:trPr>
          <w:trHeight w:hRule="exact" w:val="245"/>
        </w:trPr>
        <w:tc>
          <w:tcPr>
            <w:tcW w:w="1998" w:type="dxa"/>
            <w:noWrap/>
            <w:vAlign w:val="center"/>
            <w:hideMark/>
          </w:tcPr>
          <w:p w:rsidR="00AA61DD" w:rsidRPr="00AA61DD" w:rsidRDefault="00AA61DD" w:rsidP="00AA61DD">
            <w:pPr>
              <w:spacing w:after="200" w:line="276" w:lineRule="auto"/>
              <w:rPr>
                <w:sz w:val="20"/>
                <w:szCs w:val="20"/>
              </w:rPr>
            </w:pPr>
            <w:r w:rsidRPr="00AA61DD">
              <w:rPr>
                <w:sz w:val="20"/>
                <w:szCs w:val="20"/>
              </w:rPr>
              <w:t>Wisconsin</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47.0 (37.0-57.1)</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54.4 (44.5-63.9)</w:t>
            </w:r>
          </w:p>
        </w:tc>
        <w:tc>
          <w:tcPr>
            <w:tcW w:w="190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7.4 (-6.8 - 21.6)</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518"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22.6 (14.9-32.7)</w:t>
            </w:r>
          </w:p>
        </w:tc>
        <w:tc>
          <w:tcPr>
            <w:tcW w:w="162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44.1 (34.7-54.0)</w:t>
            </w:r>
          </w:p>
        </w:tc>
        <w:tc>
          <w:tcPr>
            <w:tcW w:w="1716"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21.5 (8.3 - 34.7)||</w:t>
            </w:r>
          </w:p>
        </w:tc>
        <w:tc>
          <w:tcPr>
            <w:tcW w:w="276" w:type="dxa"/>
            <w:noWrap/>
            <w:vAlign w:val="center"/>
            <w:hideMark/>
          </w:tcPr>
          <w:p w:rsidR="00AA61DD" w:rsidRPr="00AA61DD" w:rsidRDefault="00AA61DD" w:rsidP="00AA61DD">
            <w:pPr>
              <w:spacing w:after="200" w:line="276" w:lineRule="auto"/>
              <w:jc w:val="center"/>
              <w:rPr>
                <w:sz w:val="20"/>
                <w:szCs w:val="20"/>
              </w:rPr>
            </w:pPr>
          </w:p>
        </w:tc>
        <w:tc>
          <w:tcPr>
            <w:tcW w:w="1782"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61.8 (43.9-77.0)</w:t>
            </w:r>
          </w:p>
        </w:tc>
        <w:tc>
          <w:tcPr>
            <w:tcW w:w="153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85.8 (73.5-93.0)</w:t>
            </w:r>
          </w:p>
        </w:tc>
        <w:tc>
          <w:tcPr>
            <w:tcW w:w="1800" w:type="dxa"/>
            <w:noWrap/>
            <w:vAlign w:val="center"/>
            <w:hideMark/>
          </w:tcPr>
          <w:p w:rsidR="00AA61DD" w:rsidRPr="00AA61DD" w:rsidRDefault="00AA61DD" w:rsidP="00AA61DD">
            <w:pPr>
              <w:spacing w:after="200" w:line="276" w:lineRule="auto"/>
              <w:jc w:val="center"/>
              <w:rPr>
                <w:sz w:val="20"/>
                <w:szCs w:val="20"/>
              </w:rPr>
            </w:pPr>
            <w:r w:rsidRPr="00AA61DD">
              <w:rPr>
                <w:sz w:val="20"/>
                <w:szCs w:val="20"/>
              </w:rPr>
              <w:t>24.0 (4.4 - 43.6)||</w:t>
            </w:r>
          </w:p>
        </w:tc>
      </w:tr>
      <w:tr w:rsidR="00AA61DD" w:rsidRPr="00AA61DD" w:rsidTr="007217CD">
        <w:trPr>
          <w:trHeight w:hRule="exact" w:val="245"/>
        </w:trPr>
        <w:tc>
          <w:tcPr>
            <w:tcW w:w="1998" w:type="dxa"/>
            <w:tcBorders>
              <w:bottom w:val="single" w:sz="4" w:space="0" w:color="auto"/>
            </w:tcBorders>
            <w:noWrap/>
            <w:vAlign w:val="center"/>
            <w:hideMark/>
          </w:tcPr>
          <w:p w:rsidR="00AA61DD" w:rsidRPr="00AA61DD" w:rsidRDefault="00AA61DD" w:rsidP="00AA61DD">
            <w:pPr>
              <w:spacing w:after="200" w:line="276" w:lineRule="auto"/>
              <w:rPr>
                <w:sz w:val="20"/>
                <w:szCs w:val="20"/>
              </w:rPr>
            </w:pPr>
            <w:r w:rsidRPr="00AA61DD">
              <w:rPr>
                <w:sz w:val="20"/>
                <w:szCs w:val="20"/>
              </w:rPr>
              <w:t>Wyoming</w:t>
            </w:r>
          </w:p>
        </w:tc>
        <w:tc>
          <w:tcPr>
            <w:tcW w:w="1530"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r w:rsidRPr="00AA61DD">
              <w:rPr>
                <w:sz w:val="20"/>
                <w:szCs w:val="20"/>
              </w:rPr>
              <w:t>36.2 (27.7-45.7)</w:t>
            </w:r>
          </w:p>
        </w:tc>
        <w:tc>
          <w:tcPr>
            <w:tcW w:w="1530"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r w:rsidRPr="00AA61DD">
              <w:rPr>
                <w:sz w:val="20"/>
                <w:szCs w:val="20"/>
              </w:rPr>
              <w:t>53.2 (44.1-62.0)</w:t>
            </w:r>
          </w:p>
        </w:tc>
        <w:tc>
          <w:tcPr>
            <w:tcW w:w="1902"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r w:rsidRPr="00AA61DD">
              <w:rPr>
                <w:sz w:val="20"/>
                <w:szCs w:val="20"/>
              </w:rPr>
              <w:t>17.0 (4.1 - 29.9)||</w:t>
            </w:r>
          </w:p>
        </w:tc>
        <w:tc>
          <w:tcPr>
            <w:tcW w:w="276"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p>
        </w:tc>
        <w:tc>
          <w:tcPr>
            <w:tcW w:w="1518"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r w:rsidRPr="00AA61DD">
              <w:rPr>
                <w:sz w:val="20"/>
                <w:szCs w:val="20"/>
              </w:rPr>
              <w:t>19.8 (13.5-28.2)</w:t>
            </w:r>
          </w:p>
        </w:tc>
        <w:tc>
          <w:tcPr>
            <w:tcW w:w="1620"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r w:rsidRPr="00AA61DD">
              <w:rPr>
                <w:sz w:val="20"/>
                <w:szCs w:val="20"/>
              </w:rPr>
              <w:t>40.3 (31.9-49.3)</w:t>
            </w:r>
          </w:p>
        </w:tc>
        <w:tc>
          <w:tcPr>
            <w:tcW w:w="1716"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r w:rsidRPr="00AA61DD">
              <w:rPr>
                <w:sz w:val="20"/>
                <w:szCs w:val="20"/>
              </w:rPr>
              <w:t>20.5 (9.1 - 31.9)||</w:t>
            </w:r>
          </w:p>
        </w:tc>
        <w:tc>
          <w:tcPr>
            <w:tcW w:w="276"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p>
        </w:tc>
        <w:tc>
          <w:tcPr>
            <w:tcW w:w="1782"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r w:rsidRPr="00AA61DD">
              <w:rPr>
                <w:sz w:val="20"/>
                <w:szCs w:val="20"/>
              </w:rPr>
              <w:t>74.5 (57.9-86.1)</w:t>
            </w:r>
          </w:p>
        </w:tc>
        <w:tc>
          <w:tcPr>
            <w:tcW w:w="1530"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r w:rsidRPr="00AA61DD">
              <w:rPr>
                <w:sz w:val="20"/>
                <w:szCs w:val="20"/>
              </w:rPr>
              <w:t>81.0 (68.1-89.5)</w:t>
            </w:r>
          </w:p>
        </w:tc>
        <w:tc>
          <w:tcPr>
            <w:tcW w:w="1800" w:type="dxa"/>
            <w:tcBorders>
              <w:bottom w:val="single" w:sz="4" w:space="0" w:color="auto"/>
            </w:tcBorders>
            <w:noWrap/>
            <w:vAlign w:val="center"/>
            <w:hideMark/>
          </w:tcPr>
          <w:p w:rsidR="00AA61DD" w:rsidRPr="00AA61DD" w:rsidRDefault="00AA61DD" w:rsidP="00AA61DD">
            <w:pPr>
              <w:spacing w:after="200" w:line="276" w:lineRule="auto"/>
              <w:jc w:val="center"/>
              <w:rPr>
                <w:sz w:val="20"/>
                <w:szCs w:val="20"/>
              </w:rPr>
            </w:pPr>
            <w:r w:rsidRPr="00AA61DD">
              <w:rPr>
                <w:sz w:val="20"/>
                <w:szCs w:val="20"/>
              </w:rPr>
              <w:t>6.5 (-11.3 - 24.3)</w:t>
            </w:r>
          </w:p>
        </w:tc>
      </w:tr>
      <w:tr w:rsidR="007217CD" w:rsidRPr="00AA61DD" w:rsidTr="006A02A3">
        <w:trPr>
          <w:trHeight w:hRule="exact" w:val="288"/>
        </w:trPr>
        <w:tc>
          <w:tcPr>
            <w:tcW w:w="17478" w:type="dxa"/>
            <w:gridSpan w:val="12"/>
            <w:tcBorders>
              <w:top w:val="single" w:sz="4" w:space="0" w:color="auto"/>
            </w:tcBorders>
            <w:noWrap/>
            <w:vAlign w:val="bottom"/>
            <w:hideMark/>
          </w:tcPr>
          <w:p w:rsidR="007217CD" w:rsidRPr="00AA61DD" w:rsidRDefault="007217CD" w:rsidP="006A02A3">
            <w:pPr>
              <w:spacing w:after="200" w:line="276" w:lineRule="auto"/>
              <w:rPr>
                <w:sz w:val="20"/>
                <w:szCs w:val="20"/>
              </w:rPr>
            </w:pPr>
            <w:r w:rsidRPr="00AA61DD">
              <w:rPr>
                <w:sz w:val="20"/>
                <w:szCs w:val="20"/>
              </w:rPr>
              <w:t>Abbreviations: HPV, Human papillomavirus; NIS-Teen, National Immunization Survey-Teen; CI, confidence interval</w:t>
            </w:r>
            <w:r w:rsidR="00467CA4">
              <w:rPr>
                <w:sz w:val="20"/>
                <w:szCs w:val="20"/>
              </w:rPr>
              <w:t>.</w:t>
            </w:r>
            <w:r w:rsidRPr="00AA61DD">
              <w:rPr>
                <w:sz w:val="20"/>
                <w:szCs w:val="20"/>
              </w:rPr>
              <w:t xml:space="preserve"> </w:t>
            </w:r>
          </w:p>
          <w:p w:rsidR="007217CD" w:rsidRPr="00AA61DD" w:rsidRDefault="007217CD" w:rsidP="006A02A3">
            <w:pPr>
              <w:spacing w:after="200" w:line="276" w:lineRule="auto"/>
              <w:rPr>
                <w:sz w:val="20"/>
                <w:szCs w:val="20"/>
              </w:rPr>
            </w:pPr>
            <w:r w:rsidRPr="00AA61DD">
              <w:rPr>
                <w:sz w:val="20"/>
                <w:szCs w:val="20"/>
              </w:rPr>
              <w:t> </w:t>
            </w:r>
          </w:p>
          <w:p w:rsidR="007217CD" w:rsidRPr="00AA61DD" w:rsidRDefault="007217CD" w:rsidP="006A02A3">
            <w:pPr>
              <w:spacing w:after="200" w:line="276" w:lineRule="auto"/>
              <w:rPr>
                <w:sz w:val="20"/>
                <w:szCs w:val="20"/>
              </w:rPr>
            </w:pPr>
            <w:r w:rsidRPr="00AA61DD">
              <w:rPr>
                <w:sz w:val="20"/>
                <w:szCs w:val="20"/>
              </w:rPr>
              <w:t> </w:t>
            </w:r>
          </w:p>
          <w:p w:rsidR="007217CD" w:rsidRPr="00AA61DD" w:rsidRDefault="007217CD" w:rsidP="006A02A3">
            <w:pPr>
              <w:spacing w:after="200" w:line="276" w:lineRule="auto"/>
              <w:rPr>
                <w:sz w:val="20"/>
                <w:szCs w:val="20"/>
              </w:rPr>
            </w:pPr>
            <w:r w:rsidRPr="00AA61DD">
              <w:rPr>
                <w:sz w:val="20"/>
                <w:szCs w:val="20"/>
              </w:rPr>
              <w:t> </w:t>
            </w:r>
          </w:p>
          <w:p w:rsidR="007217CD" w:rsidRPr="00AA61DD" w:rsidRDefault="007217CD" w:rsidP="006A02A3">
            <w:pPr>
              <w:spacing w:after="200" w:line="276" w:lineRule="auto"/>
              <w:rPr>
                <w:sz w:val="20"/>
                <w:szCs w:val="20"/>
              </w:rPr>
            </w:pPr>
            <w:r w:rsidRPr="00AA61DD">
              <w:rPr>
                <w:sz w:val="20"/>
                <w:szCs w:val="20"/>
              </w:rPr>
              <w:t> </w:t>
            </w:r>
          </w:p>
        </w:tc>
      </w:tr>
      <w:tr w:rsidR="00AA61DD" w:rsidRPr="00AA61DD" w:rsidTr="006A02A3">
        <w:trPr>
          <w:trHeight w:hRule="exact" w:val="288"/>
        </w:trPr>
        <w:tc>
          <w:tcPr>
            <w:tcW w:w="17478" w:type="dxa"/>
            <w:gridSpan w:val="12"/>
            <w:vAlign w:val="bottom"/>
            <w:hideMark/>
          </w:tcPr>
          <w:p w:rsidR="00AA61DD" w:rsidRPr="00AA61DD" w:rsidRDefault="00AA61DD" w:rsidP="006A02A3">
            <w:pPr>
              <w:spacing w:after="200" w:line="276" w:lineRule="auto"/>
              <w:rPr>
                <w:sz w:val="20"/>
                <w:szCs w:val="20"/>
              </w:rPr>
            </w:pPr>
            <w:r w:rsidRPr="00AA61DD">
              <w:rPr>
                <w:sz w:val="20"/>
                <w:szCs w:val="20"/>
              </w:rPr>
              <w:t xml:space="preserve">* Adolescent girls (N=17,827) in the 2008 and 2010 NIS-Teen were born during January 1990-February 1996 </w:t>
            </w:r>
            <w:r w:rsidR="009E1BDE" w:rsidRPr="00AA61DD">
              <w:rPr>
                <w:sz w:val="20"/>
                <w:szCs w:val="20"/>
              </w:rPr>
              <w:t>and January</w:t>
            </w:r>
            <w:r w:rsidRPr="00AA61DD">
              <w:rPr>
                <w:sz w:val="20"/>
                <w:szCs w:val="20"/>
              </w:rPr>
              <w:t xml:space="preserve"> 1992-February 1998, respectively. </w:t>
            </w:r>
          </w:p>
        </w:tc>
      </w:tr>
      <w:tr w:rsidR="007217CD" w:rsidRPr="00AA61DD" w:rsidTr="006A02A3">
        <w:trPr>
          <w:trHeight w:hRule="exact" w:val="288"/>
        </w:trPr>
        <w:tc>
          <w:tcPr>
            <w:tcW w:w="17478" w:type="dxa"/>
            <w:gridSpan w:val="12"/>
            <w:vAlign w:val="bottom"/>
            <w:hideMark/>
          </w:tcPr>
          <w:p w:rsidR="007217CD" w:rsidRPr="00AA61DD" w:rsidRDefault="007217CD" w:rsidP="006A02A3">
            <w:pPr>
              <w:spacing w:after="200" w:line="276" w:lineRule="auto"/>
              <w:rPr>
                <w:sz w:val="20"/>
                <w:szCs w:val="20"/>
              </w:rPr>
            </w:pPr>
            <w:r w:rsidRPr="00AA61DD">
              <w:rPr>
                <w:sz w:val="20"/>
                <w:szCs w:val="20"/>
              </w:rPr>
              <w:t xml:space="preserve">Source: National Immunization Survey-Teen 2008, 2010, National Center for Health Statistics, Centers for Disease Control and Prevention, 2010, 2011. </w:t>
            </w:r>
          </w:p>
        </w:tc>
      </w:tr>
      <w:tr w:rsidR="007217CD" w:rsidRPr="00AA61DD" w:rsidTr="006A02A3">
        <w:trPr>
          <w:trHeight w:hRule="exact" w:val="288"/>
        </w:trPr>
        <w:tc>
          <w:tcPr>
            <w:tcW w:w="17478" w:type="dxa"/>
            <w:gridSpan w:val="12"/>
            <w:noWrap/>
            <w:vAlign w:val="bottom"/>
            <w:hideMark/>
          </w:tcPr>
          <w:p w:rsidR="007217CD" w:rsidRPr="00AA61DD" w:rsidRDefault="007217CD" w:rsidP="006A02A3">
            <w:pPr>
              <w:spacing w:after="200" w:line="276" w:lineRule="auto"/>
              <w:rPr>
                <w:sz w:val="20"/>
                <w:szCs w:val="20"/>
              </w:rPr>
            </w:pPr>
            <w:r w:rsidRPr="00AA61DD">
              <w:rPr>
                <w:sz w:val="20"/>
                <w:szCs w:val="20"/>
              </w:rPr>
              <w:t>† Either quadrivalent or bivalent human papillomavirus vaccine.</w:t>
            </w:r>
          </w:p>
        </w:tc>
      </w:tr>
      <w:tr w:rsidR="00AA61DD" w:rsidRPr="00AA61DD" w:rsidTr="006A02A3">
        <w:trPr>
          <w:trHeight w:hRule="exact" w:val="288"/>
        </w:trPr>
        <w:tc>
          <w:tcPr>
            <w:tcW w:w="17478" w:type="dxa"/>
            <w:gridSpan w:val="12"/>
            <w:noWrap/>
            <w:vAlign w:val="bottom"/>
            <w:hideMark/>
          </w:tcPr>
          <w:p w:rsidR="00AA61DD" w:rsidRPr="00AA61DD" w:rsidRDefault="00AA61DD" w:rsidP="006A02A3">
            <w:pPr>
              <w:spacing w:after="200" w:line="276" w:lineRule="auto"/>
              <w:rPr>
                <w:sz w:val="20"/>
                <w:szCs w:val="20"/>
              </w:rPr>
            </w:pPr>
            <w:r w:rsidRPr="00AA61DD">
              <w:rPr>
                <w:sz w:val="20"/>
                <w:szCs w:val="20"/>
              </w:rPr>
              <w:t xml:space="preserve">‡ Percentage of females who received three doses among those who had at least one HPV dose and had at least 24 weeks between the first dose and the interview date. </w:t>
            </w:r>
          </w:p>
        </w:tc>
      </w:tr>
      <w:tr w:rsidR="007217CD" w:rsidRPr="00AA61DD" w:rsidTr="006A02A3">
        <w:trPr>
          <w:trHeight w:hRule="exact" w:val="288"/>
        </w:trPr>
        <w:tc>
          <w:tcPr>
            <w:tcW w:w="17478" w:type="dxa"/>
            <w:gridSpan w:val="12"/>
            <w:noWrap/>
            <w:vAlign w:val="bottom"/>
            <w:hideMark/>
          </w:tcPr>
          <w:p w:rsidR="007217CD" w:rsidRPr="00AA61DD" w:rsidRDefault="007217CD" w:rsidP="006A02A3">
            <w:pPr>
              <w:spacing w:after="200" w:line="276" w:lineRule="auto"/>
              <w:rPr>
                <w:sz w:val="20"/>
                <w:szCs w:val="20"/>
              </w:rPr>
            </w:pPr>
            <w:r w:rsidRPr="00AA61DD">
              <w:rPr>
                <w:sz w:val="20"/>
                <w:szCs w:val="20"/>
              </w:rPr>
              <w:t xml:space="preserve">§ Confidence interval. Estimates with confidence interval widths &gt;20 might not be reliable. </w:t>
            </w:r>
          </w:p>
        </w:tc>
      </w:tr>
      <w:tr w:rsidR="007217CD" w:rsidRPr="00AA61DD" w:rsidTr="006A02A3">
        <w:trPr>
          <w:trHeight w:hRule="exact" w:val="288"/>
        </w:trPr>
        <w:tc>
          <w:tcPr>
            <w:tcW w:w="17478" w:type="dxa"/>
            <w:gridSpan w:val="12"/>
            <w:noWrap/>
            <w:vAlign w:val="bottom"/>
            <w:hideMark/>
          </w:tcPr>
          <w:p w:rsidR="007217CD" w:rsidRPr="00AA61DD" w:rsidRDefault="007217CD" w:rsidP="006A02A3">
            <w:pPr>
              <w:spacing w:after="200" w:line="276" w:lineRule="auto"/>
              <w:rPr>
                <w:sz w:val="20"/>
                <w:szCs w:val="20"/>
              </w:rPr>
            </w:pPr>
            <w:r w:rsidRPr="00AA61DD">
              <w:rPr>
                <w:sz w:val="20"/>
                <w:szCs w:val="20"/>
              </w:rPr>
              <w:t xml:space="preserve">|| The percentage point difference in vaccination coverage levels from 2008 to 2010 is statistically significantly different from zero (2-sided </w:t>
            </w:r>
            <w:r w:rsidRPr="007217CD">
              <w:rPr>
                <w:i/>
                <w:sz w:val="20"/>
                <w:szCs w:val="20"/>
              </w:rPr>
              <w:t>t</w:t>
            </w:r>
            <w:r w:rsidRPr="00AA61DD">
              <w:rPr>
                <w:sz w:val="20"/>
                <w:szCs w:val="20"/>
              </w:rPr>
              <w:t>-test, P&lt;.05)</w:t>
            </w:r>
          </w:p>
        </w:tc>
      </w:tr>
      <w:tr w:rsidR="00AA61DD" w:rsidRPr="00AA61DD" w:rsidTr="006A02A3">
        <w:trPr>
          <w:trHeight w:hRule="exact" w:val="288"/>
        </w:trPr>
        <w:tc>
          <w:tcPr>
            <w:tcW w:w="17478" w:type="dxa"/>
            <w:gridSpan w:val="12"/>
            <w:noWrap/>
            <w:vAlign w:val="bottom"/>
            <w:hideMark/>
          </w:tcPr>
          <w:p w:rsidR="00AA61DD" w:rsidRPr="00AA61DD" w:rsidRDefault="00AA61DD" w:rsidP="006A02A3">
            <w:pPr>
              <w:spacing w:after="200" w:line="276" w:lineRule="auto"/>
              <w:rPr>
                <w:sz w:val="20"/>
                <w:szCs w:val="20"/>
              </w:rPr>
            </w:pPr>
            <w:r w:rsidRPr="00AA61DD">
              <w:rPr>
                <w:sz w:val="20"/>
                <w:szCs w:val="20"/>
              </w:rPr>
              <w:t xml:space="preserve">—  Estimate not reported because unweighted sample size for the denominator was &lt;30 or CI half-width/estimate greater than 0.588 (for vaccination coverage) </w:t>
            </w:r>
          </w:p>
        </w:tc>
      </w:tr>
      <w:tr w:rsidR="007217CD" w:rsidRPr="00AA61DD" w:rsidTr="007217CD">
        <w:trPr>
          <w:trHeight w:hRule="exact" w:val="245"/>
        </w:trPr>
        <w:tc>
          <w:tcPr>
            <w:tcW w:w="17478" w:type="dxa"/>
            <w:gridSpan w:val="12"/>
            <w:noWrap/>
            <w:hideMark/>
          </w:tcPr>
          <w:p w:rsidR="007217CD" w:rsidRPr="00AA61DD" w:rsidRDefault="007217CD" w:rsidP="00AA61DD">
            <w:pPr>
              <w:spacing w:after="200" w:line="276" w:lineRule="auto"/>
              <w:rPr>
                <w:sz w:val="20"/>
                <w:szCs w:val="20"/>
              </w:rPr>
            </w:pPr>
          </w:p>
        </w:tc>
      </w:tr>
    </w:tbl>
    <w:p w:rsidR="00467CA4" w:rsidRDefault="00467CA4">
      <w:pPr>
        <w:rPr>
          <w:sz w:val="20"/>
          <w:szCs w:val="20"/>
        </w:rPr>
      </w:pPr>
      <w:r>
        <w:rPr>
          <w:sz w:val="20"/>
          <w:szCs w:val="20"/>
        </w:rPr>
        <w:br w:type="page"/>
      </w:r>
    </w:p>
    <w:tbl>
      <w:tblPr>
        <w:tblStyle w:val="TableGrid"/>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530"/>
        <w:gridCol w:w="2160"/>
        <w:gridCol w:w="1774"/>
        <w:gridCol w:w="1890"/>
        <w:gridCol w:w="1800"/>
        <w:gridCol w:w="300"/>
        <w:gridCol w:w="870"/>
        <w:gridCol w:w="716"/>
      </w:tblGrid>
      <w:tr w:rsidR="006A02A3" w:rsidRPr="00816320" w:rsidTr="001719D0">
        <w:trPr>
          <w:trHeight w:val="300"/>
        </w:trPr>
        <w:tc>
          <w:tcPr>
            <w:tcW w:w="15180" w:type="dxa"/>
            <w:gridSpan w:val="10"/>
            <w:shd w:val="clear" w:color="auto" w:fill="auto"/>
            <w:noWrap/>
            <w:hideMark/>
          </w:tcPr>
          <w:p w:rsidR="006A02A3" w:rsidRPr="00AB4473" w:rsidRDefault="006A02A3" w:rsidP="001719D0">
            <w:pPr>
              <w:rPr>
                <w:rFonts w:eastAsia="Times New Roman" w:cs="Times New Roman"/>
                <w:b/>
                <w:bCs/>
                <w:sz w:val="20"/>
                <w:szCs w:val="20"/>
              </w:rPr>
            </w:pPr>
            <w:r w:rsidRPr="00AB4473">
              <w:rPr>
                <w:rFonts w:eastAsia="Times New Roman" w:cs="Times New Roman"/>
                <w:b/>
                <w:bCs/>
                <w:sz w:val="20"/>
                <w:szCs w:val="20"/>
              </w:rPr>
              <w:lastRenderedPageBreak/>
              <w:t>Supplemental Table 2. Overall and state-specific HPV vaccination coverage among adolescent girls, pap test prevalence, and incidence rates for cervical cancer,* United States</w:t>
            </w:r>
          </w:p>
        </w:tc>
      </w:tr>
      <w:tr w:rsidR="006A02A3" w:rsidRPr="00816320" w:rsidTr="001719D0">
        <w:trPr>
          <w:trHeight w:val="315"/>
        </w:trPr>
        <w:tc>
          <w:tcPr>
            <w:tcW w:w="7830" w:type="dxa"/>
            <w:gridSpan w:val="4"/>
            <w:tcBorders>
              <w:bottom w:val="single" w:sz="4" w:space="0" w:color="auto"/>
            </w:tcBorders>
            <w:shd w:val="clear" w:color="auto" w:fill="auto"/>
            <w:hideMark/>
          </w:tcPr>
          <w:p w:rsidR="006A02A3" w:rsidRPr="006A02A3" w:rsidRDefault="006A02A3" w:rsidP="001719D0">
            <w:pPr>
              <w:rPr>
                <w:rFonts w:eastAsia="Times New Roman" w:cs="Times New Roman"/>
                <w:bCs/>
                <w:sz w:val="20"/>
                <w:szCs w:val="20"/>
              </w:rPr>
            </w:pPr>
          </w:p>
        </w:tc>
        <w:tc>
          <w:tcPr>
            <w:tcW w:w="1774" w:type="dxa"/>
            <w:tcBorders>
              <w:bottom w:val="single" w:sz="4" w:space="0" w:color="auto"/>
            </w:tcBorders>
            <w:shd w:val="clear" w:color="auto" w:fill="auto"/>
            <w:noWrap/>
            <w:hideMark/>
          </w:tcPr>
          <w:p w:rsidR="006A02A3" w:rsidRPr="00AB4473" w:rsidRDefault="006A02A3" w:rsidP="001719D0">
            <w:pPr>
              <w:rPr>
                <w:rFonts w:eastAsia="Times New Roman" w:cs="Times New Roman"/>
                <w:sz w:val="20"/>
                <w:szCs w:val="20"/>
              </w:rPr>
            </w:pPr>
          </w:p>
        </w:tc>
        <w:tc>
          <w:tcPr>
            <w:tcW w:w="1890" w:type="dxa"/>
            <w:tcBorders>
              <w:bottom w:val="single" w:sz="4" w:space="0" w:color="auto"/>
            </w:tcBorders>
            <w:shd w:val="clear" w:color="auto" w:fill="auto"/>
            <w:noWrap/>
            <w:hideMark/>
          </w:tcPr>
          <w:p w:rsidR="006A02A3" w:rsidRPr="00AB4473" w:rsidRDefault="006A02A3" w:rsidP="001719D0">
            <w:pPr>
              <w:rPr>
                <w:rFonts w:eastAsia="Times New Roman" w:cs="Times New Roman"/>
                <w:sz w:val="20"/>
                <w:szCs w:val="20"/>
              </w:rPr>
            </w:pPr>
          </w:p>
        </w:tc>
        <w:tc>
          <w:tcPr>
            <w:tcW w:w="1800" w:type="dxa"/>
            <w:tcBorders>
              <w:bottom w:val="single" w:sz="4" w:space="0" w:color="auto"/>
            </w:tcBorders>
            <w:shd w:val="clear" w:color="auto" w:fill="auto"/>
            <w:noWrap/>
            <w:hideMark/>
          </w:tcPr>
          <w:p w:rsidR="006A02A3" w:rsidRPr="00AB4473" w:rsidRDefault="006A02A3" w:rsidP="001719D0">
            <w:pPr>
              <w:rPr>
                <w:rFonts w:eastAsia="Times New Roman" w:cs="Times New Roman"/>
                <w:sz w:val="20"/>
                <w:szCs w:val="20"/>
              </w:rPr>
            </w:pPr>
          </w:p>
        </w:tc>
        <w:tc>
          <w:tcPr>
            <w:tcW w:w="300" w:type="dxa"/>
            <w:tcBorders>
              <w:bottom w:val="single" w:sz="4" w:space="0" w:color="auto"/>
            </w:tcBorders>
            <w:shd w:val="clear" w:color="auto" w:fill="auto"/>
            <w:noWrap/>
            <w:hideMark/>
          </w:tcPr>
          <w:p w:rsidR="006A02A3" w:rsidRPr="00AB4473" w:rsidRDefault="006A02A3" w:rsidP="001719D0">
            <w:pPr>
              <w:rPr>
                <w:rFonts w:eastAsia="Times New Roman" w:cs="Times New Roman"/>
                <w:sz w:val="20"/>
                <w:szCs w:val="20"/>
              </w:rPr>
            </w:pPr>
          </w:p>
        </w:tc>
        <w:tc>
          <w:tcPr>
            <w:tcW w:w="870" w:type="dxa"/>
            <w:tcBorders>
              <w:bottom w:val="single" w:sz="4" w:space="0" w:color="auto"/>
            </w:tcBorders>
            <w:shd w:val="clear" w:color="auto" w:fill="auto"/>
            <w:noWrap/>
            <w:hideMark/>
          </w:tcPr>
          <w:p w:rsidR="006A02A3" w:rsidRPr="00AB4473" w:rsidRDefault="006A02A3" w:rsidP="001719D0">
            <w:pPr>
              <w:rPr>
                <w:rFonts w:eastAsia="Times New Roman" w:cs="Times New Roman"/>
                <w:sz w:val="20"/>
                <w:szCs w:val="20"/>
              </w:rPr>
            </w:pPr>
          </w:p>
        </w:tc>
        <w:tc>
          <w:tcPr>
            <w:tcW w:w="716" w:type="dxa"/>
            <w:tcBorders>
              <w:bottom w:val="single" w:sz="4" w:space="0" w:color="auto"/>
            </w:tcBorders>
            <w:shd w:val="clear" w:color="auto" w:fill="auto"/>
            <w:noWrap/>
            <w:hideMark/>
          </w:tcPr>
          <w:p w:rsidR="006A02A3" w:rsidRPr="00AB4473" w:rsidRDefault="006A02A3" w:rsidP="001719D0">
            <w:pPr>
              <w:rPr>
                <w:rFonts w:eastAsia="Times New Roman" w:cs="Times New Roman"/>
                <w:sz w:val="20"/>
                <w:szCs w:val="20"/>
              </w:rPr>
            </w:pPr>
          </w:p>
        </w:tc>
      </w:tr>
      <w:tr w:rsidR="006A02A3" w:rsidRPr="00816320" w:rsidTr="001719D0">
        <w:trPr>
          <w:trHeight w:val="300"/>
        </w:trPr>
        <w:tc>
          <w:tcPr>
            <w:tcW w:w="2430" w:type="dxa"/>
            <w:vMerge w:val="restart"/>
            <w:tcBorders>
              <w:top w:val="single" w:sz="4" w:space="0" w:color="auto"/>
            </w:tcBorders>
            <w:shd w:val="clear" w:color="auto" w:fill="auto"/>
            <w:vAlign w:val="bottom"/>
            <w:hideMark/>
          </w:tcPr>
          <w:p w:rsidR="006A02A3" w:rsidRPr="00AB4473" w:rsidRDefault="006A02A3" w:rsidP="001719D0">
            <w:pPr>
              <w:rPr>
                <w:rFonts w:eastAsia="Times New Roman" w:cs="Times New Roman"/>
                <w:b/>
                <w:bCs/>
                <w:sz w:val="20"/>
                <w:szCs w:val="20"/>
              </w:rPr>
            </w:pPr>
          </w:p>
        </w:tc>
        <w:tc>
          <w:tcPr>
            <w:tcW w:w="5400" w:type="dxa"/>
            <w:gridSpan w:val="3"/>
            <w:tcBorders>
              <w:top w:val="single" w:sz="4" w:space="0" w:color="auto"/>
              <w:bottom w:val="single" w:sz="4" w:space="0" w:color="auto"/>
            </w:tcBorders>
            <w:shd w:val="clear" w:color="auto" w:fill="auto"/>
            <w:vAlign w:val="center"/>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HPV vaccination coverage among girls (age 13-17 yrs),</w:t>
            </w:r>
            <w:r w:rsidRPr="00AB4473">
              <w:rPr>
                <w:rFonts w:ascii="Calibri" w:eastAsia="Times New Roman" w:hAnsi="Calibri" w:cs="Calibri"/>
                <w:sz w:val="20"/>
                <w:szCs w:val="20"/>
              </w:rPr>
              <w:t>†</w:t>
            </w:r>
            <w:r w:rsidRPr="00AB4473">
              <w:rPr>
                <w:rFonts w:eastAsia="Times New Roman" w:cs="Times New Roman"/>
                <w:sz w:val="20"/>
                <w:szCs w:val="20"/>
              </w:rPr>
              <w:t xml:space="preserve"> 2010</w:t>
            </w:r>
          </w:p>
        </w:tc>
        <w:tc>
          <w:tcPr>
            <w:tcW w:w="5464" w:type="dxa"/>
            <w:gridSpan w:val="3"/>
            <w:tcBorders>
              <w:top w:val="single" w:sz="4" w:space="0" w:color="auto"/>
              <w:bottom w:val="single" w:sz="4" w:space="0" w:color="auto"/>
            </w:tcBorders>
            <w:shd w:val="clear" w:color="auto" w:fill="auto"/>
            <w:vAlign w:val="center"/>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Pap test in previous 3 years for ages 21-65 years,</w:t>
            </w:r>
            <w:r w:rsidRPr="00AB4473">
              <w:rPr>
                <w:rFonts w:eastAsia="Times New Roman" w:cs="Times New Roman"/>
                <w:sz w:val="20"/>
                <w:szCs w:val="20"/>
                <w:vertAlign w:val="superscript"/>
              </w:rPr>
              <w:t>||</w:t>
            </w:r>
            <w:r w:rsidRPr="00AB4473">
              <w:rPr>
                <w:rFonts w:eastAsia="Times New Roman" w:cs="Times New Roman"/>
                <w:sz w:val="20"/>
                <w:szCs w:val="20"/>
              </w:rPr>
              <w:t xml:space="preserve"> 2010</w:t>
            </w:r>
          </w:p>
        </w:tc>
        <w:tc>
          <w:tcPr>
            <w:tcW w:w="300" w:type="dxa"/>
            <w:tcBorders>
              <w:top w:val="single" w:sz="4" w:space="0" w:color="auto"/>
            </w:tcBorders>
            <w:shd w:val="clear" w:color="auto" w:fill="auto"/>
            <w:noWrap/>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 </w:t>
            </w:r>
          </w:p>
        </w:tc>
        <w:tc>
          <w:tcPr>
            <w:tcW w:w="1586" w:type="dxa"/>
            <w:gridSpan w:val="2"/>
            <w:vMerge w:val="restart"/>
            <w:tcBorders>
              <w:top w:val="single" w:sz="4" w:space="0" w:color="auto"/>
              <w:bottom w:val="single" w:sz="4" w:space="0" w:color="auto"/>
            </w:tcBorders>
            <w:shd w:val="clear" w:color="auto" w:fill="auto"/>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Cervical cancer incidence rates age ≥15 yrs, 2005-2009</w:t>
            </w:r>
          </w:p>
        </w:tc>
      </w:tr>
      <w:tr w:rsidR="006A02A3" w:rsidRPr="00816320" w:rsidTr="001719D0">
        <w:trPr>
          <w:trHeight w:hRule="exact" w:val="576"/>
        </w:trPr>
        <w:tc>
          <w:tcPr>
            <w:tcW w:w="2430" w:type="dxa"/>
            <w:vMerge/>
            <w:shd w:val="clear" w:color="auto" w:fill="auto"/>
            <w:hideMark/>
          </w:tcPr>
          <w:p w:rsidR="006A02A3" w:rsidRPr="00AB4473" w:rsidRDefault="006A02A3" w:rsidP="001719D0">
            <w:pPr>
              <w:rPr>
                <w:rFonts w:eastAsia="Times New Roman" w:cs="Times New Roman"/>
                <w:b/>
                <w:bCs/>
                <w:sz w:val="20"/>
                <w:szCs w:val="20"/>
              </w:rPr>
            </w:pPr>
          </w:p>
        </w:tc>
        <w:tc>
          <w:tcPr>
            <w:tcW w:w="1710" w:type="dxa"/>
            <w:tcBorders>
              <w:top w:val="single" w:sz="4" w:space="0" w:color="auto"/>
              <w:bottom w:val="single" w:sz="4" w:space="0" w:color="auto"/>
            </w:tcBorders>
            <w:shd w:val="clear" w:color="auto" w:fill="auto"/>
            <w:vAlign w:val="bottom"/>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≥1 dose</w:t>
            </w:r>
          </w:p>
        </w:tc>
        <w:tc>
          <w:tcPr>
            <w:tcW w:w="1530" w:type="dxa"/>
            <w:tcBorders>
              <w:top w:val="single" w:sz="4" w:space="0" w:color="auto"/>
              <w:bottom w:val="single" w:sz="4" w:space="0" w:color="auto"/>
            </w:tcBorders>
            <w:shd w:val="clear" w:color="auto" w:fill="auto"/>
            <w:vAlign w:val="bottom"/>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3 doses</w:t>
            </w:r>
          </w:p>
        </w:tc>
        <w:tc>
          <w:tcPr>
            <w:tcW w:w="2160" w:type="dxa"/>
            <w:tcBorders>
              <w:top w:val="single" w:sz="4" w:space="0" w:color="auto"/>
              <w:bottom w:val="single" w:sz="4" w:space="0" w:color="auto"/>
            </w:tcBorders>
            <w:shd w:val="clear" w:color="auto" w:fill="auto"/>
            <w:vAlign w:val="bottom"/>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3-dose series completion‡</w:t>
            </w:r>
          </w:p>
        </w:tc>
        <w:tc>
          <w:tcPr>
            <w:tcW w:w="1774" w:type="dxa"/>
            <w:tcBorders>
              <w:top w:val="single" w:sz="4" w:space="0" w:color="auto"/>
              <w:bottom w:val="single" w:sz="4" w:space="0" w:color="auto"/>
            </w:tcBorders>
            <w:shd w:val="clear" w:color="auto" w:fill="auto"/>
            <w:vAlign w:val="bottom"/>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All</w:t>
            </w:r>
          </w:p>
        </w:tc>
        <w:tc>
          <w:tcPr>
            <w:tcW w:w="1890" w:type="dxa"/>
            <w:tcBorders>
              <w:top w:val="single" w:sz="4" w:space="0" w:color="auto"/>
              <w:bottom w:val="single" w:sz="4" w:space="0" w:color="auto"/>
            </w:tcBorders>
            <w:shd w:val="clear" w:color="auto" w:fill="auto"/>
            <w:vAlign w:val="bottom"/>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No usual source of medical care</w:t>
            </w:r>
          </w:p>
        </w:tc>
        <w:tc>
          <w:tcPr>
            <w:tcW w:w="1800" w:type="dxa"/>
            <w:tcBorders>
              <w:top w:val="single" w:sz="4" w:space="0" w:color="auto"/>
              <w:bottom w:val="single" w:sz="4" w:space="0" w:color="auto"/>
            </w:tcBorders>
            <w:shd w:val="clear" w:color="auto" w:fill="auto"/>
            <w:vAlign w:val="bottom"/>
            <w:hideMark/>
          </w:tcPr>
          <w:p w:rsidR="006A02A3" w:rsidRPr="00AB4473" w:rsidRDefault="006A02A3" w:rsidP="001719D0">
            <w:pPr>
              <w:jc w:val="center"/>
              <w:rPr>
                <w:rFonts w:eastAsia="Times New Roman" w:cs="Times New Roman"/>
                <w:sz w:val="20"/>
                <w:szCs w:val="20"/>
              </w:rPr>
            </w:pPr>
            <w:r w:rsidRPr="00AB4473">
              <w:rPr>
                <w:rFonts w:eastAsia="Times New Roman" w:cs="Times New Roman"/>
                <w:sz w:val="20"/>
                <w:szCs w:val="20"/>
              </w:rPr>
              <w:t>No health insurance</w:t>
            </w:r>
          </w:p>
        </w:tc>
        <w:tc>
          <w:tcPr>
            <w:tcW w:w="300" w:type="dxa"/>
            <w:shd w:val="clear" w:color="auto" w:fill="auto"/>
            <w:hideMark/>
          </w:tcPr>
          <w:p w:rsidR="006A02A3" w:rsidRPr="00AB4473" w:rsidRDefault="006A02A3" w:rsidP="001719D0">
            <w:pPr>
              <w:jc w:val="center"/>
              <w:rPr>
                <w:rFonts w:eastAsia="Times New Roman" w:cs="Times New Roman"/>
                <w:sz w:val="20"/>
                <w:szCs w:val="20"/>
              </w:rPr>
            </w:pPr>
          </w:p>
        </w:tc>
        <w:tc>
          <w:tcPr>
            <w:tcW w:w="1586" w:type="dxa"/>
            <w:gridSpan w:val="2"/>
            <w:vMerge/>
            <w:tcBorders>
              <w:bottom w:val="single" w:sz="4" w:space="0" w:color="auto"/>
            </w:tcBorders>
            <w:shd w:val="clear" w:color="auto" w:fill="auto"/>
            <w:hideMark/>
          </w:tcPr>
          <w:p w:rsidR="006A02A3" w:rsidRPr="00AB4473" w:rsidRDefault="006A02A3" w:rsidP="001719D0">
            <w:pPr>
              <w:rPr>
                <w:rFonts w:eastAsia="Times New Roman" w:cs="Times New Roman"/>
                <w:sz w:val="20"/>
                <w:szCs w:val="20"/>
              </w:rPr>
            </w:pPr>
          </w:p>
        </w:tc>
      </w:tr>
      <w:tr w:rsidR="006A02A3" w:rsidRPr="00816320" w:rsidTr="00C94559">
        <w:trPr>
          <w:trHeight w:hRule="exact" w:val="245"/>
        </w:trPr>
        <w:tc>
          <w:tcPr>
            <w:tcW w:w="2430" w:type="dxa"/>
            <w:vMerge/>
            <w:tcBorders>
              <w:bottom w:val="single" w:sz="4" w:space="0" w:color="auto"/>
            </w:tcBorders>
            <w:shd w:val="clear" w:color="auto" w:fill="auto"/>
            <w:hideMark/>
          </w:tcPr>
          <w:p w:rsidR="006A02A3" w:rsidRPr="00AB4473" w:rsidRDefault="006A02A3" w:rsidP="001719D0">
            <w:pPr>
              <w:rPr>
                <w:rFonts w:eastAsia="Times New Roman" w:cs="Times New Roman"/>
                <w:b/>
                <w:bCs/>
                <w:sz w:val="20"/>
                <w:szCs w:val="20"/>
              </w:rPr>
            </w:pPr>
          </w:p>
        </w:tc>
        <w:tc>
          <w:tcPr>
            <w:tcW w:w="1710" w:type="dxa"/>
            <w:tcBorders>
              <w:top w:val="single" w:sz="4" w:space="0" w:color="auto"/>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 (95% CI)§</w:t>
            </w:r>
          </w:p>
        </w:tc>
        <w:tc>
          <w:tcPr>
            <w:tcW w:w="1530" w:type="dxa"/>
            <w:tcBorders>
              <w:top w:val="single" w:sz="4" w:space="0" w:color="auto"/>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 (95% CI)</w:t>
            </w:r>
          </w:p>
        </w:tc>
        <w:tc>
          <w:tcPr>
            <w:tcW w:w="2160" w:type="dxa"/>
            <w:tcBorders>
              <w:top w:val="single" w:sz="4" w:space="0" w:color="auto"/>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 (95% CI)</w:t>
            </w:r>
          </w:p>
        </w:tc>
        <w:tc>
          <w:tcPr>
            <w:tcW w:w="1774" w:type="dxa"/>
            <w:tcBorders>
              <w:top w:val="single" w:sz="4" w:space="0" w:color="auto"/>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 (95% CI)</w:t>
            </w:r>
          </w:p>
        </w:tc>
        <w:tc>
          <w:tcPr>
            <w:tcW w:w="1890" w:type="dxa"/>
            <w:tcBorders>
              <w:top w:val="single" w:sz="4" w:space="0" w:color="auto"/>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 (95% CI)</w:t>
            </w:r>
          </w:p>
        </w:tc>
        <w:tc>
          <w:tcPr>
            <w:tcW w:w="1800" w:type="dxa"/>
            <w:tcBorders>
              <w:top w:val="single" w:sz="4" w:space="0" w:color="auto"/>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 (95% CI)</w:t>
            </w:r>
          </w:p>
        </w:tc>
        <w:tc>
          <w:tcPr>
            <w:tcW w:w="300"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tcBorders>
              <w:top w:val="single" w:sz="4" w:space="0" w:color="auto"/>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Rate¶</w:t>
            </w:r>
          </w:p>
        </w:tc>
        <w:tc>
          <w:tcPr>
            <w:tcW w:w="716" w:type="dxa"/>
            <w:tcBorders>
              <w:top w:val="single" w:sz="4" w:space="0" w:color="auto"/>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Count</w:t>
            </w:r>
          </w:p>
        </w:tc>
      </w:tr>
      <w:tr w:rsidR="006A02A3" w:rsidRPr="00816320" w:rsidTr="00C94559">
        <w:trPr>
          <w:trHeight w:hRule="exact" w:val="245"/>
        </w:trPr>
        <w:tc>
          <w:tcPr>
            <w:tcW w:w="2430" w:type="dxa"/>
            <w:tcBorders>
              <w:top w:val="single" w:sz="4" w:space="0" w:color="auto"/>
            </w:tcBorders>
            <w:shd w:val="clear" w:color="auto" w:fill="auto"/>
            <w:vAlign w:val="center"/>
            <w:hideMark/>
          </w:tcPr>
          <w:p w:rsidR="006A02A3" w:rsidRPr="00AB4473" w:rsidRDefault="006A02A3" w:rsidP="00C94559">
            <w:pPr>
              <w:rPr>
                <w:rFonts w:eastAsia="Times New Roman" w:cs="Times New Roman"/>
                <w:b/>
                <w:bCs/>
                <w:sz w:val="20"/>
                <w:szCs w:val="20"/>
              </w:rPr>
            </w:pPr>
            <w:r w:rsidRPr="00AB4473">
              <w:rPr>
                <w:rFonts w:eastAsia="Times New Roman" w:cs="Times New Roman"/>
                <w:b/>
                <w:bCs/>
                <w:sz w:val="20"/>
                <w:szCs w:val="20"/>
              </w:rPr>
              <w:t>United States</w:t>
            </w:r>
          </w:p>
        </w:tc>
        <w:tc>
          <w:tcPr>
            <w:tcW w:w="1710" w:type="dxa"/>
            <w:tcBorders>
              <w:top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48.7 (46.9-50.5)</w:t>
            </w:r>
          </w:p>
        </w:tc>
        <w:tc>
          <w:tcPr>
            <w:tcW w:w="1530" w:type="dxa"/>
            <w:tcBorders>
              <w:top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32.0 (30.3-33.6)</w:t>
            </w:r>
          </w:p>
        </w:tc>
        <w:tc>
          <w:tcPr>
            <w:tcW w:w="2160" w:type="dxa"/>
            <w:tcBorders>
              <w:top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69.6 (66.8-72.2)</w:t>
            </w:r>
          </w:p>
        </w:tc>
        <w:tc>
          <w:tcPr>
            <w:tcW w:w="1774" w:type="dxa"/>
            <w:tcBorders>
              <w:top w:val="single" w:sz="4" w:space="0" w:color="auto"/>
            </w:tcBorders>
            <w:shd w:val="clear" w:color="auto" w:fill="auto"/>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86.7 (86.3-87.0)</w:t>
            </w:r>
          </w:p>
        </w:tc>
        <w:tc>
          <w:tcPr>
            <w:tcW w:w="1890" w:type="dxa"/>
            <w:tcBorders>
              <w:top w:val="single" w:sz="4" w:space="0" w:color="auto"/>
            </w:tcBorders>
            <w:shd w:val="clear" w:color="auto" w:fill="auto"/>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70.6 (69.3-71.8)</w:t>
            </w:r>
          </w:p>
        </w:tc>
        <w:tc>
          <w:tcPr>
            <w:tcW w:w="1800" w:type="dxa"/>
            <w:tcBorders>
              <w:top w:val="single" w:sz="4" w:space="0" w:color="auto"/>
            </w:tcBorders>
            <w:shd w:val="clear" w:color="auto" w:fill="auto"/>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70.2 (69.0-71.4)</w:t>
            </w:r>
          </w:p>
        </w:tc>
        <w:tc>
          <w:tcPr>
            <w:tcW w:w="300" w:type="dxa"/>
            <w:tcBorders>
              <w:top w:val="single" w:sz="4" w:space="0" w:color="auto"/>
            </w:tcBorders>
            <w:shd w:val="clear" w:color="auto" w:fill="auto"/>
            <w:vAlign w:val="center"/>
            <w:hideMark/>
          </w:tcPr>
          <w:p w:rsidR="006A02A3" w:rsidRPr="00AB4473" w:rsidRDefault="006A02A3" w:rsidP="00C94559">
            <w:pPr>
              <w:jc w:val="center"/>
              <w:rPr>
                <w:rFonts w:eastAsia="Times New Roman" w:cs="Times New Roman"/>
                <w:sz w:val="20"/>
                <w:szCs w:val="20"/>
              </w:rPr>
            </w:pPr>
          </w:p>
        </w:tc>
        <w:tc>
          <w:tcPr>
            <w:tcW w:w="870" w:type="dxa"/>
            <w:tcBorders>
              <w:top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9.9</w:t>
            </w:r>
          </w:p>
        </w:tc>
        <w:tc>
          <w:tcPr>
            <w:tcW w:w="716" w:type="dxa"/>
            <w:tcBorders>
              <w:top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56394</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Alabama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45.8 (36.9-55.0)</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20.0 (13.9-27.9)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47.4 (34.3-60.9)</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86.4 (84.2-88.3)</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72.2 (65.4-78.1)</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73.5 (67.3-78.9)</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10.7</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922</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Alaska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40.8 (32.0-50.3)</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25.0 (17.8-33.9)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63.4 (49.2-75.7)</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85.6 (81.0-89.3)</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70.7 (59.8-79.6)</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70.3 (57.5-80.6)</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10.9</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136</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Arizona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52.8 (43.4-62.0)</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33.1 (24.7-42.8)</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67.0 (53.7-78.0)</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85.9 (82.7-88.6)</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68.6 (58.1-77.4)</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67.4 (56.8-76.4)</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8.2</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996</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Arkansas</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37.9 (28.5-48.3)</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19.6 (13.2-28.2)</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63.4 (41.5-80.8)</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80.2 (76.0-83.8)</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61.8 (48.6-73.5)</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62.5 (51.3-72.5)</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1586" w:type="dxa"/>
            <w:gridSpan w:val="2"/>
            <w:shd w:val="clear" w:color="auto" w:fill="auto"/>
            <w:noWrap/>
            <w:vAlign w:val="center"/>
            <w:hideMark/>
          </w:tcPr>
          <w:p w:rsidR="006A02A3" w:rsidRPr="00AB4473" w:rsidRDefault="006A02A3" w:rsidP="00C94559">
            <w:pPr>
              <w:jc w:val="center"/>
              <w:rPr>
                <w:rFonts w:ascii="Calibri" w:eastAsia="Times New Roman" w:hAnsi="Calibri" w:cs="Calibri"/>
                <w:sz w:val="20"/>
                <w:szCs w:val="20"/>
              </w:rPr>
            </w:pPr>
            <w:r w:rsidRPr="00AB4473">
              <w:rPr>
                <w:rFonts w:ascii="Calibri" w:eastAsia="Times New Roman" w:hAnsi="Calibri" w:cs="Calibri"/>
                <w:sz w:val="20"/>
                <w:szCs w:val="20"/>
              </w:rPr>
              <w:t>—</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California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56.1 (46.9-64.9)</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32.0 (24.5-40.6)</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61.0 (48.3-72.4)</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86.7 (85.3-87.9)</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76.4 (72.9-79.6)</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75.5 (71.6-79.1)</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10.2</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7214</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Colorado</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52.5 (43.5-61.4)</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40.9 (32.5-49.9)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81.6 (69.7-89.5)</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86.5 (84.6-88.2)</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70.2 (64.2-75.5)</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71.4 (65.7-76.6)</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765</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Connecticut</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57.9 (49.4-65.9)</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45.5 (37.2-54.1)</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83.2 (71.3-90.8)</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91.7 (89.8-93.2)</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79.1 (69.1-86.5)</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79.0 (69.6-86.0)</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566</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Delaware</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63.9 (54.9-72.0)</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40.4 (31.7-49.7)</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68.6 (55.3-79.5)</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87.7 (84.6-90.3)</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65.9 (49.7-79.1)</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64.9 (49.9-77.5)</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11.0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202</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District of Columbia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57.5 (48.6-66.0)</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33.8 (26.2-42.5)</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62.7 (50.8-73.2)</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91.4 (89.3-93.1)</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82.5 (73.8-88.8)</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75.3 (57.9-87.1)</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1586" w:type="dxa"/>
            <w:gridSpan w:val="2"/>
            <w:shd w:val="clear" w:color="auto" w:fill="auto"/>
            <w:noWrap/>
            <w:vAlign w:val="center"/>
            <w:hideMark/>
          </w:tcPr>
          <w:p w:rsidR="006A02A3" w:rsidRPr="00AB4473" w:rsidRDefault="006A02A3" w:rsidP="00C94559">
            <w:pPr>
              <w:jc w:val="center"/>
              <w:rPr>
                <w:rFonts w:ascii="Calibri" w:eastAsia="Times New Roman" w:hAnsi="Calibri" w:cs="Calibri"/>
                <w:sz w:val="20"/>
                <w:szCs w:val="20"/>
              </w:rPr>
            </w:pPr>
            <w:r w:rsidRPr="00AB4473">
              <w:rPr>
                <w:rFonts w:ascii="Calibri" w:eastAsia="Times New Roman" w:hAnsi="Calibri" w:cs="Calibri"/>
                <w:sz w:val="20"/>
                <w:szCs w:val="20"/>
              </w:rPr>
              <w:t>—</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Florida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41.1 (31.5-51.4)</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24.9 (16.9-35.1)</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62.0 (45.7-76.0)</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85.1 (83.4-86.6)</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68.3 (63.3-73.0)</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66.0 (60.8-70.9)</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11.3</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4339</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Georgia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43.5 (35.8-51.5)</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22.8 (17.4-29.4)</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56.2 (43.3-68.3)</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88.4 (86.4-90.2)</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75.3 (68.4-81.1)</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73.5 (66.9-79.3)</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1896</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Hawaii</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62.7 (52.8-71.6)</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39.9 (31.1-49.4)</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70.9 (59.0-80.5)</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84.2 (81.7-86.4)</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64.8 (55.1-73.3)</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62.3 (49.2-73.9)</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10.2</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260</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Idaho</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28.8 (21.6-37.3)</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17.6 (11.8-25.4)</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66.1 (49.5-79.6)</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81.4 (79.0-83.6)</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65.7 (58.6-72.1)</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70.0 (63.9-75.4)</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7.7</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216</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Illinois</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39.7 (33.3-46.4)</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26.0 (20.6-32.2)</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72.2 (62.3-80.4)</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88.1 (86.0-89.9)</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69.8 (60.4-77.8)</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72.1 (62.9-79.8)</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10.8</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2819</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Indiana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37.0 (29.2-45.6)</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24.8 (18.4-32.7)</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77.6 (62.8-87.7)</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84.5 (82.7-86.1)</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67.1 (60.1-73.3)</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65.6 (59.8-71.0)</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9.5</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1218</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Iowa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48.2 (38.9-57.7)</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36.2 (27.8-45.5)</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79.4 (66.3-88.3)</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88.7 (86.7-90.4)</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63.2 (52.6-72.7)</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68.1 (58.9-76.1)</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8.7</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509</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Kansas</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40.2 (32.0-48.9)</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25.1 (18.6-33.0)</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62.9 (47.7-76.0)</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87.4 (85.4-89.2)</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71.5 (63.5-78.4)</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73.4 (65.6-79.9)</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8.4</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449</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Kentucky</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40.1 (31.4-49.5)</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27.3 (20.1-35.9)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75.5 (59.0-86.9)</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84.6 (82.2-86.7)</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71.1 (61.7-79.0)</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73.6 (66.4-79.7)</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11.1</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979</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Louisiana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54.2 (44.9-63.2)</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39.3 (30.6-48.6)</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74.4 (62.1-83.8)</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87.7 (85.9-89.3)</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75.6 (69.6-80.7)</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78.3 (73.5-82.5)</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11.8</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943</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Maine</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54.6 (45.0-63.8)</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32.9 (24.8-42.2)</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65.2 (51.9-76.5)</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91.9 (90.7-93.1)</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70.0 (61.9-77.0)</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77.5 (71.1-82.7)</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227</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Maryland</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41.6 (32.6-51.3)</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30.8 (22.9-40.0)</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76.5 (62.1-86.6)</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90.6 (89.1-92.0)</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78.9 (72.6-84.1)</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78.3 (70.7-84.4)</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8.1</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966</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Massachusetts</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65.9 (56.5-74.1)</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46.8 (37.1-56.9)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71.1 (56.7-82.2)</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93.0 (91.8-94.1)</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71.7 (61.9-79.8)</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69.7 (57.1-79.9)</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982</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Michigan</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49.4 (39.6-59.3)</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25.2 (18.1-33.9)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52.7 (38.4-66.6)</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88.9 (87.0-90.6)</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66.3 (57.8-73.9)</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72.7 (65.5-78.8)</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1824</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Minnesota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51.3 (42.0-60.5)</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37.8 (29.3-47.1)</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80.1 (65.8-89.4)</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91.7 (89.4-93.5)</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83.9 (78.9-88.0)</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74.4 (58.6-85.7)</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786</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Mississippi</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34.0 (26.2-42.6)</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20.0 (13.8-28.2)</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62.8 (46.9-76.3)</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83.6 (81.4-85.5)</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68.0 (60.7-74.5)</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68.5 (62.7-73.7)</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11.4</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607</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Missouri</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41.4 (33.4-49.8)</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25.5 (19.3-33.0)</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66.0 (51.3-78.1)</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85.5 (82.8-87.9)</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67.5 (57.6-76.0)</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64.7 (55.5-72.9)</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9.9</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1197</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Montana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45.5 (36.9-54.4)</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33.2 (25.1-42.3)</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77.3 (64.9-86.3)</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83.5 (81.1-85.6)</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64.6 (57.3-71.3)</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69.6 (63.2-75.3)</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139</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Nebraska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52.3 (42.8-61.6)</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42.5 (33.3-52.2)</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84.0 (73.2-91.0)</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86.7 (84.2-88.8)</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63.1 (54.6-70.8)</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70.5 (59.0-79.9)</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8.9</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295</w:t>
            </w:r>
          </w:p>
        </w:tc>
      </w:tr>
    </w:tbl>
    <w:p w:rsidR="006A02A3" w:rsidRPr="00816320" w:rsidRDefault="006A02A3" w:rsidP="006A02A3">
      <w:pPr>
        <w:rPr>
          <w:sz w:val="20"/>
          <w:szCs w:val="20"/>
        </w:rPr>
      </w:pPr>
      <w:r w:rsidRPr="00816320">
        <w:rPr>
          <w:sz w:val="20"/>
          <w:szCs w:val="20"/>
        </w:rPr>
        <w:br w:type="page"/>
      </w:r>
    </w:p>
    <w:tbl>
      <w:tblPr>
        <w:tblStyle w:val="TableGrid"/>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530"/>
        <w:gridCol w:w="2160"/>
        <w:gridCol w:w="1774"/>
        <w:gridCol w:w="1890"/>
        <w:gridCol w:w="1800"/>
        <w:gridCol w:w="300"/>
        <w:gridCol w:w="870"/>
        <w:gridCol w:w="716"/>
      </w:tblGrid>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lastRenderedPageBreak/>
              <w:t>Nevada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47.4 (38.9-56.2)</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25.9 (19.1-34.1)</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60.2 (46.3-72.7)</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82.8 (78.8-86.1)</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63.7 (53.9-72.4)</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58.7 (47.8-68.8)</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10.1</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507</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New Hampshire</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49.6 (41.4-57.7)</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42.2 (34.4-50.4)</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87.1 (77.1-93.1)</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88.5 (86.1-90.5)</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70.1 (59.4-79.0)</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73.6 (65.3-80.5)</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7.7</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208</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New Jersey</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35.4 (27.0-44.9)</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25.4 (18.6-33.7)</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76.2 (56.2-88.9)</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88.6 (87.2-89.9)</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73.0 (66.7-78.5)</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73.8 (67.9-78.9)</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10.8</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2002</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New Mexico</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48.4 (40.1-56.8)</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31.1 (23.7-39.5)</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67.6 (53.9-78.9)</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84.8 (82.3-87.0)</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70.6 (65.0-75.6)</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73.7 (68.1-78.7)</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9.5</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363</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New York</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56.2 (49.5-62.7)</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39.7 (33.3-46.5)</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76.9 (66.7-84.7)</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88.4 (86.9-89.8)</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72.1 (64.8-78.3)</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71.0 (64.0-77.1)</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10.4</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4391</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North Carolina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51.9 (42.8-60.9)</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39.3 (30.6-48.6)</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80.2 (67.6-88.8)</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87.8 (85.9-89.5)</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75.9 (70.4-80.7)</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74.0 (68.5-78.8)</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9.3</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1743</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North Dakota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41.7 (33.7-50.2)</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26.3 (19.8-34.0)</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67.4 (53.1-79.1)</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88.8 (86.6-90.7)</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76.7 (69.0-82.9)</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76.5 (67.2-83.8)</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93</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Ohio</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44.0 (35.3-53.0)</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31.1 (23.6-39.8)</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72.0 (56.3-83.7)</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85.6 (83.8-87.3)</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61.2 (53.2-68.6)</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64.8 (57.9-71.1)</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9.6</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2300</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Oklahoma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47.4 (38.8-56.2)</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31.1 (23.5-39.9)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68.7 (54.8-79.9)</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81.0 (78.9-82.9)</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67.1 (61.6-72.2)</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68.8 (63.6-73.5)</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12.0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860</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Oregon</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54.1 (44.4-63.4)</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38.2 (29.2-48.0)</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74.3 (59.6-85.0)</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80.5 (77.1-83.5)</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49.5 (39.4-59.5)</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51.5 (41.3-61.5)</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8.7</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654</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Pennsylvania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52.3 (44.7-59.7)</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41.7 (34.4-49.3)</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82.8 (74.0-89.1)</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85.4 (83.8-87.0)</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56.7 (48.5-64.5)</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61.8 (55.0-68.2)</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9.9</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2642</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Rhode Island</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73.0 (64.6-80.0)</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55.1 (46.0-63.9)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79.6 (68.7-87.4)</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90.3 (87.8-92.4)</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76.1 (64.3-84.9)</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77.2 (66.4-85.4)</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8.9</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199</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South Carolina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41.5 (32.6-51.0)</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29.5 (21.5-39.0)</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74.6 (60.0-85.2)</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87.0 (84.4-89.3)</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70.7 (60.2-79.4)</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73.3 (64.5-80.5)</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920</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South Dakota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68.8 (60.5-76.1)</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54.5 (45.6-63.1)</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85.5 (75.7-91.7)</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88.5 (86.1-90.5)</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71.0 (61.4-79.1)</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78.7 (71.6-84.4)</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8.0</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116</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Tennessee</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33.1 (25.7-41.4)</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26.3 (19.7-34.2)</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83.1 (69.6-91.3)</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85.8 (83.4-87.8)</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63.8 (55.0-71.8)</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65.1 (56.8-72.6)</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10.8</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1383</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Texas</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47.5 (40.5-54.6)</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27.0 (21.3-33.6)</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62.3 (51.1-72.4)</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82.3 (80.4-84.1)</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63.7 (58.5-68.6)</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66.9 (62.3-71.2)</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11.2</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4545</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Utah</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39.2 (31.0-48.0)</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22.2 (15.7-30.5)</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59.1 (45.0-71.8)</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80.3 (77.7-82.6)</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71.1 (65.2-76.3)</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69.4 (62.2-75.7)</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6.5</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286</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Vermont</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49.6 (40.4-58.8)</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38.6 (30.2-47.7)</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82.6 (65.7-92.2)</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88.8 (86.9-90.5)</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63.3 (52.8-72.7)</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71.6 (61.2-80.1)</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5.9</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77</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Virginia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54.0 (44.3-63.5)</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41.5 (32.1-51.5)</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78.2 (66.5-86.6)</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89.1 (85.7-91.8)</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81.5 (71.1-88.8)</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72.8 (62.3-81.3)</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1586" w:type="dxa"/>
            <w:gridSpan w:val="2"/>
            <w:shd w:val="clear" w:color="auto" w:fill="auto"/>
            <w:noWrap/>
            <w:vAlign w:val="center"/>
            <w:hideMark/>
          </w:tcPr>
          <w:p w:rsidR="006A02A3" w:rsidRPr="00AB4473" w:rsidRDefault="006A02A3" w:rsidP="00C94559">
            <w:pPr>
              <w:jc w:val="center"/>
              <w:rPr>
                <w:rFonts w:ascii="Calibri" w:eastAsia="Times New Roman" w:hAnsi="Calibri" w:cs="Calibri"/>
                <w:sz w:val="20"/>
                <w:szCs w:val="20"/>
              </w:rPr>
            </w:pPr>
            <w:r w:rsidRPr="00AB4473">
              <w:rPr>
                <w:rFonts w:ascii="Calibri" w:eastAsia="Times New Roman" w:hAnsi="Calibri" w:cs="Calibri"/>
                <w:sz w:val="20"/>
                <w:szCs w:val="20"/>
              </w:rPr>
              <w:t>—</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Washington</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69.3 (61.5-76.2)</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45.5 (37.3-53.9)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66.5 (55.8-75.8)</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86.6 (85.2-87.8)</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73.1 (68.8-77.0)</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71.5 (66.9-75.7)</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1092</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West Virginia</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42.4 (34.3-51.0)</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25.3 (18.9-32.9)</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63.9 (49.3-76.3)</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82.8 (79.9-85.4)</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69.9 (62.3-76.6)</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70.5 (62.8-77.1)</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11.9</w:t>
            </w:r>
          </w:p>
        </w:tc>
        <w:tc>
          <w:tcPr>
            <w:tcW w:w="716"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454</w:t>
            </w:r>
          </w:p>
        </w:tc>
      </w:tr>
      <w:tr w:rsidR="006A02A3" w:rsidRPr="00816320" w:rsidTr="00C94559">
        <w:trPr>
          <w:trHeight w:hRule="exact" w:val="245"/>
        </w:trPr>
        <w:tc>
          <w:tcPr>
            <w:tcW w:w="2430" w:type="dxa"/>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Wisconsin</w:t>
            </w:r>
          </w:p>
        </w:tc>
        <w:tc>
          <w:tcPr>
            <w:tcW w:w="171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54.4 (44.5-63.9)</w:t>
            </w:r>
          </w:p>
        </w:tc>
        <w:tc>
          <w:tcPr>
            <w:tcW w:w="153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44.1 (34.7-54.0)</w:t>
            </w:r>
          </w:p>
        </w:tc>
        <w:tc>
          <w:tcPr>
            <w:tcW w:w="216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85.8 (73.5-93.0)</w:t>
            </w:r>
          </w:p>
        </w:tc>
        <w:tc>
          <w:tcPr>
            <w:tcW w:w="1774"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90.9 (88.9-92.7)</w:t>
            </w:r>
          </w:p>
        </w:tc>
        <w:tc>
          <w:tcPr>
            <w:tcW w:w="189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70.6 (59.5-79.6)</w:t>
            </w:r>
          </w:p>
        </w:tc>
        <w:tc>
          <w:tcPr>
            <w:tcW w:w="1800" w:type="dxa"/>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75.5 (65.2-83.5)</w:t>
            </w:r>
          </w:p>
        </w:tc>
        <w:tc>
          <w:tcPr>
            <w:tcW w:w="300" w:type="dxa"/>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1586" w:type="dxa"/>
            <w:gridSpan w:val="2"/>
            <w:shd w:val="clear" w:color="auto" w:fill="auto"/>
            <w:noWrap/>
            <w:vAlign w:val="center"/>
            <w:hideMark/>
          </w:tcPr>
          <w:p w:rsidR="006A02A3" w:rsidRPr="00AB4473" w:rsidRDefault="006A02A3" w:rsidP="00C94559">
            <w:pPr>
              <w:jc w:val="center"/>
              <w:rPr>
                <w:rFonts w:ascii="Calibri" w:eastAsia="Times New Roman" w:hAnsi="Calibri" w:cs="Calibri"/>
                <w:sz w:val="20"/>
                <w:szCs w:val="20"/>
              </w:rPr>
            </w:pPr>
            <w:r w:rsidRPr="00AB4473">
              <w:rPr>
                <w:rFonts w:ascii="Calibri" w:eastAsia="Times New Roman" w:hAnsi="Calibri" w:cs="Calibri"/>
                <w:sz w:val="20"/>
                <w:szCs w:val="20"/>
              </w:rPr>
              <w:t>—</w:t>
            </w:r>
          </w:p>
        </w:tc>
      </w:tr>
      <w:tr w:rsidR="006A02A3" w:rsidRPr="00816320" w:rsidTr="00C94559">
        <w:trPr>
          <w:trHeight w:hRule="exact" w:val="245"/>
        </w:trPr>
        <w:tc>
          <w:tcPr>
            <w:tcW w:w="2430" w:type="dxa"/>
            <w:tcBorders>
              <w:bottom w:val="single" w:sz="4" w:space="0" w:color="auto"/>
            </w:tcBorders>
            <w:shd w:val="clear" w:color="auto" w:fill="auto"/>
            <w:vAlign w:val="center"/>
            <w:hideMark/>
          </w:tcPr>
          <w:p w:rsidR="006A02A3" w:rsidRPr="00AB4473" w:rsidRDefault="006A02A3" w:rsidP="00C94559">
            <w:pPr>
              <w:rPr>
                <w:rFonts w:eastAsia="Times New Roman" w:cs="Times New Roman"/>
                <w:sz w:val="20"/>
                <w:szCs w:val="20"/>
              </w:rPr>
            </w:pPr>
            <w:r w:rsidRPr="00AB4473">
              <w:rPr>
                <w:rFonts w:eastAsia="Times New Roman" w:cs="Times New Roman"/>
                <w:sz w:val="20"/>
                <w:szCs w:val="20"/>
              </w:rPr>
              <w:t>Wyoming</w:t>
            </w:r>
          </w:p>
        </w:tc>
        <w:tc>
          <w:tcPr>
            <w:tcW w:w="1710"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53.2 (44.1-62.0)</w:t>
            </w:r>
          </w:p>
        </w:tc>
        <w:tc>
          <w:tcPr>
            <w:tcW w:w="1530"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40.3 (31.9-49.3)</w:t>
            </w:r>
          </w:p>
        </w:tc>
        <w:tc>
          <w:tcPr>
            <w:tcW w:w="2160"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81.0 (68.1-89.5)</w:t>
            </w:r>
          </w:p>
        </w:tc>
        <w:tc>
          <w:tcPr>
            <w:tcW w:w="1774"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83.6 (81.0-86.0)</w:t>
            </w:r>
          </w:p>
        </w:tc>
        <w:tc>
          <w:tcPr>
            <w:tcW w:w="1890"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67.9 (60.2-74.6)</w:t>
            </w:r>
          </w:p>
        </w:tc>
        <w:tc>
          <w:tcPr>
            <w:tcW w:w="1800"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63.4 (55.1-71.0)</w:t>
            </w:r>
          </w:p>
        </w:tc>
        <w:tc>
          <w:tcPr>
            <w:tcW w:w="300"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p>
        </w:tc>
        <w:tc>
          <w:tcPr>
            <w:tcW w:w="870"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10.4</w:t>
            </w:r>
          </w:p>
        </w:tc>
        <w:tc>
          <w:tcPr>
            <w:tcW w:w="716" w:type="dxa"/>
            <w:tcBorders>
              <w:bottom w:val="single" w:sz="4" w:space="0" w:color="auto"/>
            </w:tcBorders>
            <w:shd w:val="clear" w:color="auto" w:fill="auto"/>
            <w:noWrap/>
            <w:vAlign w:val="center"/>
            <w:hideMark/>
          </w:tcPr>
          <w:p w:rsidR="006A02A3" w:rsidRPr="00AB4473" w:rsidRDefault="006A02A3" w:rsidP="00C94559">
            <w:pPr>
              <w:jc w:val="center"/>
              <w:rPr>
                <w:rFonts w:eastAsia="Times New Roman" w:cs="Times New Roman"/>
                <w:sz w:val="20"/>
                <w:szCs w:val="20"/>
              </w:rPr>
            </w:pPr>
            <w:r w:rsidRPr="00AB4473">
              <w:rPr>
                <w:rFonts w:eastAsia="Times New Roman" w:cs="Times New Roman"/>
                <w:sz w:val="20"/>
                <w:szCs w:val="20"/>
              </w:rPr>
              <w:t>107</w:t>
            </w:r>
          </w:p>
        </w:tc>
      </w:tr>
      <w:tr w:rsidR="006A02A3" w:rsidRPr="00816320" w:rsidTr="006A02A3">
        <w:trPr>
          <w:trHeight w:val="300"/>
        </w:trPr>
        <w:tc>
          <w:tcPr>
            <w:tcW w:w="15180" w:type="dxa"/>
            <w:gridSpan w:val="10"/>
            <w:tcBorders>
              <w:top w:val="single" w:sz="4" w:space="0" w:color="auto"/>
            </w:tcBorders>
            <w:shd w:val="clear" w:color="auto" w:fill="auto"/>
            <w:noWrap/>
            <w:vAlign w:val="center"/>
            <w:hideMark/>
          </w:tcPr>
          <w:p w:rsidR="006A02A3" w:rsidRPr="00AB4473" w:rsidRDefault="006A02A3" w:rsidP="006A02A3">
            <w:pPr>
              <w:rPr>
                <w:rFonts w:eastAsia="Times New Roman" w:cs="Times New Roman"/>
                <w:sz w:val="20"/>
                <w:szCs w:val="20"/>
              </w:rPr>
            </w:pPr>
            <w:r w:rsidRPr="00AB4473">
              <w:rPr>
                <w:rFonts w:eastAsia="Times New Roman" w:cs="Times New Roman"/>
                <w:sz w:val="20"/>
                <w:szCs w:val="20"/>
              </w:rPr>
              <w:t>Abbreviations: HPV, Human papilloma</w:t>
            </w:r>
            <w:r w:rsidRPr="00816320">
              <w:rPr>
                <w:rFonts w:eastAsia="Times New Roman" w:cs="Times New Roman"/>
                <w:sz w:val="20"/>
                <w:szCs w:val="20"/>
              </w:rPr>
              <w:t xml:space="preserve">virus; CI, confidence interval. </w:t>
            </w:r>
          </w:p>
        </w:tc>
      </w:tr>
      <w:tr w:rsidR="006A02A3" w:rsidRPr="00816320" w:rsidTr="006A02A3">
        <w:trPr>
          <w:trHeight w:val="540"/>
        </w:trPr>
        <w:tc>
          <w:tcPr>
            <w:tcW w:w="15180" w:type="dxa"/>
            <w:gridSpan w:val="10"/>
            <w:shd w:val="clear" w:color="auto" w:fill="auto"/>
            <w:vAlign w:val="center"/>
            <w:hideMark/>
          </w:tcPr>
          <w:p w:rsidR="006A02A3" w:rsidRPr="00AB4473" w:rsidRDefault="006A02A3" w:rsidP="006A02A3">
            <w:pPr>
              <w:rPr>
                <w:rFonts w:eastAsia="Times New Roman" w:cs="Times New Roman"/>
                <w:sz w:val="20"/>
                <w:szCs w:val="20"/>
              </w:rPr>
            </w:pPr>
            <w:r w:rsidRPr="00AB4473">
              <w:rPr>
                <w:rFonts w:eastAsia="Times New Roman" w:cs="Times New Roman"/>
                <w:sz w:val="20"/>
                <w:szCs w:val="20"/>
              </w:rPr>
              <w:t xml:space="preserve">* Adolescent girls in the 2010 NIS-Teen were born during January 1992-February 1998. Source: National Immunization Survey-Teen 2008, 2010, National Center for Health Statistics, Centers for Disease Control and Prevention, 2010, 2011. </w:t>
            </w:r>
          </w:p>
        </w:tc>
      </w:tr>
      <w:tr w:rsidR="006A02A3" w:rsidRPr="00816320" w:rsidTr="006A02A3">
        <w:trPr>
          <w:trHeight w:val="300"/>
        </w:trPr>
        <w:tc>
          <w:tcPr>
            <w:tcW w:w="15180" w:type="dxa"/>
            <w:gridSpan w:val="10"/>
            <w:shd w:val="clear" w:color="auto" w:fill="auto"/>
            <w:noWrap/>
            <w:vAlign w:val="center"/>
            <w:hideMark/>
          </w:tcPr>
          <w:p w:rsidR="006A02A3" w:rsidRPr="00AB4473" w:rsidRDefault="006A02A3" w:rsidP="006A02A3">
            <w:pPr>
              <w:rPr>
                <w:rFonts w:eastAsia="Times New Roman" w:cs="Times New Roman"/>
                <w:sz w:val="20"/>
                <w:szCs w:val="20"/>
              </w:rPr>
            </w:pPr>
            <w:r w:rsidRPr="00AB4473">
              <w:rPr>
                <w:rFonts w:eastAsia="Times New Roman" w:cs="Times New Roman"/>
                <w:sz w:val="20"/>
                <w:szCs w:val="20"/>
              </w:rPr>
              <w:t>† Either quadrivalent or bivalent human papillomavirus vaccine.</w:t>
            </w:r>
          </w:p>
        </w:tc>
      </w:tr>
      <w:tr w:rsidR="006A02A3" w:rsidRPr="00816320" w:rsidTr="006A02A3">
        <w:trPr>
          <w:trHeight w:val="300"/>
        </w:trPr>
        <w:tc>
          <w:tcPr>
            <w:tcW w:w="15180" w:type="dxa"/>
            <w:gridSpan w:val="10"/>
            <w:shd w:val="clear" w:color="auto" w:fill="auto"/>
            <w:noWrap/>
            <w:vAlign w:val="center"/>
            <w:hideMark/>
          </w:tcPr>
          <w:p w:rsidR="006A02A3" w:rsidRPr="00AB4473" w:rsidRDefault="006A02A3" w:rsidP="006A02A3">
            <w:pPr>
              <w:rPr>
                <w:rFonts w:eastAsia="Times New Roman" w:cs="Times New Roman"/>
                <w:sz w:val="20"/>
                <w:szCs w:val="20"/>
              </w:rPr>
            </w:pPr>
            <w:r w:rsidRPr="00AB4473">
              <w:rPr>
                <w:rFonts w:eastAsia="Times New Roman" w:cs="Times New Roman"/>
                <w:sz w:val="20"/>
                <w:szCs w:val="20"/>
              </w:rPr>
              <w:t xml:space="preserve">‡ Percentage of females who received three doses among those who had at least one HPV dose at and had least 24 weeks between the first dose and the interview date. </w:t>
            </w:r>
          </w:p>
        </w:tc>
      </w:tr>
      <w:tr w:rsidR="006A02A3" w:rsidRPr="00816320" w:rsidTr="006A02A3">
        <w:trPr>
          <w:trHeight w:val="300"/>
        </w:trPr>
        <w:tc>
          <w:tcPr>
            <w:tcW w:w="15180" w:type="dxa"/>
            <w:gridSpan w:val="10"/>
            <w:shd w:val="clear" w:color="auto" w:fill="auto"/>
            <w:noWrap/>
            <w:vAlign w:val="center"/>
            <w:hideMark/>
          </w:tcPr>
          <w:p w:rsidR="006A02A3" w:rsidRPr="00AB4473" w:rsidRDefault="006A02A3" w:rsidP="006A02A3">
            <w:pPr>
              <w:rPr>
                <w:rFonts w:eastAsia="Times New Roman" w:cs="Times New Roman"/>
                <w:sz w:val="20"/>
                <w:szCs w:val="20"/>
              </w:rPr>
            </w:pPr>
            <w:r w:rsidRPr="00AB4473">
              <w:rPr>
                <w:rFonts w:eastAsia="Times New Roman" w:cs="Times New Roman"/>
                <w:sz w:val="20"/>
                <w:szCs w:val="20"/>
              </w:rPr>
              <w:t xml:space="preserve">§ Confidence interval. Estimates with confidence interval widths &gt;20 might not be reliable. </w:t>
            </w:r>
          </w:p>
        </w:tc>
      </w:tr>
      <w:tr w:rsidR="006A02A3" w:rsidRPr="00816320" w:rsidTr="006A02A3">
        <w:trPr>
          <w:trHeight w:val="300"/>
        </w:trPr>
        <w:tc>
          <w:tcPr>
            <w:tcW w:w="15180" w:type="dxa"/>
            <w:gridSpan w:val="10"/>
            <w:vMerge w:val="restart"/>
            <w:shd w:val="clear" w:color="auto" w:fill="auto"/>
            <w:vAlign w:val="center"/>
            <w:hideMark/>
          </w:tcPr>
          <w:p w:rsidR="006A02A3" w:rsidRPr="00AB4473" w:rsidRDefault="006A02A3" w:rsidP="006A02A3">
            <w:pPr>
              <w:rPr>
                <w:rFonts w:eastAsia="Times New Roman" w:cs="Times New Roman"/>
                <w:sz w:val="20"/>
                <w:szCs w:val="20"/>
              </w:rPr>
            </w:pPr>
            <w:r w:rsidRPr="00AB4473">
              <w:rPr>
                <w:rFonts w:eastAsia="Times New Roman" w:cs="Times New Roman"/>
                <w:sz w:val="20"/>
                <w:szCs w:val="20"/>
              </w:rPr>
              <w:t>|| Source: Behavioral Risk Factor Surveillance System Public Use Data Tape 2010, National Center for Chronic Disease Prevention and Health Promotion, Centers for Disease Control and Prevention, 2011.  Estimates are for women with intact uteri.</w:t>
            </w:r>
          </w:p>
        </w:tc>
      </w:tr>
      <w:tr w:rsidR="006A02A3" w:rsidRPr="00816320" w:rsidTr="006A02A3">
        <w:trPr>
          <w:trHeight w:val="270"/>
        </w:trPr>
        <w:tc>
          <w:tcPr>
            <w:tcW w:w="15180" w:type="dxa"/>
            <w:gridSpan w:val="10"/>
            <w:vMerge/>
            <w:shd w:val="clear" w:color="auto" w:fill="auto"/>
            <w:vAlign w:val="center"/>
            <w:hideMark/>
          </w:tcPr>
          <w:p w:rsidR="006A02A3" w:rsidRPr="00AB4473" w:rsidRDefault="006A02A3" w:rsidP="006A02A3">
            <w:pPr>
              <w:rPr>
                <w:rFonts w:eastAsia="Times New Roman" w:cs="Times New Roman"/>
                <w:sz w:val="20"/>
                <w:szCs w:val="20"/>
              </w:rPr>
            </w:pPr>
          </w:p>
        </w:tc>
      </w:tr>
      <w:tr w:rsidR="006A02A3" w:rsidRPr="00816320" w:rsidTr="006A02A3">
        <w:trPr>
          <w:trHeight w:val="719"/>
        </w:trPr>
        <w:tc>
          <w:tcPr>
            <w:tcW w:w="15180" w:type="dxa"/>
            <w:gridSpan w:val="10"/>
            <w:shd w:val="clear" w:color="auto" w:fill="auto"/>
            <w:vAlign w:val="center"/>
            <w:hideMark/>
          </w:tcPr>
          <w:p w:rsidR="006A02A3" w:rsidRPr="00AB4473" w:rsidRDefault="006A02A3" w:rsidP="006A02A3">
            <w:pPr>
              <w:rPr>
                <w:rFonts w:eastAsia="Times New Roman" w:cs="Times New Roman"/>
                <w:sz w:val="20"/>
                <w:szCs w:val="20"/>
              </w:rPr>
            </w:pPr>
            <w:r w:rsidRPr="00AB4473">
              <w:rPr>
                <w:rFonts w:eastAsia="Times New Roman" w:cs="Times New Roman"/>
                <w:sz w:val="20"/>
                <w:szCs w:val="20"/>
              </w:rPr>
              <w:t xml:space="preserve">¶ Five-year rates are per 100,000 population and standardized to the 2000 US standard population. States with missing rates did not meet North American Association of Central Cancer Registries (NAACCR) quality standards for the specified years and are not included in the reporting of incidence. Source: NPCR, National Program of Cancer Registries and SEER, Surveillance, Epidemiology, and End Results Program reported by NAACCR as meeting high-quality incidence data standards for the specified time periods. </w:t>
            </w:r>
          </w:p>
        </w:tc>
      </w:tr>
      <w:tr w:rsidR="006A02A3" w:rsidRPr="00816320" w:rsidTr="006A02A3">
        <w:trPr>
          <w:trHeight w:val="300"/>
        </w:trPr>
        <w:tc>
          <w:tcPr>
            <w:tcW w:w="15180" w:type="dxa"/>
            <w:gridSpan w:val="10"/>
            <w:shd w:val="clear" w:color="auto" w:fill="auto"/>
            <w:noWrap/>
            <w:vAlign w:val="center"/>
            <w:hideMark/>
          </w:tcPr>
          <w:p w:rsidR="006A02A3" w:rsidRPr="00AB4473" w:rsidRDefault="006A02A3" w:rsidP="006A02A3">
            <w:pPr>
              <w:rPr>
                <w:rFonts w:eastAsia="Times New Roman" w:cs="Times New Roman"/>
                <w:sz w:val="20"/>
                <w:szCs w:val="20"/>
              </w:rPr>
            </w:pPr>
            <w:r w:rsidRPr="00AB4473">
              <w:rPr>
                <w:rFonts w:ascii="Calibri" w:eastAsia="Times New Roman" w:hAnsi="Calibri" w:cs="Calibri"/>
                <w:sz w:val="20"/>
                <w:szCs w:val="20"/>
              </w:rPr>
              <w:t>—</w:t>
            </w:r>
            <w:r w:rsidRPr="00AB4473">
              <w:rPr>
                <w:rFonts w:eastAsia="Times New Roman" w:cs="Times New Roman"/>
                <w:sz w:val="20"/>
                <w:szCs w:val="20"/>
              </w:rPr>
              <w:t xml:space="preserve"> Estimate not available because state did not have high quality incidence data to be included in this analysis.</w:t>
            </w:r>
          </w:p>
        </w:tc>
      </w:tr>
    </w:tbl>
    <w:p w:rsidR="00FC4630" w:rsidRPr="00AA61DD" w:rsidRDefault="00FC4630">
      <w:pPr>
        <w:rPr>
          <w:sz w:val="20"/>
          <w:szCs w:val="20"/>
        </w:rPr>
      </w:pPr>
    </w:p>
    <w:sectPr w:rsidR="00FC4630" w:rsidRPr="00AA61DD" w:rsidSect="00AA61DD">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DD"/>
    <w:rsid w:val="00467CA4"/>
    <w:rsid w:val="005E1A9F"/>
    <w:rsid w:val="00650398"/>
    <w:rsid w:val="00666D35"/>
    <w:rsid w:val="006A02A3"/>
    <w:rsid w:val="006B707D"/>
    <w:rsid w:val="007217CD"/>
    <w:rsid w:val="009E1BDE"/>
    <w:rsid w:val="00AA61DD"/>
    <w:rsid w:val="00C94559"/>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Simard</dc:creator>
  <cp:lastModifiedBy>Amanda</cp:lastModifiedBy>
  <cp:revision>2</cp:revision>
  <cp:lastPrinted>2012-10-16T21:15:00Z</cp:lastPrinted>
  <dcterms:created xsi:type="dcterms:W3CDTF">2012-10-17T12:24:00Z</dcterms:created>
  <dcterms:modified xsi:type="dcterms:W3CDTF">2012-10-17T12:24:00Z</dcterms:modified>
</cp:coreProperties>
</file>