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060A0F" w14:textId="77777777" w:rsidR="00E731C4" w:rsidRPr="00A447CE" w:rsidRDefault="00E731C4" w:rsidP="00E731C4">
      <w:pPr>
        <w:ind w:left="-180" w:firstLine="90"/>
        <w:rPr>
          <w:rFonts w:ascii="Times New Roman" w:hAnsi="Times New Roman" w:cs="Times New Roman"/>
          <w:b/>
          <w:bCs/>
          <w:sz w:val="24"/>
          <w:szCs w:val="24"/>
        </w:rPr>
      </w:pPr>
      <w:r w:rsidRPr="00EE5A33">
        <w:rPr>
          <w:rFonts w:ascii="Times New Roman" w:hAnsi="Times New Roman" w:cs="Times New Roman"/>
          <w:b/>
          <w:bCs/>
          <w:sz w:val="24"/>
          <w:szCs w:val="24"/>
        </w:rPr>
        <w:t>Appendix 1</w:t>
      </w:r>
    </w:p>
    <w:p w14:paraId="23BCACFB" w14:textId="77777777" w:rsidR="00E731C4" w:rsidRDefault="00E731C4" w:rsidP="00E731C4">
      <w:pPr>
        <w:pStyle w:val="ListParagraph"/>
        <w:ind w:left="-90"/>
        <w:rPr>
          <w:rFonts w:ascii="Times New Roman" w:hAnsi="Times New Roman" w:cs="Times New Roman"/>
          <w:color w:val="201F1E"/>
          <w:bdr w:val="none" w:sz="0" w:space="0" w:color="auto" w:frame="1"/>
          <w:shd w:val="clear" w:color="auto" w:fill="FFFFFF"/>
        </w:rPr>
      </w:pPr>
      <w:r>
        <w:rPr>
          <w:rFonts w:ascii="Times New Roman" w:hAnsi="Times New Roman" w:cs="Times New Roman"/>
          <w:color w:val="201F1E"/>
          <w:bdr w:val="none" w:sz="0" w:space="0" w:color="auto" w:frame="1"/>
          <w:shd w:val="clear" w:color="auto" w:fill="FFFFFF"/>
        </w:rPr>
        <w:t>A</w:t>
      </w:r>
      <w:r w:rsidRPr="00E33083">
        <w:rPr>
          <w:rFonts w:ascii="Times New Roman" w:hAnsi="Times New Roman" w:cs="Times New Roman"/>
          <w:color w:val="201F1E"/>
          <w:bdr w:val="none" w:sz="0" w:space="0" w:color="auto" w:frame="1"/>
          <w:shd w:val="clear" w:color="auto" w:fill="FFFFFF"/>
        </w:rPr>
        <w:t xml:space="preserve">mong patients taking </w:t>
      </w:r>
      <w:r>
        <w:rPr>
          <w:rFonts w:ascii="Times New Roman" w:hAnsi="Times New Roman" w:cs="Times New Roman"/>
          <w:color w:val="201F1E"/>
          <w:bdr w:val="none" w:sz="0" w:space="0" w:color="auto" w:frame="1"/>
          <w:shd w:val="clear" w:color="auto" w:fill="FFFFFF"/>
        </w:rPr>
        <w:t xml:space="preserve">index </w:t>
      </w:r>
      <w:r w:rsidRPr="00E33083">
        <w:rPr>
          <w:rFonts w:ascii="Times New Roman" w:hAnsi="Times New Roman" w:cs="Times New Roman"/>
          <w:color w:val="201F1E"/>
          <w:bdr w:val="none" w:sz="0" w:space="0" w:color="auto" w:frame="1"/>
          <w:shd w:val="clear" w:color="auto" w:fill="FFFFFF"/>
        </w:rPr>
        <w:t xml:space="preserve">buprenorphine or </w:t>
      </w:r>
      <w:r>
        <w:rPr>
          <w:rFonts w:ascii="Times New Roman" w:hAnsi="Times New Roman" w:cs="Times New Roman"/>
          <w:color w:val="201F1E"/>
          <w:bdr w:val="none" w:sz="0" w:space="0" w:color="auto" w:frame="1"/>
          <w:shd w:val="clear" w:color="auto" w:fill="FFFFFF"/>
        </w:rPr>
        <w:t xml:space="preserve">index </w:t>
      </w:r>
      <w:r w:rsidRPr="00E33083">
        <w:rPr>
          <w:rFonts w:ascii="Times New Roman" w:hAnsi="Times New Roman" w:cs="Times New Roman"/>
          <w:color w:val="201F1E"/>
          <w:bdr w:val="none" w:sz="0" w:space="0" w:color="auto" w:frame="1"/>
          <w:shd w:val="clear" w:color="auto" w:fill="FFFFFF"/>
        </w:rPr>
        <w:t>methadone</w:t>
      </w:r>
      <w:r>
        <w:rPr>
          <w:rFonts w:ascii="Times New Roman" w:hAnsi="Times New Roman" w:cs="Times New Roman"/>
          <w:color w:val="201F1E"/>
          <w:bdr w:val="none" w:sz="0" w:space="0" w:color="auto" w:frame="1"/>
          <w:shd w:val="clear" w:color="auto" w:fill="FFFFFF"/>
        </w:rPr>
        <w:t xml:space="preserve">: </w:t>
      </w:r>
    </w:p>
    <w:p w14:paraId="1844D042" w14:textId="77777777" w:rsidR="00E731C4" w:rsidRDefault="00E731C4" w:rsidP="00E731C4">
      <w:pPr>
        <w:pStyle w:val="ListParagraph"/>
        <w:ind w:left="-90"/>
        <w:rPr>
          <w:rFonts w:ascii="Times New Roman" w:hAnsi="Times New Roman" w:cs="Times New Roman"/>
          <w:color w:val="201F1E"/>
          <w:bdr w:val="none" w:sz="0" w:space="0" w:color="auto" w:frame="1"/>
          <w:shd w:val="clear" w:color="auto" w:fill="FFFFFF"/>
        </w:rPr>
      </w:pPr>
      <w:r w:rsidRPr="00E33083">
        <w:rPr>
          <w:rFonts w:ascii="Times New Roman" w:hAnsi="Times New Roman" w:cs="Times New Roman"/>
          <w:color w:val="201F1E"/>
          <w:bdr w:val="none" w:sz="0" w:space="0" w:color="auto" w:frame="1"/>
          <w:shd w:val="clear" w:color="auto" w:fill="FFFFFF"/>
        </w:rPr>
        <w:t xml:space="preserve"> </w:t>
      </w:r>
    </w:p>
    <w:p w14:paraId="22F63ADC" w14:textId="77777777" w:rsidR="00E731C4" w:rsidRPr="00EE5A33" w:rsidRDefault="00E731C4" w:rsidP="00E731C4">
      <w:pPr>
        <w:pStyle w:val="ListParagraph"/>
        <w:ind w:left="-90"/>
        <w:rPr>
          <w:rFonts w:ascii="Times New Roman" w:hAnsi="Times New Roman" w:cs="Times New Roman"/>
          <w:b/>
          <w:bCs/>
          <w:color w:val="000000"/>
          <w:bdr w:val="none" w:sz="0" w:space="0" w:color="auto" w:frame="1"/>
          <w:shd w:val="clear" w:color="auto" w:fill="FFFFFF"/>
        </w:rPr>
      </w:pPr>
      <w:r w:rsidRPr="00EE5A33">
        <w:rPr>
          <w:rFonts w:ascii="Times New Roman" w:hAnsi="Times New Roman" w:cs="Times New Roman"/>
          <w:color w:val="201F1E"/>
          <w:bdr w:val="none" w:sz="0" w:space="0" w:color="auto" w:frame="1"/>
          <w:shd w:val="clear" w:color="auto" w:fill="FFFFFF"/>
        </w:rPr>
        <w:t>Logit (P(</w:t>
      </w:r>
      <w:proofErr w:type="spellStart"/>
      <w:r w:rsidRPr="00EE5A33">
        <w:rPr>
          <w:rFonts w:ascii="Times New Roman" w:hAnsi="Times New Roman" w:cs="Times New Roman"/>
          <w:color w:val="201F1E"/>
          <w:bdr w:val="none" w:sz="0" w:space="0" w:color="auto" w:frame="1"/>
          <w:shd w:val="clear" w:color="auto" w:fill="FFFFFF"/>
        </w:rPr>
        <w:t>Y</w:t>
      </w:r>
      <w:r w:rsidRPr="00EE5A33">
        <w:rPr>
          <w:rFonts w:ascii="Times New Roman" w:hAnsi="Times New Roman" w:cs="Times New Roman"/>
          <w:color w:val="201F1E"/>
          <w:bdr w:val="none" w:sz="0" w:space="0" w:color="auto" w:frame="1"/>
          <w:shd w:val="clear" w:color="auto" w:fill="FFFFFF"/>
          <w:vertAlign w:val="subscript"/>
        </w:rPr>
        <w:t>ij</w:t>
      </w:r>
      <w:proofErr w:type="spellEnd"/>
      <w:r w:rsidRPr="00EE5A33">
        <w:rPr>
          <w:rFonts w:ascii="Times New Roman" w:hAnsi="Times New Roman" w:cs="Times New Roman"/>
          <w:color w:val="201F1E"/>
          <w:bdr w:val="none" w:sz="0" w:space="0" w:color="auto" w:frame="1"/>
          <w:shd w:val="clear" w:color="auto" w:fill="FFFFFF"/>
        </w:rPr>
        <w:t>=1|</w:t>
      </w:r>
      <w:proofErr w:type="gramStart"/>
      <w:r w:rsidRPr="00EE5A33">
        <w:rPr>
          <w:rFonts w:ascii="Times New Roman" w:hAnsi="Times New Roman" w:cs="Times New Roman"/>
          <w:color w:val="201F1E"/>
          <w:bdr w:val="none" w:sz="0" w:space="0" w:color="auto" w:frame="1"/>
          <w:shd w:val="clear" w:color="auto" w:fill="FFFFFF"/>
        </w:rPr>
        <w:t>u</w:t>
      </w:r>
      <w:r w:rsidRPr="00EE5A33">
        <w:rPr>
          <w:rFonts w:ascii="Times New Roman" w:hAnsi="Times New Roman" w:cs="Times New Roman"/>
          <w:color w:val="201F1E"/>
          <w:bdr w:val="none" w:sz="0" w:space="0" w:color="auto" w:frame="1"/>
          <w:shd w:val="clear" w:color="auto" w:fill="FFFFFF"/>
          <w:vertAlign w:val="subscript"/>
        </w:rPr>
        <w:t>i,</w:t>
      </w:r>
      <w:r w:rsidRPr="00EE5A33">
        <w:rPr>
          <w:rFonts w:ascii="Times New Roman" w:hAnsi="Times New Roman" w:cs="Times New Roman"/>
          <w:color w:val="201F1E"/>
          <w:bdr w:val="none" w:sz="0" w:space="0" w:color="auto" w:frame="1"/>
          <w:shd w:val="clear" w:color="auto" w:fill="FFFFFF"/>
        </w:rPr>
        <w:t>u</w:t>
      </w:r>
      <w:r w:rsidRPr="00EE5A33">
        <w:rPr>
          <w:rFonts w:ascii="Times New Roman" w:hAnsi="Times New Roman" w:cs="Times New Roman"/>
          <w:color w:val="201F1E"/>
          <w:bdr w:val="none" w:sz="0" w:space="0" w:color="auto" w:frame="1"/>
          <w:shd w:val="clear" w:color="auto" w:fill="FFFFFF"/>
          <w:vertAlign w:val="subscript"/>
        </w:rPr>
        <w:t>j</w:t>
      </w:r>
      <w:proofErr w:type="gramEnd"/>
      <w:r w:rsidRPr="00EE5A33">
        <w:rPr>
          <w:rFonts w:ascii="Times New Roman" w:hAnsi="Times New Roman" w:cs="Times New Roman"/>
          <w:color w:val="201F1E"/>
          <w:bdr w:val="none" w:sz="0" w:space="0" w:color="auto" w:frame="1"/>
          <w:shd w:val="clear" w:color="auto" w:fill="FFFFFF"/>
        </w:rPr>
        <w:t>)) = β</w:t>
      </w:r>
      <w:r>
        <w:rPr>
          <w:rFonts w:ascii="Times New Roman" w:hAnsi="Times New Roman" w:cs="Times New Roman"/>
          <w:color w:val="201F1E"/>
          <w:bdr w:val="none" w:sz="0" w:space="0" w:color="auto" w:frame="1"/>
          <w:shd w:val="clear" w:color="auto" w:fill="FFFFFF"/>
        </w:rPr>
        <w:t>1</w:t>
      </w:r>
      <w:r w:rsidRPr="00EE5A33">
        <w:rPr>
          <w:rFonts w:ascii="Times New Roman" w:hAnsi="Times New Roman" w:cs="Times New Roman"/>
          <w:color w:val="201F1E"/>
          <w:bdr w:val="none" w:sz="0" w:space="0" w:color="auto" w:frame="1"/>
          <w:shd w:val="clear" w:color="auto" w:fill="FFFFFF"/>
        </w:rPr>
        <w:t>* time</w:t>
      </w:r>
      <w:r w:rsidRPr="00EE5A33">
        <w:rPr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 </w:t>
      </w:r>
      <w:r>
        <w:rPr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+</w:t>
      </w:r>
      <w:r w:rsidRPr="00EE5A33">
        <w:rPr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β* covariates</w:t>
      </w:r>
      <w:r w:rsidRPr="00EE5A33">
        <w:rPr>
          <w:rFonts w:ascii="Times New Roman" w:eastAsiaTheme="minorEastAsia" w:hAnsi="Times New Roman" w:cs="Times New Roman"/>
          <w:i/>
          <w:iCs/>
          <w:color w:val="000000" w:themeColor="text1"/>
          <w:kern w:val="24"/>
        </w:rPr>
        <w:t xml:space="preserve"> </w:t>
      </w:r>
      <m:oMath>
        <m:r>
          <w:rPr>
            <w:rFonts w:ascii="Cambria Math" w:hAnsi="Cambria Math" w:cs="Times New Roman"/>
            <w:color w:val="000000"/>
            <w:bdr w:val="none" w:sz="0" w:space="0" w:color="auto" w:frame="1"/>
            <w:shd w:val="clear" w:color="auto" w:fill="FFFFFF"/>
          </w:rPr>
          <m:t>+</m:t>
        </m:r>
        <m:sSub>
          <m:sSubPr>
            <m:ctrlPr>
              <w:rPr>
                <w:rFonts w:ascii="Cambria Math" w:hAnsi="Cambria Math" w:cs="Times New Roman"/>
                <w:i/>
                <w:iCs/>
                <w:color w:val="000000"/>
                <w:bdr w:val="none" w:sz="0" w:space="0" w:color="auto" w:frame="1"/>
                <w:shd w:val="clear" w:color="auto" w:fill="FFFFFF"/>
              </w:rPr>
            </m:ctrlPr>
          </m:sSubPr>
          <m:e>
            <m:r>
              <w:rPr>
                <w:rFonts w:ascii="Cambria Math" w:hAnsi="Cambria Math" w:cs="Times New Roman"/>
                <w:color w:val="000000"/>
                <w:bdr w:val="none" w:sz="0" w:space="0" w:color="auto" w:frame="1"/>
                <w:shd w:val="clear" w:color="auto" w:fill="FFFFFF"/>
              </w:rPr>
              <m:t>u</m:t>
            </m:r>
          </m:e>
          <m:sub>
            <m:r>
              <w:rPr>
                <w:rFonts w:ascii="Cambria Math" w:hAnsi="Cambria Math" w:cs="Times New Roman"/>
                <w:color w:val="000000"/>
                <w:bdr w:val="none" w:sz="0" w:space="0" w:color="auto" w:frame="1"/>
                <w:shd w:val="clear" w:color="auto" w:fill="FFFFFF"/>
              </w:rPr>
              <m:t>i</m:t>
            </m:r>
          </m:sub>
        </m:sSub>
        <m:r>
          <w:rPr>
            <w:rFonts w:ascii="Cambria Math" w:hAnsi="Cambria Math" w:cs="Times New Roman"/>
            <w:color w:val="000000"/>
            <w:bdr w:val="none" w:sz="0" w:space="0" w:color="auto" w:frame="1"/>
            <w:shd w:val="clear" w:color="auto" w:fill="FFFFFF"/>
          </w:rPr>
          <m:t>+</m:t>
        </m:r>
        <m:sSub>
          <m:sSubPr>
            <m:ctrlPr>
              <w:rPr>
                <w:rFonts w:ascii="Cambria Math" w:hAnsi="Cambria Math" w:cs="Times New Roman"/>
                <w:i/>
                <w:iCs/>
                <w:color w:val="000000"/>
                <w:bdr w:val="none" w:sz="0" w:space="0" w:color="auto" w:frame="1"/>
                <w:shd w:val="clear" w:color="auto" w:fill="FFFFFF"/>
              </w:rPr>
            </m:ctrlPr>
          </m:sSubPr>
          <m:e>
            <m:r>
              <w:rPr>
                <w:rFonts w:ascii="Cambria Math" w:hAnsi="Cambria Math" w:cs="Times New Roman"/>
                <w:color w:val="000000"/>
                <w:bdr w:val="none" w:sz="0" w:space="0" w:color="auto" w:frame="1"/>
                <w:shd w:val="clear" w:color="auto" w:fill="FFFFFF"/>
              </w:rPr>
              <m:t>u</m:t>
            </m:r>
          </m:e>
          <m:sub>
            <m:r>
              <w:rPr>
                <w:rFonts w:ascii="Cambria Math" w:hAnsi="Cambria Math" w:cs="Times New Roman"/>
                <w:color w:val="000000"/>
                <w:bdr w:val="none" w:sz="0" w:space="0" w:color="auto" w:frame="1"/>
                <w:shd w:val="clear" w:color="auto" w:fill="FFFFFF"/>
              </w:rPr>
              <m:t>j</m:t>
            </m:r>
          </m:sub>
        </m:sSub>
      </m:oMath>
    </w:p>
    <w:p w14:paraId="5B3CDD51" w14:textId="77777777" w:rsidR="00E731C4" w:rsidRPr="00EE5A33" w:rsidRDefault="00E731C4" w:rsidP="00E731C4">
      <w:pPr>
        <w:pStyle w:val="ListParagraph"/>
        <w:ind w:left="-90"/>
        <w:rPr>
          <w:rFonts w:ascii="Times New Roman" w:hAnsi="Times New Roman" w:cs="Times New Roman"/>
        </w:rPr>
      </w:pPr>
    </w:p>
    <w:p w14:paraId="49034CA2" w14:textId="77777777" w:rsidR="00E731C4" w:rsidRDefault="00E731C4" w:rsidP="00E731C4">
      <w:pPr>
        <w:pStyle w:val="ListParagraph"/>
        <w:ind w:left="-90"/>
        <w:rPr>
          <w:rFonts w:ascii="Times New Roman" w:hAnsi="Times New Roman" w:cs="Times New Roman"/>
        </w:rPr>
      </w:pPr>
      <w:r w:rsidRPr="00EE5A33">
        <w:rPr>
          <w:rFonts w:ascii="Times New Roman" w:hAnsi="Times New Roman" w:cs="Times New Roman"/>
        </w:rPr>
        <w:t xml:space="preserve">where </w:t>
      </w:r>
      <w:proofErr w:type="spellStart"/>
      <w:r w:rsidRPr="00EE5A33">
        <w:rPr>
          <w:rFonts w:ascii="Times New Roman" w:hAnsi="Times New Roman" w:cs="Times New Roman"/>
        </w:rPr>
        <w:t>Y</w:t>
      </w:r>
      <w:r w:rsidRPr="00EE5A33">
        <w:rPr>
          <w:rFonts w:ascii="Times New Roman" w:hAnsi="Times New Roman" w:cs="Times New Roman"/>
          <w:vertAlign w:val="subscript"/>
        </w:rPr>
        <w:t>ij</w:t>
      </w:r>
      <w:proofErr w:type="spellEnd"/>
      <w:r w:rsidRPr="00EE5A33">
        <w:rPr>
          <w:rFonts w:ascii="Times New Roman" w:hAnsi="Times New Roman" w:cs="Times New Roman"/>
        </w:rPr>
        <w:t xml:space="preserve"> (either 1 or 0) means </w:t>
      </w:r>
      <w:proofErr w:type="gramStart"/>
      <w:r w:rsidRPr="00EE5A33">
        <w:rPr>
          <w:rFonts w:ascii="Times New Roman" w:hAnsi="Times New Roman" w:cs="Times New Roman"/>
        </w:rPr>
        <w:t>whether or not</w:t>
      </w:r>
      <w:proofErr w:type="gramEnd"/>
      <w:r w:rsidRPr="00EE5A33">
        <w:rPr>
          <w:rFonts w:ascii="Times New Roman" w:hAnsi="Times New Roman" w:cs="Times New Roman"/>
        </w:rPr>
        <w:t xml:space="preserve"> patient </w:t>
      </w:r>
      <w:proofErr w:type="spellStart"/>
      <w:r w:rsidRPr="00EE5A33">
        <w:rPr>
          <w:rFonts w:ascii="Times New Roman" w:hAnsi="Times New Roman" w:cs="Times New Roman"/>
        </w:rPr>
        <w:t>i</w:t>
      </w:r>
      <w:proofErr w:type="spellEnd"/>
      <w:r w:rsidRPr="00EE5A33">
        <w:rPr>
          <w:rFonts w:ascii="Times New Roman" w:hAnsi="Times New Roman" w:cs="Times New Roman"/>
        </w:rPr>
        <w:t xml:space="preserve"> at study timepoint j of “patient self-reported questionnaire” reported past 30-day </w:t>
      </w:r>
      <w:r w:rsidRPr="00EA19F4">
        <w:rPr>
          <w:rFonts w:ascii="Times New Roman" w:hAnsi="Times New Roman" w:cs="Times New Roman"/>
        </w:rPr>
        <w:t>non-prescribed opioid</w:t>
      </w:r>
      <w:r>
        <w:rPr>
          <w:rFonts w:ascii="Times New Roman" w:hAnsi="Times New Roman" w:cs="Times New Roman"/>
        </w:rPr>
        <w:t xml:space="preserve"> use</w:t>
      </w:r>
      <w:r w:rsidRPr="00EA19F4" w:rsidDel="00EA19F4">
        <w:rPr>
          <w:rFonts w:ascii="Times New Roman" w:hAnsi="Times New Roman" w:cs="Times New Roman"/>
        </w:rPr>
        <w:t xml:space="preserve"> </w:t>
      </w:r>
      <w:r w:rsidRPr="00EE5A33">
        <w:rPr>
          <w:rFonts w:ascii="Times New Roman" w:hAnsi="Times New Roman" w:cs="Times New Roman"/>
        </w:rPr>
        <w:t>(binary outcome);</w:t>
      </w:r>
      <w:r w:rsidRPr="00EE5A33">
        <w:rPr>
          <w:rFonts w:ascii="Times New Roman" w:hAnsi="Times New Roman" w:cs="Times New Roman"/>
          <w:color w:val="201F1E"/>
          <w:bdr w:val="none" w:sz="0" w:space="0" w:color="auto" w:frame="1"/>
          <w:shd w:val="clear" w:color="auto" w:fill="FFFFFF"/>
        </w:rPr>
        <w:t xml:space="preserve"> time is a continuous variable indicating </w:t>
      </w:r>
      <w:r>
        <w:rPr>
          <w:rFonts w:ascii="Times New Roman" w:hAnsi="Times New Roman" w:cs="Times New Roman"/>
          <w:color w:val="201F1E"/>
          <w:bdr w:val="none" w:sz="0" w:space="0" w:color="auto" w:frame="1"/>
          <w:shd w:val="clear" w:color="auto" w:fill="FFFFFF"/>
        </w:rPr>
        <w:t xml:space="preserve">number of </w:t>
      </w:r>
      <w:r w:rsidRPr="00EE5A33">
        <w:rPr>
          <w:rFonts w:ascii="Times New Roman" w:hAnsi="Times New Roman" w:cs="Times New Roman"/>
          <w:color w:val="201F1E"/>
          <w:bdr w:val="none" w:sz="0" w:space="0" w:color="auto" w:frame="1"/>
          <w:shd w:val="clear" w:color="auto" w:fill="FFFFFF"/>
        </w:rPr>
        <w:t xml:space="preserve">months </w:t>
      </w:r>
      <w:r>
        <w:rPr>
          <w:rFonts w:ascii="Times New Roman" w:hAnsi="Times New Roman" w:cs="Times New Roman"/>
          <w:color w:val="201F1E"/>
          <w:bdr w:val="none" w:sz="0" w:space="0" w:color="auto" w:frame="1"/>
          <w:shd w:val="clear" w:color="auto" w:fill="FFFFFF"/>
        </w:rPr>
        <w:t xml:space="preserve">patients were enrolled </w:t>
      </w:r>
      <w:r w:rsidRPr="00EE5A33">
        <w:rPr>
          <w:rFonts w:ascii="Times New Roman" w:hAnsi="Times New Roman" w:cs="Times New Roman"/>
          <w:color w:val="201F1E"/>
          <w:bdr w:val="none" w:sz="0" w:space="0" w:color="auto" w:frame="1"/>
          <w:shd w:val="clear" w:color="auto" w:fill="FFFFFF"/>
        </w:rPr>
        <w:t xml:space="preserve">since baseline at each </w:t>
      </w:r>
      <w:r w:rsidRPr="00EE5A33">
        <w:rPr>
          <w:rFonts w:ascii="Times New Roman" w:hAnsi="Times New Roman" w:cs="Times New Roman"/>
        </w:rPr>
        <w:t>study timepoint of “patient self-reported questionnaire”</w:t>
      </w:r>
      <w:r w:rsidRPr="00EE5A33">
        <w:rPr>
          <w:rFonts w:ascii="Times New Roman" w:hAnsi="Times New Roman" w:cs="Times New Roman"/>
          <w:color w:val="201F1E"/>
          <w:bdr w:val="none" w:sz="0" w:space="0" w:color="auto" w:frame="1"/>
          <w:shd w:val="clear" w:color="auto" w:fill="FFFFFF"/>
        </w:rPr>
        <w:t>.</w:t>
      </w:r>
      <w:r w:rsidRPr="00EE5A33">
        <w:rPr>
          <w:rFonts w:ascii="Times New Roman" w:hAnsi="Times New Roman" w:cs="Times New Roman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iCs/>
                <w:color w:val="000000"/>
                <w:bdr w:val="none" w:sz="0" w:space="0" w:color="auto" w:frame="1"/>
                <w:shd w:val="clear" w:color="auto" w:fill="FFFFFF"/>
              </w:rPr>
            </m:ctrlPr>
          </m:sSubPr>
          <m:e>
            <m:r>
              <w:rPr>
                <w:rFonts w:ascii="Cambria Math" w:hAnsi="Cambria Math" w:cs="Times New Roman"/>
                <w:color w:val="000000"/>
                <w:bdr w:val="none" w:sz="0" w:space="0" w:color="auto" w:frame="1"/>
                <w:shd w:val="clear" w:color="auto" w:fill="FFFFFF"/>
              </w:rPr>
              <m:t>u</m:t>
            </m:r>
          </m:e>
          <m:sub>
            <m:r>
              <w:rPr>
                <w:rFonts w:ascii="Cambria Math" w:hAnsi="Cambria Math" w:cs="Times New Roman"/>
                <w:color w:val="000000"/>
                <w:bdr w:val="none" w:sz="0" w:space="0" w:color="auto" w:frame="1"/>
                <w:shd w:val="clear" w:color="auto" w:fill="FFFFFF"/>
              </w:rPr>
              <m:t>i</m:t>
            </m:r>
          </m:sub>
        </m:sSub>
        <m:r>
          <w:rPr>
            <w:rFonts w:ascii="Cambria Math" w:hAnsi="Cambria Math" w:cs="Times New Roman"/>
            <w:color w:val="000000"/>
            <w:bdr w:val="none" w:sz="0" w:space="0" w:color="auto" w:frame="1"/>
            <w:shd w:val="clear" w:color="auto" w:fill="FFFFFF"/>
          </w:rPr>
          <m:t xml:space="preserve"> and </m:t>
        </m:r>
        <m:sSub>
          <m:sSubPr>
            <m:ctrlPr>
              <w:rPr>
                <w:rFonts w:ascii="Cambria Math" w:hAnsi="Cambria Math" w:cs="Times New Roman"/>
                <w:i/>
                <w:iCs/>
                <w:color w:val="000000"/>
                <w:bdr w:val="none" w:sz="0" w:space="0" w:color="auto" w:frame="1"/>
                <w:shd w:val="clear" w:color="auto" w:fill="FFFFFF"/>
              </w:rPr>
            </m:ctrlPr>
          </m:sSubPr>
          <m:e>
            <m:r>
              <w:rPr>
                <w:rFonts w:ascii="Cambria Math" w:hAnsi="Cambria Math" w:cs="Times New Roman"/>
                <w:color w:val="000000"/>
                <w:bdr w:val="none" w:sz="0" w:space="0" w:color="auto" w:frame="1"/>
                <w:shd w:val="clear" w:color="auto" w:fill="FFFFFF"/>
              </w:rPr>
              <m:t>u</m:t>
            </m:r>
          </m:e>
          <m:sub>
            <m:r>
              <w:rPr>
                <w:rFonts w:ascii="Cambria Math" w:hAnsi="Cambria Math" w:cs="Times New Roman"/>
                <w:color w:val="000000"/>
                <w:bdr w:val="none" w:sz="0" w:space="0" w:color="auto" w:frame="1"/>
                <w:shd w:val="clear" w:color="auto" w:fill="FFFFFF"/>
              </w:rPr>
              <m:t>j</m:t>
            </m:r>
          </m:sub>
        </m:sSub>
      </m:oMath>
      <w:r w:rsidRPr="00EE5A33">
        <w:rPr>
          <w:rFonts w:ascii="Times New Roman" w:eastAsiaTheme="minorEastAsia" w:hAnsi="Times New Roman" w:cs="Times New Roman"/>
          <w:iCs/>
          <w:color w:val="000000"/>
          <w:bdr w:val="none" w:sz="0" w:space="0" w:color="auto" w:frame="1"/>
          <w:shd w:val="clear" w:color="auto" w:fill="FFFFFF"/>
        </w:rPr>
        <w:t xml:space="preserve"> are the random effects. </w:t>
      </w:r>
      <w:r w:rsidRPr="00FD6709">
        <w:rPr>
          <w:rFonts w:ascii="Times New Roman" w:hAnsi="Times New Roman" w:cs="Times New Roman"/>
        </w:rPr>
        <w:t>Under the missing at random assumption, a reasonable assumption given the ability of many variables to predict missingness</w:t>
      </w:r>
      <w:r w:rsidRPr="00FD6709">
        <w:rPr>
          <w:rFonts w:ascii="Times New Roman" w:hAnsi="Times New Roman" w:cs="Times New Roman"/>
          <w:vertAlign w:val="superscript"/>
        </w:rPr>
        <w:t>1</w:t>
      </w:r>
      <w:r w:rsidRPr="00FD6709">
        <w:rPr>
          <w:rFonts w:ascii="Times New Roman" w:hAnsi="Times New Roman" w:cs="Times New Roman"/>
        </w:rPr>
        <w:t>, our multilevel models address missing data by maximum likelihood methods, which produce approximately unbiased estimates</w:t>
      </w:r>
      <w:r w:rsidRPr="00FD6709">
        <w:rPr>
          <w:rFonts w:ascii="Times New Roman" w:hAnsi="Times New Roman" w:cs="Times New Roman"/>
          <w:vertAlign w:val="superscript"/>
        </w:rPr>
        <w:t>2,3</w:t>
      </w:r>
      <w:r w:rsidRPr="00FD6709">
        <w:rPr>
          <w:rFonts w:ascii="Times New Roman" w:hAnsi="Times New Roman" w:cs="Times New Roman"/>
        </w:rPr>
        <w:t>.</w:t>
      </w:r>
    </w:p>
    <w:p w14:paraId="1E9FC562" w14:textId="77777777" w:rsidR="00E731C4" w:rsidRDefault="00E731C4" w:rsidP="00E731C4">
      <w:pPr>
        <w:pStyle w:val="ListParagraph"/>
        <w:ind w:left="-90"/>
        <w:rPr>
          <w:rFonts w:ascii="Times New Roman" w:hAnsi="Times New Roman" w:cs="Times New Roman"/>
        </w:rPr>
      </w:pPr>
    </w:p>
    <w:p w14:paraId="726414F8" w14:textId="77777777" w:rsidR="00E731C4" w:rsidRDefault="00E731C4" w:rsidP="00E731C4">
      <w:pPr>
        <w:pStyle w:val="ListParagraph"/>
        <w:ind w:left="-90"/>
        <w:rPr>
          <w:rFonts w:ascii="Times New Roman" w:hAnsi="Times New Roman" w:cs="Times New Roman"/>
        </w:rPr>
      </w:pPr>
      <w:r w:rsidRPr="00EE5A33">
        <w:rPr>
          <w:rFonts w:ascii="Times New Roman" w:hAnsi="Times New Roman" w:cs="Times New Roman"/>
        </w:rPr>
        <w:t xml:space="preserve">In the logit model, we interpret </w:t>
      </w:r>
      <w:r w:rsidRPr="00EE5A33">
        <w:rPr>
          <w:rFonts w:ascii="Cambria Math" w:hAnsi="Cambria Math" w:cs="Cambria Math"/>
        </w:rPr>
        <w:t>𝛽</w:t>
      </w:r>
      <w:r w:rsidRPr="00EE5A33">
        <w:rPr>
          <w:rFonts w:ascii="Times New Roman" w:hAnsi="Times New Roman" w:cs="Times New Roman"/>
        </w:rPr>
        <w:t xml:space="preserve"> as the subject specific change in the </w:t>
      </w:r>
      <w:proofErr w:type="spellStart"/>
      <w:r w:rsidRPr="00EE5A33">
        <w:rPr>
          <w:rFonts w:ascii="Times New Roman" w:hAnsi="Times New Roman" w:cs="Times New Roman"/>
        </w:rPr>
        <w:t>log</w:t>
      </w:r>
      <w:proofErr w:type="spellEnd"/>
      <w:r w:rsidRPr="00EE5A33">
        <w:rPr>
          <w:rFonts w:ascii="Times New Roman" w:hAnsi="Times New Roman" w:cs="Times New Roman"/>
        </w:rPr>
        <w:t xml:space="preserve"> odds for a cluster (</w:t>
      </w:r>
      <w:proofErr w:type="spellStart"/>
      <w:r>
        <w:rPr>
          <w:rFonts w:ascii="Times New Roman" w:hAnsi="Times New Roman" w:cs="Times New Roman"/>
        </w:rPr>
        <w:t>ie</w:t>
      </w:r>
      <w:proofErr w:type="spellEnd"/>
      <w:r>
        <w:rPr>
          <w:rFonts w:ascii="Times New Roman" w:hAnsi="Times New Roman" w:cs="Times New Roman"/>
        </w:rPr>
        <w:t xml:space="preserve">, </w:t>
      </w:r>
      <w:r w:rsidRPr="00EE5A33">
        <w:rPr>
          <w:rFonts w:ascii="Times New Roman" w:hAnsi="Times New Roman" w:cs="Times New Roman"/>
        </w:rPr>
        <w:t xml:space="preserve">same random effect). </w:t>
      </w:r>
    </w:p>
    <w:p w14:paraId="04855C2B" w14:textId="77777777" w:rsidR="00E731C4" w:rsidRDefault="00E731C4" w:rsidP="00E731C4">
      <w:pPr>
        <w:pStyle w:val="ListParagraph"/>
        <w:ind w:left="-90"/>
        <w:rPr>
          <w:rFonts w:ascii="Times New Roman" w:hAnsi="Times New Roman" w:cs="Times New Roman"/>
        </w:rPr>
      </w:pPr>
    </w:p>
    <w:p w14:paraId="0B2D8AA8" w14:textId="77777777" w:rsidR="00E731C4" w:rsidRPr="00F51777" w:rsidRDefault="00E731C4" w:rsidP="00E731C4">
      <w:pPr>
        <w:pStyle w:val="ListParagraph"/>
        <w:ind w:left="-90"/>
        <w:rPr>
          <w:rFonts w:ascii="Times New Roman" w:hAnsi="Times New Roman" w:cs="Times New Roman"/>
        </w:rPr>
      </w:pPr>
      <w:r w:rsidRPr="00F51777">
        <w:rPr>
          <w:rFonts w:ascii="Times New Roman" w:hAnsi="Times New Roman" w:cs="Times New Roman"/>
        </w:rPr>
        <w:t>exp (β1) = outcome odds ratio for one month increase since baseline, among patients who were still in their index treatment, adjusting for other covariates in the model</w:t>
      </w:r>
      <w:r w:rsidRPr="00D73072">
        <w:rPr>
          <w:rFonts w:ascii="Times New Roman" w:hAnsi="Times New Roman" w:cs="Times New Roman"/>
        </w:rPr>
        <w:t>, for individuals with the same underlying risk of outcome</w:t>
      </w:r>
      <w:r w:rsidRPr="00F51777">
        <w:rPr>
          <w:rFonts w:ascii="Times New Roman" w:hAnsi="Times New Roman" w:cs="Times New Roman"/>
        </w:rPr>
        <w:t xml:space="preserve">. </w:t>
      </w:r>
    </w:p>
    <w:p w14:paraId="6D2D08E0" w14:textId="77777777" w:rsidR="00E731C4" w:rsidRPr="00EE5A33" w:rsidRDefault="00E731C4" w:rsidP="00E731C4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201F1E"/>
          <w:bdr w:val="none" w:sz="0" w:space="0" w:color="auto" w:frame="1"/>
          <w:shd w:val="clear" w:color="auto" w:fill="FFFFFF"/>
        </w:rPr>
      </w:pPr>
    </w:p>
    <w:p w14:paraId="73BA5BE7" w14:textId="77777777" w:rsidR="00E731C4" w:rsidRDefault="00E731C4" w:rsidP="00E731C4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eastAsiaTheme="minorHAnsi"/>
          <w:color w:val="201F1E"/>
          <w:sz w:val="22"/>
          <w:szCs w:val="22"/>
          <w:bdr w:val="none" w:sz="0" w:space="0" w:color="auto" w:frame="1"/>
          <w:shd w:val="clear" w:color="auto" w:fill="FFFFFF"/>
        </w:rPr>
      </w:pPr>
    </w:p>
    <w:p w14:paraId="4F64A7BA" w14:textId="77777777" w:rsidR="00E731C4" w:rsidRDefault="00E731C4" w:rsidP="00E731C4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eastAsiaTheme="minorHAnsi"/>
          <w:color w:val="201F1E"/>
          <w:sz w:val="22"/>
          <w:szCs w:val="22"/>
          <w:bdr w:val="none" w:sz="0" w:space="0" w:color="auto" w:frame="1"/>
          <w:shd w:val="clear" w:color="auto" w:fill="FFFFFF"/>
        </w:rPr>
      </w:pPr>
      <w:r>
        <w:rPr>
          <w:rFonts w:eastAsiaTheme="minorHAnsi"/>
          <w:color w:val="201F1E"/>
          <w:sz w:val="22"/>
          <w:szCs w:val="22"/>
          <w:bdr w:val="none" w:sz="0" w:space="0" w:color="auto" w:frame="1"/>
          <w:shd w:val="clear" w:color="auto" w:fill="FFFFFF"/>
        </w:rPr>
        <w:t xml:space="preserve">References: </w:t>
      </w:r>
    </w:p>
    <w:p w14:paraId="63835951" w14:textId="77777777" w:rsidR="00E731C4" w:rsidRDefault="00E731C4" w:rsidP="00E731C4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/>
        <w:textAlignment w:val="baseline"/>
        <w:rPr>
          <w:rFonts w:eastAsiaTheme="minorHAnsi"/>
          <w:color w:val="201F1E"/>
          <w:sz w:val="22"/>
          <w:szCs w:val="22"/>
          <w:bdr w:val="none" w:sz="0" w:space="0" w:color="auto" w:frame="1"/>
          <w:shd w:val="clear" w:color="auto" w:fill="FFFFFF"/>
        </w:rPr>
      </w:pPr>
      <w:r w:rsidRPr="002F0A1C">
        <w:rPr>
          <w:rFonts w:eastAsiaTheme="minorHAnsi"/>
          <w:color w:val="201F1E"/>
          <w:sz w:val="22"/>
          <w:szCs w:val="22"/>
          <w:bdr w:val="none" w:sz="0" w:space="0" w:color="auto" w:frame="1"/>
          <w:shd w:val="clear" w:color="auto" w:fill="FFFFFF"/>
        </w:rPr>
        <w:t xml:space="preserve">Neufeld, S. A., Dunn, V. J., Jones, P. B., </w:t>
      </w:r>
      <w:proofErr w:type="spellStart"/>
      <w:r w:rsidRPr="002F0A1C">
        <w:rPr>
          <w:rFonts w:eastAsiaTheme="minorHAnsi"/>
          <w:color w:val="201F1E"/>
          <w:sz w:val="22"/>
          <w:szCs w:val="22"/>
          <w:bdr w:val="none" w:sz="0" w:space="0" w:color="auto" w:frame="1"/>
          <w:shd w:val="clear" w:color="auto" w:fill="FFFFFF"/>
        </w:rPr>
        <w:t>Croudace</w:t>
      </w:r>
      <w:proofErr w:type="spellEnd"/>
      <w:r w:rsidRPr="002F0A1C">
        <w:rPr>
          <w:rFonts w:eastAsiaTheme="minorHAnsi"/>
          <w:color w:val="201F1E"/>
          <w:sz w:val="22"/>
          <w:szCs w:val="22"/>
          <w:bdr w:val="none" w:sz="0" w:space="0" w:color="auto" w:frame="1"/>
          <w:shd w:val="clear" w:color="auto" w:fill="FFFFFF"/>
        </w:rPr>
        <w:t>, T. J., &amp; Goodyer, I. M. (2017). Reduction in adolescent depression after contact with mental health services: a longitudinal cohort study in the UK. The Lancet Psychiatry, 4(2), 120-127.</w:t>
      </w:r>
    </w:p>
    <w:p w14:paraId="410674F5" w14:textId="77777777" w:rsidR="00E731C4" w:rsidRPr="00850D03" w:rsidRDefault="00E731C4" w:rsidP="00E731C4">
      <w:pPr>
        <w:pStyle w:val="NormalWeb"/>
        <w:numPr>
          <w:ilvl w:val="0"/>
          <w:numId w:val="1"/>
        </w:numPr>
        <w:shd w:val="clear" w:color="auto" w:fill="FFFFFF"/>
        <w:spacing w:after="0"/>
        <w:textAlignment w:val="baseline"/>
        <w:rPr>
          <w:rFonts w:eastAsiaTheme="minorHAnsi"/>
          <w:color w:val="201F1E"/>
          <w:sz w:val="22"/>
          <w:szCs w:val="22"/>
          <w:bdr w:val="none" w:sz="0" w:space="0" w:color="auto" w:frame="1"/>
          <w:shd w:val="clear" w:color="auto" w:fill="FFFFFF"/>
        </w:rPr>
      </w:pPr>
      <w:r w:rsidRPr="00850D03">
        <w:rPr>
          <w:rFonts w:eastAsiaTheme="minorHAnsi"/>
          <w:color w:val="201F1E"/>
          <w:sz w:val="22"/>
          <w:szCs w:val="22"/>
          <w:bdr w:val="none" w:sz="0" w:space="0" w:color="auto" w:frame="1"/>
          <w:shd w:val="clear" w:color="auto" w:fill="FFFFFF"/>
        </w:rPr>
        <w:t xml:space="preserve">Allison PD. Handling missing data by maximum likelihood. https://statisticalhorizons.com/wp-content/uploads/MissingDataByML.pdf. Accessed May 30, 2022. </w:t>
      </w:r>
    </w:p>
    <w:p w14:paraId="2FC1B080" w14:textId="77777777" w:rsidR="00E731C4" w:rsidRPr="00BC60DD" w:rsidRDefault="00E731C4" w:rsidP="00E731C4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/>
        <w:textAlignment w:val="baseline"/>
        <w:rPr>
          <w:rFonts w:eastAsiaTheme="minorHAnsi"/>
          <w:color w:val="201F1E"/>
          <w:sz w:val="22"/>
          <w:szCs w:val="22"/>
          <w:bdr w:val="none" w:sz="0" w:space="0" w:color="auto" w:frame="1"/>
          <w:shd w:val="clear" w:color="auto" w:fill="FFFFFF"/>
        </w:rPr>
      </w:pPr>
      <w:r w:rsidRPr="00850D03">
        <w:rPr>
          <w:rFonts w:eastAsiaTheme="minorHAnsi"/>
          <w:color w:val="201F1E"/>
          <w:sz w:val="22"/>
          <w:szCs w:val="22"/>
          <w:bdr w:val="none" w:sz="0" w:space="0" w:color="auto" w:frame="1"/>
          <w:shd w:val="clear" w:color="auto" w:fill="FFFFFF"/>
        </w:rPr>
        <w:t xml:space="preserve">Carpenter JR, </w:t>
      </w:r>
      <w:proofErr w:type="spellStart"/>
      <w:r w:rsidRPr="00850D03">
        <w:rPr>
          <w:rFonts w:eastAsiaTheme="minorHAnsi"/>
          <w:color w:val="201F1E"/>
          <w:sz w:val="22"/>
          <w:szCs w:val="22"/>
          <w:bdr w:val="none" w:sz="0" w:space="0" w:color="auto" w:frame="1"/>
          <w:shd w:val="clear" w:color="auto" w:fill="FFFFFF"/>
        </w:rPr>
        <w:t>Smuk</w:t>
      </w:r>
      <w:proofErr w:type="spellEnd"/>
      <w:r w:rsidRPr="00850D03">
        <w:rPr>
          <w:rFonts w:eastAsiaTheme="minorHAnsi"/>
          <w:color w:val="201F1E"/>
          <w:sz w:val="22"/>
          <w:szCs w:val="22"/>
          <w:bdr w:val="none" w:sz="0" w:space="0" w:color="auto" w:frame="1"/>
          <w:shd w:val="clear" w:color="auto" w:fill="FFFFFF"/>
        </w:rPr>
        <w:t xml:space="preserve"> M. Missing data: A statistical framework for practice. </w:t>
      </w:r>
      <w:proofErr w:type="spellStart"/>
      <w:r w:rsidRPr="00850D03">
        <w:rPr>
          <w:rFonts w:eastAsiaTheme="minorHAnsi"/>
          <w:color w:val="201F1E"/>
          <w:sz w:val="22"/>
          <w:szCs w:val="22"/>
          <w:bdr w:val="none" w:sz="0" w:space="0" w:color="auto" w:frame="1"/>
          <w:shd w:val="clear" w:color="auto" w:fill="FFFFFF"/>
        </w:rPr>
        <w:t>Biom</w:t>
      </w:r>
      <w:proofErr w:type="spellEnd"/>
      <w:r w:rsidRPr="00850D03">
        <w:rPr>
          <w:rFonts w:eastAsiaTheme="minorHAnsi"/>
          <w:color w:val="201F1E"/>
          <w:sz w:val="22"/>
          <w:szCs w:val="22"/>
          <w:bdr w:val="none" w:sz="0" w:space="0" w:color="auto" w:frame="1"/>
          <w:shd w:val="clear" w:color="auto" w:fill="FFFFFF"/>
        </w:rPr>
        <w:t xml:space="preserve"> J. 2021;63(5):915-947. </w:t>
      </w:r>
      <w:proofErr w:type="spellStart"/>
      <w:r w:rsidRPr="00850D03">
        <w:rPr>
          <w:rFonts w:eastAsiaTheme="minorHAnsi"/>
          <w:color w:val="201F1E"/>
          <w:sz w:val="22"/>
          <w:szCs w:val="22"/>
          <w:bdr w:val="none" w:sz="0" w:space="0" w:color="auto" w:frame="1"/>
          <w:shd w:val="clear" w:color="auto" w:fill="FFFFFF"/>
        </w:rPr>
        <w:t>doi</w:t>
      </w:r>
      <w:proofErr w:type="spellEnd"/>
      <w:r w:rsidRPr="00850D03">
        <w:rPr>
          <w:rFonts w:eastAsiaTheme="minorHAnsi"/>
          <w:color w:val="201F1E"/>
          <w:sz w:val="22"/>
          <w:szCs w:val="22"/>
          <w:bdr w:val="none" w:sz="0" w:space="0" w:color="auto" w:frame="1"/>
          <w:shd w:val="clear" w:color="auto" w:fill="FFFFFF"/>
        </w:rPr>
        <w:t>: 10.1002/bimj.202000196</w:t>
      </w:r>
    </w:p>
    <w:p w14:paraId="349CDBA4" w14:textId="77777777" w:rsidR="00E731C4" w:rsidRDefault="00E731C4" w:rsidP="00E731C4"/>
    <w:p w14:paraId="1159E64A" w14:textId="77777777" w:rsidR="00060E15" w:rsidRDefault="00060E15"/>
    <w:sectPr w:rsidR="00060E1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B0209B"/>
    <w:multiLevelType w:val="hybridMultilevel"/>
    <w:tmpl w:val="A92A59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846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1637"/>
    <w:rsid w:val="00060E15"/>
    <w:rsid w:val="003C27CE"/>
    <w:rsid w:val="009D0DED"/>
    <w:rsid w:val="00BA7BAE"/>
    <w:rsid w:val="00E31637"/>
    <w:rsid w:val="00E73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E4573EC-049E-4F3C-A121-25543681E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31C4"/>
    <w:rPr>
      <w:rFonts w:eastAsia="SimSun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731C4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E731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250</Words>
  <Characters>1431</Characters>
  <Application>Microsoft Office Word</Application>
  <DocSecurity>0</DocSecurity>
  <Lines>11</Lines>
  <Paragraphs>3</Paragraphs>
  <ScaleCrop>false</ScaleCrop>
  <Company/>
  <LinksUpToDate>false</LinksUpToDate>
  <CharactersWithSpaces>1678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Jiang, Xinyi (CDC/NCIPC/DOP)</dc:creator>
  <cp:keywords/>
  <dc:description/>
  <cp:lastModifiedBy>Jiang, Xinyi (CDC/NCIPC/DOP)</cp:lastModifiedBy>
  <cp:revision>2</cp:revision>
  <dcterms:created xsi:type="dcterms:W3CDTF">2024-03-23T21:56:00Z</dcterms:created>
  <dcterms:modified xsi:type="dcterms:W3CDTF">2024-03-23T21:56:00Z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af03ff0-41c5-4c41-b55e-fabb8fae94be_Enabled">
    <vt:lpwstr>true</vt:lpwstr>
  </property>
  <property fmtid="{D5CDD505-2E9C-101B-9397-08002B2CF9AE}" pid="3" name="MSIP_Label_8af03ff0-41c5-4c41-b55e-fabb8fae94be_SetDate">
    <vt:lpwstr>2024-03-23T21:56:12Z</vt:lpwstr>
  </property>
  <property fmtid="{D5CDD505-2E9C-101B-9397-08002B2CF9AE}" pid="4" name="MSIP_Label_8af03ff0-41c5-4c41-b55e-fabb8fae94be_Method">
    <vt:lpwstr>Privileged</vt:lpwstr>
  </property>
  <property fmtid="{D5CDD505-2E9C-101B-9397-08002B2CF9AE}" pid="5" name="MSIP_Label_8af03ff0-41c5-4c41-b55e-fabb8fae94be_Name">
    <vt:lpwstr>8af03ff0-41c5-4c41-b55e-fabb8fae94be</vt:lpwstr>
  </property>
  <property fmtid="{D5CDD505-2E9C-101B-9397-08002B2CF9AE}" pid="6" name="MSIP_Label_8af03ff0-41c5-4c41-b55e-fabb8fae94be_SiteId">
    <vt:lpwstr>9ce70869-60db-44fd-abe8-d2767077fc8f</vt:lpwstr>
  </property>
  <property fmtid="{D5CDD505-2E9C-101B-9397-08002B2CF9AE}" pid="7" name="MSIP_Label_8af03ff0-41c5-4c41-b55e-fabb8fae94be_ActionId">
    <vt:lpwstr>d11e70ec-e56f-4b17-808c-a09148fecce3</vt:lpwstr>
  </property>
  <property fmtid="{D5CDD505-2E9C-101B-9397-08002B2CF9AE}" pid="8" name="MSIP_Label_8af03ff0-41c5-4c41-b55e-fabb8fae94be_ContentBits">
    <vt:lpwstr>0</vt:lpwstr>
  </property>
</Properties>
</file>