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CCA6F9" w14:textId="77777777" w:rsidR="007E2A8B" w:rsidRDefault="007E2A8B" w:rsidP="007E2A8B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Appendix Figure 1</w:t>
      </w:r>
      <w:r w:rsidRPr="00C84F67">
        <w:rPr>
          <w:rFonts w:ascii="Arial" w:hAnsi="Arial" w:cs="Arial"/>
          <w:u w:val="single"/>
        </w:rPr>
        <w:t xml:space="preserve">: </w:t>
      </w:r>
      <w:r>
        <w:rPr>
          <w:rFonts w:ascii="Arial" w:hAnsi="Arial" w:cs="Arial"/>
        </w:rPr>
        <w:t>Rates of moderate, severe non-firearm, and firearm aggression and victimization, total and by site within the SPARK sample. Data are from Seattle, Flint, and Philadelphia, 2021 – May 2023, and participants are age 18-24.</w:t>
      </w:r>
    </w:p>
    <w:p w14:paraId="062E7321" w14:textId="77777777" w:rsidR="007E2A8B" w:rsidRDefault="007E2A8B" w:rsidP="007E2A8B">
      <w:pPr>
        <w:rPr>
          <w:rFonts w:ascii="Arial" w:hAnsi="Arial" w:cs="Arial"/>
        </w:rPr>
      </w:pPr>
    </w:p>
    <w:p w14:paraId="3F037635" w14:textId="77777777" w:rsidR="007E2A8B" w:rsidRDefault="007E2A8B" w:rsidP="007E2A8B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9BA432A" wp14:editId="39AF6A7D">
            <wp:extent cx="6759798" cy="4371975"/>
            <wp:effectExtent l="0" t="0" r="3175" b="0"/>
            <wp:docPr id="338783868" name="Picture 1" descr="A graph of multiple column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783868" name="Picture 1" descr="A graph of multiple columns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431" cy="4373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A9218" w14:textId="77777777" w:rsidR="007E2A8B" w:rsidRDefault="007E2A8B" w:rsidP="007E2A8B">
      <w:pPr>
        <w:rPr>
          <w:rFonts w:ascii="Arial" w:hAnsi="Arial" w:cs="Arial"/>
        </w:rPr>
      </w:pPr>
    </w:p>
    <w:p w14:paraId="16235719" w14:textId="77777777" w:rsidR="007E2A8B" w:rsidRDefault="007E2A8B" w:rsidP="007E2A8B">
      <w:pPr>
        <w:rPr>
          <w:rFonts w:ascii="Arial" w:hAnsi="Arial" w:cs="Arial"/>
        </w:rPr>
      </w:pPr>
      <w:r w:rsidRPr="00F86265">
        <w:rPr>
          <w:rFonts w:ascii="Arial" w:hAnsi="Arial" w:cs="Arial"/>
          <w:i/>
          <w:iCs/>
        </w:rPr>
        <w:t>Note</w:t>
      </w:r>
      <w:r>
        <w:rPr>
          <w:rFonts w:ascii="Arial" w:hAnsi="Arial" w:cs="Arial"/>
        </w:rPr>
        <w:t>: Firerarm aggression and victimization here measures firearm assault aggression and victimization (i.e., including both shooting/being shot, and being threatened with a firearm)</w:t>
      </w:r>
    </w:p>
    <w:p w14:paraId="4BF78986" w14:textId="2340CCC4" w:rsidR="003914D1" w:rsidRDefault="003914D1" w:rsidP="007E2A8B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Note 2: </w:t>
      </w:r>
      <w:r>
        <w:rPr>
          <w:rFonts w:ascii="Arial" w:hAnsi="Arial" w:cs="Arial"/>
        </w:rPr>
        <w:t xml:space="preserve">“Moderate” violence included pushing, grabbing, shoving, slapping, or throwing something </w:t>
      </w:r>
    </w:p>
    <w:p w14:paraId="758B41D9" w14:textId="5BC46D2D" w:rsidR="003914D1" w:rsidRPr="003914D1" w:rsidRDefault="003914D1" w:rsidP="007E2A8B">
      <w:pPr>
        <w:rPr>
          <w:rFonts w:ascii="Arial" w:hAnsi="Arial" w:cs="Arial"/>
        </w:rPr>
      </w:pPr>
      <w:r>
        <w:rPr>
          <w:rFonts w:ascii="Arial" w:hAnsi="Arial" w:cs="Arial"/>
          <w:i/>
          <w:iCs/>
        </w:rPr>
        <w:t>Note 3</w:t>
      </w:r>
      <w:r>
        <w:rPr>
          <w:rFonts w:ascii="Arial" w:hAnsi="Arial" w:cs="Arial"/>
        </w:rPr>
        <w:t>: “Severe” violence included kicking, biting, hitting with a fist, hitting with something, beating up, choking, using or threatening to use a knife, and using or threatening to use a firearm</w:t>
      </w:r>
    </w:p>
    <w:p w14:paraId="64D10C49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42D131D3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6E71354E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0816E062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70AACA91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632A1B01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615AD8CB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753BBF01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101B92B6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0CD801A6" w14:textId="77777777" w:rsidR="007E2A8B" w:rsidRDefault="007E2A8B" w:rsidP="007E2A8B">
      <w:pPr>
        <w:rPr>
          <w:rFonts w:ascii="Arial" w:hAnsi="Arial" w:cs="Arial"/>
          <w:u w:val="single"/>
        </w:rPr>
      </w:pPr>
    </w:p>
    <w:p w14:paraId="58CB8632" w14:textId="77777777" w:rsidR="007E2A8B" w:rsidRDefault="007E2A8B" w:rsidP="007E2A8B">
      <w:pPr>
        <w:rPr>
          <w:rFonts w:ascii="Arial" w:hAnsi="Arial" w:cs="Arial"/>
        </w:rPr>
      </w:pPr>
      <w:r w:rsidRPr="00384959">
        <w:rPr>
          <w:rFonts w:ascii="Arial" w:hAnsi="Arial" w:cs="Arial"/>
          <w:u w:val="single"/>
        </w:rPr>
        <w:lastRenderedPageBreak/>
        <w:t>Appendix Table 1</w:t>
      </w:r>
      <w:r>
        <w:rPr>
          <w:rFonts w:ascii="Arial" w:hAnsi="Arial" w:cs="Arial"/>
        </w:rPr>
        <w:t xml:space="preserve">: Firearm assault rates, stratified by partner/non-partner involvement, and by victimization/aggression, within each site and combined. Data are from Seattle, Flint, and Philadelphia, 2021 – May 2023, and participants are age 18-24. </w:t>
      </w:r>
    </w:p>
    <w:tbl>
      <w:tblPr>
        <w:tblW w:w="10350" w:type="dxa"/>
        <w:tblLook w:val="04A0" w:firstRow="1" w:lastRow="0" w:firstColumn="1" w:lastColumn="0" w:noHBand="0" w:noVBand="1"/>
      </w:tblPr>
      <w:tblGrid>
        <w:gridCol w:w="2790"/>
        <w:gridCol w:w="1800"/>
        <w:gridCol w:w="1800"/>
        <w:gridCol w:w="1980"/>
        <w:gridCol w:w="1980"/>
      </w:tblGrid>
      <w:tr w:rsidR="007E2A8B" w14:paraId="583BD5F3" w14:textId="77777777" w:rsidTr="001C5065">
        <w:trPr>
          <w:trHeight w:val="840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81D29" w14:textId="77777777" w:rsidR="007E2A8B" w:rsidRDefault="007E2A8B" w:rsidP="001C5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B35E12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Harborview 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br/>
              <w:t>(N = 649)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2CD0E0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Hurley 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br/>
              <w:t>(N = 318)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355F06C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Philadelphia Sites 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br/>
              <w:t>(N = 539)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F55147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All Sites 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br/>
              <w:t>(N = 1506)</w:t>
            </w:r>
          </w:p>
        </w:tc>
      </w:tr>
      <w:tr w:rsidR="007E2A8B" w14:paraId="441B6796" w14:textId="77777777" w:rsidTr="001C5065">
        <w:trPr>
          <w:trHeight w:val="288"/>
        </w:trPr>
        <w:tc>
          <w:tcPr>
            <w:tcW w:w="27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BBE39" w14:textId="77777777" w:rsidR="007E2A8B" w:rsidRDefault="007E2A8B" w:rsidP="001C5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Any firearm violence</w:t>
            </w:r>
          </w:p>
        </w:tc>
        <w:tc>
          <w:tcPr>
            <w:tcW w:w="1800" w:type="dxa"/>
            <w:noWrap/>
            <w:vAlign w:val="bottom"/>
            <w:hideMark/>
          </w:tcPr>
          <w:p w14:paraId="2E0D363F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>112 (17.4%)</w:t>
            </w:r>
          </w:p>
        </w:tc>
        <w:tc>
          <w:tcPr>
            <w:tcW w:w="1800" w:type="dxa"/>
            <w:noWrap/>
            <w:vAlign w:val="bottom"/>
            <w:hideMark/>
          </w:tcPr>
          <w:p w14:paraId="4BE6E8CD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>39 (12.4%)</w:t>
            </w:r>
          </w:p>
        </w:tc>
        <w:tc>
          <w:tcPr>
            <w:tcW w:w="1980" w:type="dxa"/>
            <w:noWrap/>
            <w:vAlign w:val="bottom"/>
            <w:hideMark/>
          </w:tcPr>
          <w:p w14:paraId="747DD91C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>63 (12.0%)</w:t>
            </w:r>
          </w:p>
        </w:tc>
        <w:tc>
          <w:tcPr>
            <w:tcW w:w="1980" w:type="dxa"/>
            <w:noWrap/>
            <w:vAlign w:val="bottom"/>
            <w:hideMark/>
          </w:tcPr>
          <w:p w14:paraId="1AFF02CE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>214 (14.4%)</w:t>
            </w:r>
          </w:p>
        </w:tc>
      </w:tr>
      <w:tr w:rsidR="007E2A8B" w14:paraId="678FB447" w14:textId="77777777" w:rsidTr="001C5065">
        <w:trPr>
          <w:trHeight w:val="288"/>
        </w:trPr>
        <w:tc>
          <w:tcPr>
            <w:tcW w:w="2790" w:type="dxa"/>
            <w:noWrap/>
            <w:vAlign w:val="bottom"/>
            <w:hideMark/>
          </w:tcPr>
          <w:p w14:paraId="6A61BBA8" w14:textId="77777777" w:rsidR="007E2A8B" w:rsidRDefault="007E2A8B" w:rsidP="001C5065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Partner</w:t>
            </w:r>
          </w:p>
        </w:tc>
        <w:tc>
          <w:tcPr>
            <w:tcW w:w="1800" w:type="dxa"/>
            <w:noWrap/>
            <w:vAlign w:val="bottom"/>
            <w:hideMark/>
          </w:tcPr>
          <w:p w14:paraId="426917E3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30 (26.8%)</w:t>
            </w:r>
          </w:p>
        </w:tc>
        <w:tc>
          <w:tcPr>
            <w:tcW w:w="1800" w:type="dxa"/>
            <w:noWrap/>
            <w:vAlign w:val="bottom"/>
            <w:hideMark/>
          </w:tcPr>
          <w:p w14:paraId="54C642F8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10 (25.6%)</w:t>
            </w:r>
          </w:p>
        </w:tc>
        <w:tc>
          <w:tcPr>
            <w:tcW w:w="1980" w:type="dxa"/>
            <w:noWrap/>
            <w:vAlign w:val="bottom"/>
            <w:hideMark/>
          </w:tcPr>
          <w:p w14:paraId="55040653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21 (33.3%)</w:t>
            </w:r>
          </w:p>
        </w:tc>
        <w:tc>
          <w:tcPr>
            <w:tcW w:w="1980" w:type="dxa"/>
            <w:noWrap/>
            <w:vAlign w:val="bottom"/>
            <w:hideMark/>
          </w:tcPr>
          <w:p w14:paraId="16737D04" w14:textId="77777777" w:rsidR="007E2A8B" w:rsidRDefault="007E2A8B" w:rsidP="001C50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   61 (28.5%)</w:t>
            </w:r>
          </w:p>
        </w:tc>
      </w:tr>
      <w:tr w:rsidR="007E2A8B" w14:paraId="258D890A" w14:textId="77777777" w:rsidTr="001C5065">
        <w:trPr>
          <w:trHeight w:val="288"/>
        </w:trPr>
        <w:tc>
          <w:tcPr>
            <w:tcW w:w="2790" w:type="dxa"/>
            <w:noWrap/>
            <w:vAlign w:val="bottom"/>
            <w:hideMark/>
          </w:tcPr>
          <w:p w14:paraId="0F03FFFB" w14:textId="77777777" w:rsidR="007E2A8B" w:rsidRDefault="007E2A8B" w:rsidP="001C5065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Non-Partner</w:t>
            </w:r>
          </w:p>
        </w:tc>
        <w:tc>
          <w:tcPr>
            <w:tcW w:w="1800" w:type="dxa"/>
            <w:noWrap/>
            <w:vAlign w:val="bottom"/>
            <w:hideMark/>
          </w:tcPr>
          <w:p w14:paraId="27800126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96 (85.7%)</w:t>
            </w:r>
          </w:p>
        </w:tc>
        <w:tc>
          <w:tcPr>
            <w:tcW w:w="1800" w:type="dxa"/>
            <w:noWrap/>
            <w:vAlign w:val="bottom"/>
            <w:hideMark/>
          </w:tcPr>
          <w:p w14:paraId="74B8D4C9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33 (84.6%)</w:t>
            </w:r>
          </w:p>
        </w:tc>
        <w:tc>
          <w:tcPr>
            <w:tcW w:w="1980" w:type="dxa"/>
            <w:noWrap/>
            <w:vAlign w:val="bottom"/>
            <w:hideMark/>
          </w:tcPr>
          <w:p w14:paraId="71C815E2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57 (90.5%)</w:t>
            </w:r>
          </w:p>
        </w:tc>
        <w:tc>
          <w:tcPr>
            <w:tcW w:w="1980" w:type="dxa"/>
            <w:noWrap/>
            <w:vAlign w:val="bottom"/>
            <w:hideMark/>
          </w:tcPr>
          <w:p w14:paraId="23FC6A7A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186 (86.9%)</w:t>
            </w:r>
          </w:p>
        </w:tc>
      </w:tr>
      <w:tr w:rsidR="007E2A8B" w14:paraId="55FEA856" w14:textId="77777777" w:rsidTr="001C5065">
        <w:trPr>
          <w:trHeight w:val="288"/>
        </w:trPr>
        <w:tc>
          <w:tcPr>
            <w:tcW w:w="2790" w:type="dxa"/>
            <w:noWrap/>
            <w:vAlign w:val="bottom"/>
            <w:hideMark/>
          </w:tcPr>
          <w:p w14:paraId="41CEF962" w14:textId="77777777" w:rsidR="007E2A8B" w:rsidRDefault="007E2A8B" w:rsidP="001C5065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Victim</w:t>
            </w:r>
          </w:p>
        </w:tc>
        <w:tc>
          <w:tcPr>
            <w:tcW w:w="1800" w:type="dxa"/>
            <w:noWrap/>
            <w:vAlign w:val="bottom"/>
            <w:hideMark/>
          </w:tcPr>
          <w:p w14:paraId="3C41F9A5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99 (88.4%)</w:t>
            </w:r>
          </w:p>
        </w:tc>
        <w:tc>
          <w:tcPr>
            <w:tcW w:w="1800" w:type="dxa"/>
            <w:noWrap/>
            <w:vAlign w:val="bottom"/>
            <w:hideMark/>
          </w:tcPr>
          <w:p w14:paraId="4A130F00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37 (94.9%)</w:t>
            </w:r>
          </w:p>
        </w:tc>
        <w:tc>
          <w:tcPr>
            <w:tcW w:w="1980" w:type="dxa"/>
            <w:noWrap/>
            <w:vAlign w:val="bottom"/>
            <w:hideMark/>
          </w:tcPr>
          <w:p w14:paraId="58334798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59 (93.7%)</w:t>
            </w:r>
          </w:p>
        </w:tc>
        <w:tc>
          <w:tcPr>
            <w:tcW w:w="1980" w:type="dxa"/>
            <w:noWrap/>
            <w:vAlign w:val="bottom"/>
            <w:hideMark/>
          </w:tcPr>
          <w:p w14:paraId="424E6ED5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195 (91.1%)</w:t>
            </w:r>
          </w:p>
        </w:tc>
      </w:tr>
      <w:tr w:rsidR="007E2A8B" w14:paraId="457BA9CB" w14:textId="77777777" w:rsidTr="001C5065">
        <w:trPr>
          <w:trHeight w:val="288"/>
        </w:trPr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8CC59C" w14:textId="77777777" w:rsidR="007E2A8B" w:rsidRDefault="007E2A8B" w:rsidP="001C5065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Aggressor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85A766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33 (29.5%)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73B099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7 (17.9%)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4AAE6F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  15 (23.8%)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128B6D" w14:textId="77777777" w:rsidR="007E2A8B" w:rsidRDefault="007E2A8B" w:rsidP="001C506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hAnsi="Arial" w:cs="Arial"/>
                <w:color w:val="000000"/>
              </w:rPr>
              <w:t xml:space="preserve"> 55 (25.7%)</w:t>
            </w:r>
          </w:p>
        </w:tc>
      </w:tr>
    </w:tbl>
    <w:p w14:paraId="342D9861" w14:textId="77777777" w:rsidR="007E2A8B" w:rsidRDefault="007E2A8B" w:rsidP="007E2A8B">
      <w:pPr>
        <w:rPr>
          <w:rFonts w:ascii="Arial" w:hAnsi="Arial" w:cs="Arial"/>
        </w:rPr>
      </w:pPr>
    </w:p>
    <w:p w14:paraId="543B8D97" w14:textId="77777777" w:rsidR="007E2A8B" w:rsidRDefault="007E2A8B" w:rsidP="007E2A8B">
      <w:pPr>
        <w:rPr>
          <w:rFonts w:ascii="Arial" w:hAnsi="Arial" w:cs="Arial"/>
        </w:rPr>
      </w:pPr>
      <w:r w:rsidRPr="00D35D1C">
        <w:rPr>
          <w:rFonts w:ascii="Arial" w:hAnsi="Arial" w:cs="Arial"/>
          <w:i/>
          <w:iCs/>
        </w:rPr>
        <w:t>Note</w:t>
      </w:r>
      <w:r>
        <w:rPr>
          <w:rFonts w:ascii="Arial" w:hAnsi="Arial" w:cs="Arial"/>
        </w:rPr>
        <w:t xml:space="preserve">: Data for the any firearm violence variable was missing for 25/1506 (1.7%) of participants. At Seattle the number missing was 6 (0.9%); at Flint the number missing was 3 (0.9%); and at Philadelphia the number missing was 16 (3.0%). </w:t>
      </w:r>
    </w:p>
    <w:p w14:paraId="0BB3B738" w14:textId="77777777" w:rsidR="007E2A8B" w:rsidRDefault="007E2A8B" w:rsidP="007E2A8B">
      <w:pPr>
        <w:rPr>
          <w:rFonts w:ascii="Arial" w:hAnsi="Arial" w:cs="Arial"/>
        </w:rPr>
      </w:pPr>
      <w:r w:rsidRPr="00563899">
        <w:rPr>
          <w:rFonts w:ascii="Arial" w:hAnsi="Arial" w:cs="Arial"/>
          <w:i/>
          <w:iCs/>
        </w:rPr>
        <w:t>Note 2</w:t>
      </w:r>
      <w:r>
        <w:rPr>
          <w:rFonts w:ascii="Arial" w:hAnsi="Arial" w:cs="Arial"/>
        </w:rPr>
        <w:t xml:space="preserve">: The parenthetical percentage in the ‘Any firearm assault row is out of the number of non-missing values for the any firearm assault indicator. The parenthetical percentages under ‘Partner’, ‘Non-Partner’, ‘Victim’, and ‘Aggressor’ are out of the total represented in the ‘Any firearm assault row. </w:t>
      </w:r>
    </w:p>
    <w:p w14:paraId="08889F43" w14:textId="77777777" w:rsidR="007E2A8B" w:rsidRDefault="007E2A8B" w:rsidP="007E2A8B">
      <w:pPr>
        <w:rPr>
          <w:rFonts w:ascii="Arial" w:hAnsi="Arial" w:cs="Arial"/>
        </w:rPr>
      </w:pPr>
    </w:p>
    <w:p w14:paraId="7C527E7D" w14:textId="77777777" w:rsidR="007E2A8B" w:rsidRDefault="007E2A8B" w:rsidP="007E2A8B">
      <w:pPr>
        <w:rPr>
          <w:rFonts w:ascii="Arial" w:hAnsi="Arial" w:cs="Arial"/>
        </w:rPr>
      </w:pPr>
    </w:p>
    <w:p w14:paraId="03CB879C" w14:textId="77777777" w:rsidR="007E2A8B" w:rsidRDefault="007E2A8B" w:rsidP="007E2A8B">
      <w:pPr>
        <w:rPr>
          <w:rFonts w:ascii="Arial" w:hAnsi="Arial" w:cs="Arial"/>
        </w:rPr>
      </w:pPr>
    </w:p>
    <w:p w14:paraId="321E2B70" w14:textId="77777777" w:rsidR="007E2A8B" w:rsidRDefault="007E2A8B" w:rsidP="007E2A8B">
      <w:pPr>
        <w:rPr>
          <w:rFonts w:ascii="Arial" w:hAnsi="Arial" w:cs="Arial"/>
        </w:rPr>
      </w:pPr>
    </w:p>
    <w:p w14:paraId="4A753144" w14:textId="77777777" w:rsidR="007E2A8B" w:rsidRDefault="007E2A8B" w:rsidP="007E2A8B">
      <w:pPr>
        <w:rPr>
          <w:rFonts w:ascii="Arial" w:hAnsi="Arial" w:cs="Arial"/>
        </w:rPr>
      </w:pPr>
    </w:p>
    <w:p w14:paraId="0CEFE5C8" w14:textId="77777777" w:rsidR="007E2A8B" w:rsidRDefault="007E2A8B" w:rsidP="007E2A8B">
      <w:pPr>
        <w:rPr>
          <w:rFonts w:ascii="Arial" w:hAnsi="Arial" w:cs="Arial"/>
        </w:rPr>
      </w:pPr>
    </w:p>
    <w:p w14:paraId="6A4EE898" w14:textId="77777777" w:rsidR="007E2A8B" w:rsidRDefault="007E2A8B" w:rsidP="007E2A8B">
      <w:pPr>
        <w:rPr>
          <w:rFonts w:ascii="Arial" w:hAnsi="Arial" w:cs="Arial"/>
        </w:rPr>
      </w:pPr>
    </w:p>
    <w:p w14:paraId="703DFF3C" w14:textId="77777777" w:rsidR="007E2A8B" w:rsidRDefault="007E2A8B" w:rsidP="007E2A8B">
      <w:pPr>
        <w:rPr>
          <w:rFonts w:ascii="Arial" w:hAnsi="Arial" w:cs="Arial"/>
        </w:rPr>
      </w:pPr>
    </w:p>
    <w:p w14:paraId="15758FD8" w14:textId="77777777" w:rsidR="007E2A8B" w:rsidRDefault="007E2A8B" w:rsidP="007E2A8B">
      <w:pPr>
        <w:rPr>
          <w:rFonts w:ascii="Arial" w:hAnsi="Arial" w:cs="Arial"/>
        </w:rPr>
      </w:pPr>
    </w:p>
    <w:p w14:paraId="5A1C0C70" w14:textId="77777777" w:rsidR="007E2A8B" w:rsidRDefault="007E2A8B" w:rsidP="007E2A8B">
      <w:pPr>
        <w:rPr>
          <w:rFonts w:ascii="Arial" w:hAnsi="Arial" w:cs="Arial"/>
        </w:rPr>
      </w:pPr>
    </w:p>
    <w:p w14:paraId="0115FCA8" w14:textId="77777777" w:rsidR="007E2A8B" w:rsidRDefault="007E2A8B" w:rsidP="007E2A8B">
      <w:pPr>
        <w:rPr>
          <w:rFonts w:ascii="Arial" w:hAnsi="Arial" w:cs="Arial"/>
        </w:rPr>
      </w:pPr>
    </w:p>
    <w:p w14:paraId="438A75F3" w14:textId="77777777" w:rsidR="007E2A8B" w:rsidRDefault="007E2A8B" w:rsidP="007E2A8B">
      <w:pPr>
        <w:rPr>
          <w:rFonts w:ascii="Arial" w:hAnsi="Arial" w:cs="Arial"/>
        </w:rPr>
      </w:pPr>
    </w:p>
    <w:p w14:paraId="31DBB89B" w14:textId="77777777" w:rsidR="007E2A8B" w:rsidRDefault="007E2A8B" w:rsidP="007E2A8B">
      <w:pPr>
        <w:rPr>
          <w:rFonts w:ascii="Arial" w:hAnsi="Arial" w:cs="Arial"/>
        </w:rPr>
      </w:pPr>
    </w:p>
    <w:p w14:paraId="5545E2A1" w14:textId="77777777" w:rsidR="007E2A8B" w:rsidRDefault="007E2A8B" w:rsidP="007E2A8B">
      <w:pPr>
        <w:rPr>
          <w:rFonts w:ascii="Arial" w:hAnsi="Arial" w:cs="Arial"/>
        </w:rPr>
      </w:pPr>
    </w:p>
    <w:p w14:paraId="75142FE6" w14:textId="77777777" w:rsidR="007E2A8B" w:rsidRDefault="007E2A8B" w:rsidP="007E2A8B">
      <w:pPr>
        <w:rPr>
          <w:rFonts w:ascii="Arial" w:hAnsi="Arial" w:cs="Arial"/>
        </w:rPr>
      </w:pPr>
    </w:p>
    <w:p w14:paraId="227E7C99" w14:textId="77777777" w:rsidR="007E2A8B" w:rsidRDefault="007E2A8B" w:rsidP="007E2A8B">
      <w:pPr>
        <w:rPr>
          <w:rFonts w:ascii="Arial" w:hAnsi="Arial" w:cs="Arial"/>
        </w:rPr>
      </w:pPr>
    </w:p>
    <w:p w14:paraId="697EBEBD" w14:textId="77777777" w:rsidR="007E2A8B" w:rsidRDefault="007E2A8B" w:rsidP="007E2A8B">
      <w:pPr>
        <w:rPr>
          <w:rFonts w:ascii="Arial" w:hAnsi="Arial" w:cs="Arial"/>
        </w:rPr>
      </w:pPr>
    </w:p>
    <w:p w14:paraId="3E684B9A" w14:textId="77777777" w:rsidR="007E2A8B" w:rsidRDefault="007E2A8B" w:rsidP="007E2A8B">
      <w:pPr>
        <w:rPr>
          <w:rFonts w:ascii="Arial" w:hAnsi="Arial" w:cs="Arial"/>
        </w:rPr>
      </w:pPr>
    </w:p>
    <w:p w14:paraId="42291ED9" w14:textId="77777777" w:rsidR="007E2A8B" w:rsidRDefault="007E2A8B" w:rsidP="007E2A8B">
      <w:pPr>
        <w:rPr>
          <w:rFonts w:ascii="Arial" w:hAnsi="Arial" w:cs="Arial"/>
        </w:rPr>
      </w:pPr>
    </w:p>
    <w:p w14:paraId="3E9144BF" w14:textId="77777777" w:rsidR="007E2A8B" w:rsidRDefault="007E2A8B" w:rsidP="007E2A8B">
      <w:pPr>
        <w:rPr>
          <w:rFonts w:ascii="Arial" w:hAnsi="Arial" w:cs="Arial"/>
        </w:rPr>
      </w:pPr>
    </w:p>
    <w:p w14:paraId="66072C06" w14:textId="77777777" w:rsidR="007E2A8B" w:rsidRDefault="007E2A8B" w:rsidP="007E2A8B">
      <w:pPr>
        <w:rPr>
          <w:rFonts w:ascii="Arial" w:hAnsi="Arial" w:cs="Arial"/>
        </w:rPr>
      </w:pPr>
    </w:p>
    <w:p w14:paraId="05FA58C0" w14:textId="77777777" w:rsidR="00455998" w:rsidRDefault="00455998"/>
    <w:sectPr w:rsidR="00455998" w:rsidSect="007E2A8B"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8B"/>
    <w:rsid w:val="003914D1"/>
    <w:rsid w:val="00455998"/>
    <w:rsid w:val="00673B33"/>
    <w:rsid w:val="007572F3"/>
    <w:rsid w:val="007E2A8B"/>
    <w:rsid w:val="008A49E5"/>
    <w:rsid w:val="00A26911"/>
    <w:rsid w:val="00D20DF0"/>
    <w:rsid w:val="00D4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3CBCB"/>
  <w15:chartTrackingRefBased/>
  <w15:docId w15:val="{03BA15EE-42F5-4BAB-8960-908F8D9D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A8B"/>
  </w:style>
  <w:style w:type="paragraph" w:styleId="Heading1">
    <w:name w:val="heading 1"/>
    <w:basedOn w:val="Normal"/>
    <w:next w:val="Normal"/>
    <w:link w:val="Heading1Char"/>
    <w:uiPriority w:val="9"/>
    <w:qFormat/>
    <w:rsid w:val="007E2A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A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A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2A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2A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2A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2A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2A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2A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2A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A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A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2A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2A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2A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2A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2A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2A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2A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2A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2A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2A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2A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2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2A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A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2A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295</Words>
  <Characters>1684</Characters>
  <Application>Microsoft Office Word</Application>
  <DocSecurity>0</DocSecurity>
  <Lines>14</Lines>
  <Paragraphs>3</Paragraphs>
  <ScaleCrop>false</ScaleCrop>
  <Company>Michigan Medicine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Goldstick, Jason</dc:creator>
  <cp:keywords/>
  <dc:description/>
  <cp:lastModifiedBy>Goldstick, Jason</cp:lastModifiedBy>
  <cp:revision>3</cp:revision>
  <dcterms:created xsi:type="dcterms:W3CDTF">2024-07-19T18:23:00Z</dcterms:created>
  <dcterms:modified xsi:type="dcterms:W3CDTF">2024-08-29T22:13:00Z</dcterms:modified>
</cp:coreProperties>
</file>