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3CD" w:rsidRDefault="00D523CD" w:rsidP="00D523CD">
      <w:pPr>
        <w:jc w:val="center"/>
        <w:rPr>
          <w:rFonts w:eastAsiaTheme="minorHAnsi"/>
          <w:b/>
          <w:bCs/>
        </w:rPr>
      </w:pPr>
      <w:r>
        <w:rPr>
          <w:rFonts w:eastAsiaTheme="minorHAnsi"/>
          <w:b/>
          <w:bCs/>
        </w:rPr>
        <w:t>Supplemental Materials</w:t>
      </w:r>
    </w:p>
    <w:p w:rsidR="00D523CD" w:rsidRDefault="00D523CD" w:rsidP="00D523CD">
      <w:pPr>
        <w:rPr>
          <w:rFonts w:eastAsiaTheme="minorHAnsi"/>
        </w:rPr>
      </w:pPr>
    </w:p>
    <w:p w:rsidR="00D523CD" w:rsidRDefault="00D523CD" w:rsidP="00D523CD">
      <w:pPr>
        <w:spacing w:line="480" w:lineRule="auto"/>
      </w:pPr>
      <w:r>
        <w:rPr>
          <w:rFonts w:eastAsiaTheme="minorHAnsi"/>
          <w:b/>
          <w:bCs/>
        </w:rPr>
        <w:t>Table S1.</w:t>
      </w:r>
      <w:r>
        <w:rPr>
          <w:rFonts w:eastAsiaTheme="minorHAnsi"/>
          <w:i/>
          <w:iCs/>
        </w:rPr>
        <w:t xml:space="preserve"> Parental Mental Health and </w:t>
      </w:r>
      <w:r>
        <w:rPr>
          <w:i/>
          <w:iCs/>
        </w:rPr>
        <w:t>Home Learning</w:t>
      </w:r>
      <w:r>
        <w:rPr>
          <w:i/>
        </w:rPr>
        <w:t xml:space="preserve"> </w:t>
      </w:r>
      <w:r>
        <w:rPr>
          <w:i/>
          <w:iCs/>
        </w:rPr>
        <w:t>Activity</w:t>
      </w:r>
      <w:r>
        <w:rPr>
          <w:rFonts w:eastAsiaTheme="minorHAnsi"/>
          <w:i/>
          <w:iCs/>
        </w:rPr>
        <w:t xml:space="preserve"> Scores for Preterm- and Term-Born Children</w:t>
      </w:r>
    </w:p>
    <w:tbl>
      <w:tblPr>
        <w:tblW w:w="8550" w:type="dxa"/>
        <w:tblLook w:val="04A0" w:firstRow="1" w:lastRow="0" w:firstColumn="1" w:lastColumn="0" w:noHBand="0" w:noVBand="1"/>
      </w:tblPr>
      <w:tblGrid>
        <w:gridCol w:w="3000"/>
        <w:gridCol w:w="1300"/>
        <w:gridCol w:w="1300"/>
        <w:gridCol w:w="2950"/>
      </w:tblGrid>
      <w:tr w:rsidR="00D523CD" w:rsidTr="00D523CD">
        <w:trPr>
          <w:trHeight w:val="440"/>
        </w:trPr>
        <w:tc>
          <w:tcPr>
            <w:tcW w:w="3000" w:type="dxa"/>
            <w:tcBorders>
              <w:top w:val="single" w:sz="4" w:space="0" w:color="auto"/>
              <w:left w:val="nil"/>
              <w:bottom w:val="single" w:sz="4" w:space="0" w:color="auto"/>
              <w:right w:val="nil"/>
            </w:tcBorders>
            <w:noWrap/>
            <w:vAlign w:val="center"/>
            <w:hideMark/>
          </w:tcPr>
          <w:p w:rsidR="00D523CD" w:rsidRDefault="00D523CD">
            <w:pPr>
              <w:rPr>
                <w:b/>
                <w:bCs/>
                <w:color w:val="000000"/>
                <w:sz w:val="22"/>
                <w:szCs w:val="22"/>
              </w:rPr>
            </w:pPr>
            <w:r>
              <w:rPr>
                <w:rFonts w:eastAsiaTheme="minorHAnsi"/>
                <w:b/>
                <w:bCs/>
              </w:rPr>
              <w:t>Variable</w:t>
            </w:r>
          </w:p>
        </w:tc>
        <w:tc>
          <w:tcPr>
            <w:tcW w:w="1300" w:type="dxa"/>
            <w:tcBorders>
              <w:top w:val="single" w:sz="4" w:space="0" w:color="auto"/>
              <w:left w:val="nil"/>
              <w:bottom w:val="single" w:sz="4" w:space="0" w:color="auto"/>
              <w:right w:val="nil"/>
            </w:tcBorders>
            <w:noWrap/>
            <w:vAlign w:val="center"/>
            <w:hideMark/>
          </w:tcPr>
          <w:p w:rsidR="00D523CD" w:rsidRDefault="00D523CD">
            <w:pPr>
              <w:rPr>
                <w:b/>
                <w:bCs/>
                <w:color w:val="000000"/>
                <w:sz w:val="22"/>
                <w:szCs w:val="22"/>
              </w:rPr>
            </w:pPr>
            <w:r>
              <w:rPr>
                <w:b/>
                <w:bCs/>
                <w:color w:val="000000"/>
                <w:sz w:val="22"/>
                <w:szCs w:val="22"/>
              </w:rPr>
              <w:t>Preterm</w:t>
            </w:r>
          </w:p>
        </w:tc>
        <w:tc>
          <w:tcPr>
            <w:tcW w:w="1300" w:type="dxa"/>
            <w:tcBorders>
              <w:top w:val="single" w:sz="4" w:space="0" w:color="auto"/>
              <w:left w:val="nil"/>
              <w:bottom w:val="single" w:sz="4" w:space="0" w:color="auto"/>
              <w:right w:val="nil"/>
            </w:tcBorders>
            <w:noWrap/>
            <w:vAlign w:val="center"/>
            <w:hideMark/>
          </w:tcPr>
          <w:p w:rsidR="00D523CD" w:rsidRDefault="00D523CD">
            <w:pPr>
              <w:rPr>
                <w:b/>
                <w:bCs/>
                <w:color w:val="000000"/>
                <w:sz w:val="22"/>
                <w:szCs w:val="22"/>
              </w:rPr>
            </w:pPr>
            <w:r>
              <w:rPr>
                <w:b/>
                <w:bCs/>
                <w:color w:val="000000"/>
                <w:sz w:val="22"/>
                <w:szCs w:val="22"/>
              </w:rPr>
              <w:t>Term</w:t>
            </w:r>
          </w:p>
        </w:tc>
        <w:tc>
          <w:tcPr>
            <w:tcW w:w="2950" w:type="dxa"/>
            <w:tcBorders>
              <w:top w:val="single" w:sz="4" w:space="0" w:color="auto"/>
              <w:left w:val="nil"/>
              <w:bottom w:val="single" w:sz="4" w:space="0" w:color="auto"/>
              <w:right w:val="nil"/>
            </w:tcBorders>
            <w:noWrap/>
            <w:vAlign w:val="center"/>
            <w:hideMark/>
          </w:tcPr>
          <w:p w:rsidR="00D523CD" w:rsidRDefault="00D523CD">
            <w:pPr>
              <w:rPr>
                <w:b/>
                <w:bCs/>
                <w:color w:val="000000"/>
                <w:sz w:val="22"/>
                <w:szCs w:val="22"/>
              </w:rPr>
            </w:pPr>
            <w:r>
              <w:rPr>
                <w:b/>
                <w:bCs/>
                <w:i/>
                <w:iCs/>
                <w:color w:val="000000"/>
                <w:sz w:val="22"/>
                <w:szCs w:val="22"/>
              </w:rPr>
              <w:t>F</w:t>
            </w:r>
            <w:r>
              <w:rPr>
                <w:b/>
                <w:bCs/>
                <w:color w:val="000000"/>
                <w:sz w:val="22"/>
                <w:szCs w:val="22"/>
              </w:rPr>
              <w:t>-test</w:t>
            </w:r>
          </w:p>
        </w:tc>
      </w:tr>
      <w:tr w:rsidR="00D523CD" w:rsidTr="00D523CD">
        <w:trPr>
          <w:trHeight w:val="320"/>
        </w:trPr>
        <w:tc>
          <w:tcPr>
            <w:tcW w:w="3000" w:type="dxa"/>
            <w:noWrap/>
            <w:vAlign w:val="center"/>
            <w:hideMark/>
          </w:tcPr>
          <w:p w:rsidR="00D523CD" w:rsidRDefault="00D523CD">
            <w:pPr>
              <w:rPr>
                <w:color w:val="000000"/>
                <w:sz w:val="22"/>
                <w:szCs w:val="22"/>
              </w:rPr>
            </w:pPr>
            <w:r>
              <w:rPr>
                <w:color w:val="000000"/>
                <w:sz w:val="22"/>
                <w:szCs w:val="22"/>
              </w:rPr>
              <w:t>IDAS-II General Depression</w:t>
            </w:r>
          </w:p>
        </w:tc>
        <w:tc>
          <w:tcPr>
            <w:tcW w:w="1300" w:type="dxa"/>
            <w:noWrap/>
            <w:vAlign w:val="center"/>
            <w:hideMark/>
          </w:tcPr>
          <w:p w:rsidR="00D523CD" w:rsidRDefault="00D523CD">
            <w:pPr>
              <w:rPr>
                <w:color w:val="000000"/>
                <w:sz w:val="22"/>
                <w:szCs w:val="22"/>
              </w:rPr>
            </w:pPr>
            <w:r>
              <w:rPr>
                <w:color w:val="000000"/>
                <w:sz w:val="22"/>
                <w:szCs w:val="22"/>
              </w:rPr>
              <w:t>35.96</w:t>
            </w:r>
          </w:p>
        </w:tc>
        <w:tc>
          <w:tcPr>
            <w:tcW w:w="1300" w:type="dxa"/>
            <w:noWrap/>
            <w:vAlign w:val="center"/>
            <w:hideMark/>
          </w:tcPr>
          <w:p w:rsidR="00D523CD" w:rsidRDefault="00D523CD">
            <w:pPr>
              <w:rPr>
                <w:color w:val="000000"/>
                <w:sz w:val="22"/>
                <w:szCs w:val="22"/>
              </w:rPr>
            </w:pPr>
            <w:r>
              <w:rPr>
                <w:color w:val="000000"/>
                <w:sz w:val="22"/>
                <w:szCs w:val="22"/>
              </w:rPr>
              <w:t>33.01</w:t>
            </w:r>
          </w:p>
        </w:tc>
        <w:tc>
          <w:tcPr>
            <w:tcW w:w="2950" w:type="dxa"/>
            <w:noWrap/>
            <w:vAlign w:val="center"/>
            <w:hideMark/>
          </w:tcPr>
          <w:p w:rsidR="00D523CD" w:rsidRDefault="00D523CD">
            <w:pPr>
              <w:rPr>
                <w:color w:val="000000"/>
                <w:sz w:val="22"/>
                <w:szCs w:val="22"/>
              </w:rPr>
            </w:pPr>
            <w:r>
              <w:rPr>
                <w:i/>
                <w:iCs/>
                <w:color w:val="000000"/>
                <w:sz w:val="22"/>
                <w:szCs w:val="22"/>
              </w:rPr>
              <w:t>F</w:t>
            </w:r>
            <w:r>
              <w:rPr>
                <w:color w:val="000000"/>
                <w:sz w:val="22"/>
                <w:szCs w:val="22"/>
              </w:rPr>
              <w:t xml:space="preserve">(1,160) = 0.453, </w:t>
            </w:r>
            <w:r>
              <w:rPr>
                <w:i/>
                <w:iCs/>
                <w:color w:val="000000"/>
                <w:sz w:val="22"/>
                <w:szCs w:val="22"/>
              </w:rPr>
              <w:t xml:space="preserve">p </w:t>
            </w:r>
            <w:r>
              <w:rPr>
                <w:color w:val="000000"/>
                <w:sz w:val="22"/>
                <w:szCs w:val="22"/>
              </w:rPr>
              <w:t>= 0.251</w:t>
            </w:r>
          </w:p>
        </w:tc>
      </w:tr>
      <w:tr w:rsidR="00D523CD" w:rsidTr="00D523CD">
        <w:trPr>
          <w:trHeight w:val="320"/>
        </w:trPr>
        <w:tc>
          <w:tcPr>
            <w:tcW w:w="3000" w:type="dxa"/>
            <w:noWrap/>
            <w:vAlign w:val="center"/>
            <w:hideMark/>
          </w:tcPr>
          <w:p w:rsidR="00D523CD" w:rsidRDefault="00D523CD">
            <w:pPr>
              <w:rPr>
                <w:color w:val="000000"/>
                <w:sz w:val="22"/>
                <w:szCs w:val="22"/>
              </w:rPr>
            </w:pPr>
            <w:r>
              <w:rPr>
                <w:color w:val="000000"/>
                <w:sz w:val="22"/>
                <w:szCs w:val="22"/>
              </w:rPr>
              <w:t>IDAS-II Well Being</w:t>
            </w:r>
          </w:p>
        </w:tc>
        <w:tc>
          <w:tcPr>
            <w:tcW w:w="1300" w:type="dxa"/>
            <w:noWrap/>
            <w:vAlign w:val="center"/>
            <w:hideMark/>
          </w:tcPr>
          <w:p w:rsidR="00D523CD" w:rsidRDefault="00D523CD">
            <w:pPr>
              <w:rPr>
                <w:color w:val="000000"/>
                <w:sz w:val="22"/>
                <w:szCs w:val="22"/>
              </w:rPr>
            </w:pPr>
            <w:r>
              <w:rPr>
                <w:color w:val="000000"/>
                <w:sz w:val="22"/>
                <w:szCs w:val="22"/>
              </w:rPr>
              <w:t>23.12</w:t>
            </w:r>
          </w:p>
        </w:tc>
        <w:tc>
          <w:tcPr>
            <w:tcW w:w="1300" w:type="dxa"/>
            <w:noWrap/>
            <w:vAlign w:val="center"/>
            <w:hideMark/>
          </w:tcPr>
          <w:p w:rsidR="00D523CD" w:rsidRDefault="00D523CD">
            <w:pPr>
              <w:rPr>
                <w:color w:val="000000"/>
                <w:sz w:val="22"/>
                <w:szCs w:val="22"/>
              </w:rPr>
            </w:pPr>
            <w:r>
              <w:rPr>
                <w:color w:val="000000"/>
                <w:sz w:val="22"/>
                <w:szCs w:val="22"/>
              </w:rPr>
              <w:t>25.16</w:t>
            </w:r>
          </w:p>
        </w:tc>
        <w:tc>
          <w:tcPr>
            <w:tcW w:w="2950" w:type="dxa"/>
            <w:noWrap/>
            <w:vAlign w:val="center"/>
            <w:hideMark/>
          </w:tcPr>
          <w:p w:rsidR="00D523CD" w:rsidRDefault="00D523CD">
            <w:pPr>
              <w:rPr>
                <w:color w:val="000000"/>
                <w:sz w:val="22"/>
                <w:szCs w:val="22"/>
              </w:rPr>
            </w:pPr>
            <w:r>
              <w:rPr>
                <w:i/>
                <w:iCs/>
                <w:color w:val="000000"/>
                <w:sz w:val="22"/>
                <w:szCs w:val="22"/>
              </w:rPr>
              <w:t>F</w:t>
            </w:r>
            <w:r>
              <w:rPr>
                <w:color w:val="000000"/>
                <w:sz w:val="22"/>
                <w:szCs w:val="22"/>
              </w:rPr>
              <w:t xml:space="preserve">(1,168) = 2.218, </w:t>
            </w:r>
            <w:r>
              <w:rPr>
                <w:i/>
                <w:iCs/>
                <w:color w:val="000000"/>
                <w:sz w:val="22"/>
                <w:szCs w:val="22"/>
              </w:rPr>
              <w:t xml:space="preserve">p </w:t>
            </w:r>
            <w:r>
              <w:rPr>
                <w:color w:val="000000"/>
                <w:sz w:val="22"/>
                <w:szCs w:val="22"/>
              </w:rPr>
              <w:t>= 0.069</w:t>
            </w:r>
          </w:p>
        </w:tc>
      </w:tr>
      <w:tr w:rsidR="00D523CD" w:rsidTr="00D523CD">
        <w:trPr>
          <w:trHeight w:val="320"/>
        </w:trPr>
        <w:tc>
          <w:tcPr>
            <w:tcW w:w="3000" w:type="dxa"/>
            <w:noWrap/>
            <w:vAlign w:val="center"/>
            <w:hideMark/>
          </w:tcPr>
          <w:p w:rsidR="00D523CD" w:rsidRDefault="00D523CD">
            <w:pPr>
              <w:rPr>
                <w:color w:val="000000"/>
                <w:sz w:val="22"/>
                <w:szCs w:val="22"/>
              </w:rPr>
            </w:pPr>
            <w:r>
              <w:rPr>
                <w:color w:val="000000"/>
                <w:sz w:val="22"/>
                <w:szCs w:val="22"/>
              </w:rPr>
              <w:t>IDAS-II Social Anxiety</w:t>
            </w:r>
          </w:p>
        </w:tc>
        <w:tc>
          <w:tcPr>
            <w:tcW w:w="1300" w:type="dxa"/>
            <w:noWrap/>
            <w:vAlign w:val="center"/>
            <w:hideMark/>
          </w:tcPr>
          <w:p w:rsidR="00D523CD" w:rsidRDefault="00D523CD">
            <w:pPr>
              <w:rPr>
                <w:color w:val="000000"/>
                <w:sz w:val="22"/>
                <w:szCs w:val="22"/>
              </w:rPr>
            </w:pPr>
            <w:r>
              <w:rPr>
                <w:color w:val="000000"/>
                <w:sz w:val="22"/>
                <w:szCs w:val="22"/>
              </w:rPr>
              <w:t>8.42</w:t>
            </w:r>
          </w:p>
        </w:tc>
        <w:tc>
          <w:tcPr>
            <w:tcW w:w="1300" w:type="dxa"/>
            <w:noWrap/>
            <w:vAlign w:val="center"/>
            <w:hideMark/>
          </w:tcPr>
          <w:p w:rsidR="00D523CD" w:rsidRDefault="00D523CD">
            <w:pPr>
              <w:rPr>
                <w:color w:val="000000"/>
                <w:sz w:val="22"/>
                <w:szCs w:val="22"/>
              </w:rPr>
            </w:pPr>
            <w:r>
              <w:rPr>
                <w:color w:val="000000"/>
                <w:sz w:val="22"/>
                <w:szCs w:val="22"/>
              </w:rPr>
              <w:t>7.71</w:t>
            </w:r>
          </w:p>
        </w:tc>
        <w:tc>
          <w:tcPr>
            <w:tcW w:w="2950" w:type="dxa"/>
            <w:noWrap/>
            <w:vAlign w:val="center"/>
            <w:hideMark/>
          </w:tcPr>
          <w:p w:rsidR="00D523CD" w:rsidRDefault="00D523CD">
            <w:pPr>
              <w:rPr>
                <w:color w:val="000000"/>
                <w:sz w:val="22"/>
                <w:szCs w:val="22"/>
              </w:rPr>
            </w:pPr>
            <w:r>
              <w:rPr>
                <w:i/>
                <w:iCs/>
                <w:color w:val="000000"/>
                <w:sz w:val="22"/>
                <w:szCs w:val="22"/>
              </w:rPr>
              <w:t>F</w:t>
            </w:r>
            <w:r>
              <w:rPr>
                <w:color w:val="000000"/>
                <w:sz w:val="22"/>
                <w:szCs w:val="22"/>
              </w:rPr>
              <w:t xml:space="preserve">(1,167) = 1.091, </w:t>
            </w:r>
            <w:r>
              <w:rPr>
                <w:i/>
                <w:iCs/>
                <w:color w:val="000000"/>
                <w:sz w:val="22"/>
                <w:szCs w:val="22"/>
              </w:rPr>
              <w:t xml:space="preserve">p </w:t>
            </w:r>
            <w:r>
              <w:rPr>
                <w:color w:val="000000"/>
                <w:sz w:val="22"/>
                <w:szCs w:val="22"/>
              </w:rPr>
              <w:t>= 0.149</w:t>
            </w:r>
          </w:p>
        </w:tc>
      </w:tr>
      <w:tr w:rsidR="00D523CD" w:rsidTr="00D523CD">
        <w:trPr>
          <w:trHeight w:val="320"/>
        </w:trPr>
        <w:tc>
          <w:tcPr>
            <w:tcW w:w="3000" w:type="dxa"/>
            <w:noWrap/>
            <w:vAlign w:val="center"/>
            <w:hideMark/>
          </w:tcPr>
          <w:p w:rsidR="00D523CD" w:rsidRDefault="00D523CD">
            <w:pPr>
              <w:rPr>
                <w:color w:val="000000"/>
                <w:sz w:val="22"/>
                <w:szCs w:val="22"/>
              </w:rPr>
            </w:pPr>
            <w:r>
              <w:rPr>
                <w:color w:val="000000"/>
                <w:sz w:val="22"/>
                <w:szCs w:val="22"/>
              </w:rPr>
              <w:t>Didactic Verbal Activities</w:t>
            </w:r>
          </w:p>
        </w:tc>
        <w:tc>
          <w:tcPr>
            <w:tcW w:w="1300" w:type="dxa"/>
            <w:noWrap/>
            <w:vAlign w:val="center"/>
            <w:hideMark/>
          </w:tcPr>
          <w:p w:rsidR="00D523CD" w:rsidRDefault="00D523CD">
            <w:pPr>
              <w:rPr>
                <w:color w:val="000000"/>
                <w:sz w:val="22"/>
                <w:szCs w:val="22"/>
              </w:rPr>
            </w:pPr>
            <w:r>
              <w:rPr>
                <w:color w:val="000000"/>
                <w:sz w:val="22"/>
                <w:szCs w:val="22"/>
              </w:rPr>
              <w:t>4.85</w:t>
            </w:r>
          </w:p>
        </w:tc>
        <w:tc>
          <w:tcPr>
            <w:tcW w:w="1300" w:type="dxa"/>
            <w:noWrap/>
            <w:vAlign w:val="center"/>
            <w:hideMark/>
          </w:tcPr>
          <w:p w:rsidR="00D523CD" w:rsidRDefault="00D523CD">
            <w:pPr>
              <w:rPr>
                <w:color w:val="000000"/>
                <w:sz w:val="22"/>
                <w:szCs w:val="22"/>
              </w:rPr>
            </w:pPr>
            <w:r>
              <w:rPr>
                <w:color w:val="000000"/>
                <w:sz w:val="22"/>
                <w:szCs w:val="22"/>
              </w:rPr>
              <w:t>5.15</w:t>
            </w:r>
          </w:p>
        </w:tc>
        <w:tc>
          <w:tcPr>
            <w:tcW w:w="2950" w:type="dxa"/>
            <w:noWrap/>
            <w:vAlign w:val="center"/>
            <w:hideMark/>
          </w:tcPr>
          <w:p w:rsidR="00D523CD" w:rsidRDefault="00D523CD">
            <w:pPr>
              <w:rPr>
                <w:color w:val="000000"/>
                <w:sz w:val="22"/>
                <w:szCs w:val="22"/>
              </w:rPr>
            </w:pPr>
            <w:r>
              <w:rPr>
                <w:i/>
                <w:iCs/>
                <w:color w:val="000000"/>
                <w:sz w:val="22"/>
                <w:szCs w:val="22"/>
              </w:rPr>
              <w:t>F</w:t>
            </w:r>
            <w:r>
              <w:rPr>
                <w:color w:val="000000"/>
                <w:sz w:val="22"/>
                <w:szCs w:val="22"/>
              </w:rPr>
              <w:t xml:space="preserve">(1,167) = 1.364, </w:t>
            </w:r>
            <w:r>
              <w:rPr>
                <w:i/>
                <w:iCs/>
                <w:color w:val="000000"/>
                <w:sz w:val="22"/>
                <w:szCs w:val="22"/>
              </w:rPr>
              <w:t xml:space="preserve">p </w:t>
            </w:r>
            <w:r>
              <w:rPr>
                <w:color w:val="000000"/>
                <w:sz w:val="22"/>
                <w:szCs w:val="22"/>
              </w:rPr>
              <w:t>= 0.244</w:t>
            </w:r>
          </w:p>
        </w:tc>
      </w:tr>
      <w:tr w:rsidR="00D523CD" w:rsidTr="00D523CD">
        <w:trPr>
          <w:trHeight w:val="320"/>
        </w:trPr>
        <w:tc>
          <w:tcPr>
            <w:tcW w:w="3000" w:type="dxa"/>
            <w:noWrap/>
            <w:vAlign w:val="center"/>
            <w:hideMark/>
          </w:tcPr>
          <w:p w:rsidR="00D523CD" w:rsidRDefault="00D523CD">
            <w:pPr>
              <w:rPr>
                <w:color w:val="000000"/>
                <w:sz w:val="22"/>
                <w:szCs w:val="22"/>
              </w:rPr>
            </w:pPr>
            <w:r>
              <w:rPr>
                <w:color w:val="000000"/>
                <w:sz w:val="22"/>
                <w:szCs w:val="22"/>
              </w:rPr>
              <w:t>Didactic Spatial Activities</w:t>
            </w:r>
          </w:p>
        </w:tc>
        <w:tc>
          <w:tcPr>
            <w:tcW w:w="1300" w:type="dxa"/>
            <w:noWrap/>
            <w:vAlign w:val="center"/>
            <w:hideMark/>
          </w:tcPr>
          <w:p w:rsidR="00D523CD" w:rsidRDefault="00D523CD">
            <w:pPr>
              <w:rPr>
                <w:color w:val="000000"/>
                <w:sz w:val="22"/>
                <w:szCs w:val="22"/>
              </w:rPr>
            </w:pPr>
            <w:r>
              <w:rPr>
                <w:color w:val="000000"/>
                <w:sz w:val="22"/>
                <w:szCs w:val="22"/>
              </w:rPr>
              <w:t>4.75</w:t>
            </w:r>
          </w:p>
        </w:tc>
        <w:tc>
          <w:tcPr>
            <w:tcW w:w="1300" w:type="dxa"/>
            <w:noWrap/>
            <w:vAlign w:val="center"/>
            <w:hideMark/>
          </w:tcPr>
          <w:p w:rsidR="00D523CD" w:rsidRDefault="00D523CD">
            <w:pPr>
              <w:rPr>
                <w:color w:val="000000"/>
                <w:sz w:val="22"/>
                <w:szCs w:val="22"/>
              </w:rPr>
            </w:pPr>
            <w:r>
              <w:rPr>
                <w:color w:val="000000"/>
                <w:sz w:val="22"/>
                <w:szCs w:val="22"/>
              </w:rPr>
              <w:t>4.88</w:t>
            </w:r>
          </w:p>
        </w:tc>
        <w:tc>
          <w:tcPr>
            <w:tcW w:w="2950" w:type="dxa"/>
            <w:noWrap/>
            <w:vAlign w:val="center"/>
            <w:hideMark/>
          </w:tcPr>
          <w:p w:rsidR="00D523CD" w:rsidRDefault="00D523CD">
            <w:pPr>
              <w:rPr>
                <w:color w:val="000000"/>
                <w:sz w:val="22"/>
                <w:szCs w:val="22"/>
              </w:rPr>
            </w:pPr>
            <w:r>
              <w:rPr>
                <w:i/>
                <w:iCs/>
                <w:color w:val="000000"/>
                <w:sz w:val="22"/>
                <w:szCs w:val="22"/>
              </w:rPr>
              <w:t>F</w:t>
            </w:r>
            <w:r>
              <w:rPr>
                <w:color w:val="000000"/>
                <w:sz w:val="22"/>
                <w:szCs w:val="22"/>
              </w:rPr>
              <w:t xml:space="preserve">(1,167) = 0.461, </w:t>
            </w:r>
            <w:r>
              <w:rPr>
                <w:i/>
                <w:iCs/>
                <w:color w:val="000000"/>
                <w:sz w:val="22"/>
                <w:szCs w:val="22"/>
              </w:rPr>
              <w:t xml:space="preserve">p </w:t>
            </w:r>
            <w:r>
              <w:rPr>
                <w:color w:val="000000"/>
                <w:sz w:val="22"/>
                <w:szCs w:val="22"/>
              </w:rPr>
              <w:t>= 0.498</w:t>
            </w:r>
          </w:p>
        </w:tc>
      </w:tr>
      <w:tr w:rsidR="00D523CD" w:rsidTr="00D523CD">
        <w:trPr>
          <w:trHeight w:val="320"/>
        </w:trPr>
        <w:tc>
          <w:tcPr>
            <w:tcW w:w="3000" w:type="dxa"/>
            <w:tcBorders>
              <w:top w:val="nil"/>
              <w:left w:val="nil"/>
              <w:bottom w:val="single" w:sz="4" w:space="0" w:color="auto"/>
              <w:right w:val="nil"/>
            </w:tcBorders>
            <w:noWrap/>
            <w:vAlign w:val="center"/>
            <w:hideMark/>
          </w:tcPr>
          <w:p w:rsidR="00D523CD" w:rsidRDefault="00D523CD">
            <w:pPr>
              <w:rPr>
                <w:color w:val="000000"/>
                <w:sz w:val="22"/>
                <w:szCs w:val="22"/>
              </w:rPr>
            </w:pPr>
            <w:r>
              <w:rPr>
                <w:color w:val="000000"/>
                <w:sz w:val="22"/>
                <w:szCs w:val="22"/>
              </w:rPr>
              <w:t>Playful Activities</w:t>
            </w:r>
          </w:p>
        </w:tc>
        <w:tc>
          <w:tcPr>
            <w:tcW w:w="1300" w:type="dxa"/>
            <w:tcBorders>
              <w:top w:val="nil"/>
              <w:left w:val="nil"/>
              <w:bottom w:val="single" w:sz="4" w:space="0" w:color="auto"/>
              <w:right w:val="nil"/>
            </w:tcBorders>
            <w:noWrap/>
            <w:vAlign w:val="center"/>
            <w:hideMark/>
          </w:tcPr>
          <w:p w:rsidR="00D523CD" w:rsidRDefault="00D523CD">
            <w:pPr>
              <w:rPr>
                <w:color w:val="000000"/>
                <w:sz w:val="22"/>
                <w:szCs w:val="22"/>
              </w:rPr>
            </w:pPr>
            <w:r>
              <w:rPr>
                <w:color w:val="000000"/>
                <w:sz w:val="22"/>
                <w:szCs w:val="22"/>
              </w:rPr>
              <w:t>4.36</w:t>
            </w:r>
          </w:p>
        </w:tc>
        <w:tc>
          <w:tcPr>
            <w:tcW w:w="1300" w:type="dxa"/>
            <w:tcBorders>
              <w:top w:val="nil"/>
              <w:left w:val="nil"/>
              <w:bottom w:val="single" w:sz="4" w:space="0" w:color="auto"/>
              <w:right w:val="nil"/>
            </w:tcBorders>
            <w:noWrap/>
            <w:vAlign w:val="center"/>
            <w:hideMark/>
          </w:tcPr>
          <w:p w:rsidR="00D523CD" w:rsidRDefault="00D523CD">
            <w:pPr>
              <w:rPr>
                <w:color w:val="000000"/>
                <w:sz w:val="22"/>
                <w:szCs w:val="22"/>
              </w:rPr>
            </w:pPr>
            <w:r>
              <w:rPr>
                <w:color w:val="000000"/>
                <w:sz w:val="22"/>
                <w:szCs w:val="22"/>
              </w:rPr>
              <w:t>4.46</w:t>
            </w:r>
          </w:p>
        </w:tc>
        <w:tc>
          <w:tcPr>
            <w:tcW w:w="2950" w:type="dxa"/>
            <w:tcBorders>
              <w:top w:val="nil"/>
              <w:left w:val="nil"/>
              <w:bottom w:val="single" w:sz="4" w:space="0" w:color="auto"/>
              <w:right w:val="nil"/>
            </w:tcBorders>
            <w:noWrap/>
            <w:vAlign w:val="center"/>
            <w:hideMark/>
          </w:tcPr>
          <w:p w:rsidR="00D523CD" w:rsidRDefault="00D523CD">
            <w:pPr>
              <w:rPr>
                <w:color w:val="000000"/>
                <w:sz w:val="22"/>
                <w:szCs w:val="22"/>
              </w:rPr>
            </w:pPr>
            <w:r>
              <w:rPr>
                <w:i/>
                <w:iCs/>
                <w:color w:val="000000"/>
                <w:sz w:val="22"/>
                <w:szCs w:val="22"/>
              </w:rPr>
              <w:t>F</w:t>
            </w:r>
            <w:r>
              <w:rPr>
                <w:color w:val="000000"/>
                <w:sz w:val="22"/>
                <w:szCs w:val="22"/>
              </w:rPr>
              <w:t xml:space="preserve">(1,167) = 0.001, </w:t>
            </w:r>
            <w:r>
              <w:rPr>
                <w:i/>
                <w:iCs/>
                <w:color w:val="000000"/>
                <w:sz w:val="22"/>
                <w:szCs w:val="22"/>
              </w:rPr>
              <w:t xml:space="preserve">p </w:t>
            </w:r>
            <w:r>
              <w:rPr>
                <w:color w:val="000000"/>
                <w:sz w:val="22"/>
                <w:szCs w:val="22"/>
              </w:rPr>
              <w:t>= 0.973</w:t>
            </w:r>
          </w:p>
        </w:tc>
      </w:tr>
    </w:tbl>
    <w:p w:rsidR="00D523CD" w:rsidRDefault="00D523CD" w:rsidP="00D523CD">
      <w:pPr>
        <w:spacing w:line="480" w:lineRule="auto"/>
        <w:rPr>
          <w:b/>
          <w:bCs/>
        </w:rPr>
      </w:pPr>
      <w:r>
        <w:rPr>
          <w:rFonts w:eastAsiaTheme="minorHAnsi"/>
          <w:i/>
          <w:iCs/>
        </w:rPr>
        <w:t xml:space="preserve">Note. </w:t>
      </w:r>
      <w:r>
        <w:rPr>
          <w:rFonts w:eastAsiaTheme="minorHAnsi"/>
        </w:rPr>
        <w:t>One-tailed analysis of covariance (</w:t>
      </w:r>
      <w:r>
        <w:t xml:space="preserve">ANCOVA) tests were computed on General Depression, Well Being, and Social Anxiety. Parental mental health was measured by the Inventory of Depression and Anxiety Symptoms, Expanded Version (IDAS-II; </w:t>
      </w:r>
      <w:r>
        <w:rPr>
          <w:noProof/>
        </w:rPr>
        <w:t>Watson et al., 2007; Watson et al., 2012</w:t>
      </w:r>
      <w:r>
        <w:t>).</w:t>
      </w: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i/>
          <w:iCs/>
        </w:rPr>
      </w:pPr>
    </w:p>
    <w:p w:rsidR="00D523CD" w:rsidRDefault="00D523CD" w:rsidP="00D523CD">
      <w:pPr>
        <w:spacing w:line="480" w:lineRule="auto"/>
        <w:rPr>
          <w:rFonts w:eastAsiaTheme="minorHAnsi"/>
        </w:rPr>
      </w:pPr>
    </w:p>
    <w:p w:rsidR="00D523CD" w:rsidRDefault="00D523CD" w:rsidP="00D523CD">
      <w:pPr>
        <w:spacing w:line="480" w:lineRule="auto"/>
        <w:rPr>
          <w:rFonts w:eastAsiaTheme="minorHAnsi"/>
        </w:rPr>
      </w:pPr>
      <w:r>
        <w:rPr>
          <w:rFonts w:eastAsiaTheme="minorHAnsi"/>
          <w:b/>
          <w:bCs/>
        </w:rPr>
        <w:t xml:space="preserve">Section S1. </w:t>
      </w:r>
      <w:proofErr w:type="spellStart"/>
      <w:r>
        <w:rPr>
          <w:rFonts w:eastAsiaTheme="minorHAnsi"/>
        </w:rPr>
        <w:t>Multigroup</w:t>
      </w:r>
      <w:proofErr w:type="spellEnd"/>
      <w:r>
        <w:rPr>
          <w:rFonts w:eastAsiaTheme="minorHAnsi"/>
        </w:rPr>
        <w:t xml:space="preserve"> Analysis</w:t>
      </w:r>
    </w:p>
    <w:p w:rsidR="00D523CD" w:rsidRDefault="00D523CD" w:rsidP="00D523CD">
      <w:pPr>
        <w:spacing w:line="480" w:lineRule="auto"/>
      </w:pPr>
      <w:r>
        <w:lastRenderedPageBreak/>
        <w:t xml:space="preserve">In order to examine if the patterns of associations we observed are indeed different across preterm-born and term-born children, we leveraged </w:t>
      </w:r>
      <w:proofErr w:type="spellStart"/>
      <w:r>
        <w:t>multigroup</w:t>
      </w:r>
      <w:proofErr w:type="spellEnd"/>
      <w:r>
        <w:t xml:space="preserve"> path analysis, using the </w:t>
      </w:r>
      <w:proofErr w:type="spellStart"/>
      <w:r>
        <w:rPr>
          <w:i/>
          <w:iCs/>
        </w:rPr>
        <w:t>sem</w:t>
      </w:r>
      <w:proofErr w:type="spellEnd"/>
      <w:r>
        <w:t xml:space="preserve"> function in the R (Version 4.2.2; R Core Team, 2022) package </w:t>
      </w:r>
      <w:proofErr w:type="spellStart"/>
      <w:r>
        <w:rPr>
          <w:i/>
          <w:iCs/>
        </w:rPr>
        <w:t>lavaan</w:t>
      </w:r>
      <w:proofErr w:type="spellEnd"/>
      <w:r>
        <w:t xml:space="preserve"> (</w:t>
      </w:r>
      <w:proofErr w:type="spellStart"/>
      <w:r>
        <w:t>Rossell</w:t>
      </w:r>
      <w:proofErr w:type="spellEnd"/>
      <w:r>
        <w:t>, 2012).These analyses enabled us to determine whether relations between parental mental health, home learning activities, and child cognitive outcomes varied across gestational age groups (Kline, 2015). Using this approach, we created our baseline model, for which the paths between parental mental health, home learning activities, and child cognitive outcomes were freely estimated between the two gestational age groups (preterm versus term). We then created a more parsimonious model, for which we imposed cross-group equality constraints on the paths between parental mental health, home learning activities, and each child cognitive variable (the regression paths only). For each child cognitive outcome, we subsequently compared the baseline model to the more parsimonious model using a chi-square difference test. If the chi-square difference test was not significant, we concluded that the two models fit the data equally well, the parsimonious model is supported, and that the relations in question did not vary across gestational age groups. If the chi-square difference test was significant, we modified the more parsimonious model by freeing one regression path at a time and comparing each new iteration of the model with the baseline model to determine which paths were significantly different across gestational age group. A chi-square difference test comparing the models predicting child acquired verbal knowledge (WPPSI-IV Information) was not significant, Δχ</w:t>
      </w:r>
      <w:r>
        <w:rPr>
          <w:vertAlign w:val="superscript"/>
        </w:rPr>
        <w:t>2</w:t>
      </w:r>
      <w:r>
        <w:t> = 28.402, </w:t>
      </w:r>
      <w:proofErr w:type="spellStart"/>
      <w:r>
        <w:rPr>
          <w:i/>
          <w:iCs/>
        </w:rPr>
        <w:t>df</w:t>
      </w:r>
      <w:proofErr w:type="spellEnd"/>
      <w:r>
        <w:t> = 18, </w:t>
      </w:r>
      <w:r>
        <w:rPr>
          <w:i/>
          <w:iCs/>
        </w:rPr>
        <w:t>p</w:t>
      </w:r>
      <w:r>
        <w:t xml:space="preserve"> = 0.06, indicating that the paths between child acquired verbal knowledge and each parental mental health variable and home </w:t>
      </w:r>
      <w:proofErr w:type="spellStart"/>
      <w:r>
        <w:t>leanring</w:t>
      </w:r>
      <w:proofErr w:type="spellEnd"/>
      <w:r>
        <w:t xml:space="preserve"> activity did not vary across gestational age groups. A chi-square difference test comparing the models predicting child verbal reasoning (WPPSI-IV Similarities), Δχ</w:t>
      </w:r>
      <w:r>
        <w:rPr>
          <w:vertAlign w:val="superscript"/>
        </w:rPr>
        <w:t>2</w:t>
      </w:r>
      <w:r>
        <w:t> = 25.372, </w:t>
      </w:r>
      <w:proofErr w:type="spellStart"/>
      <w:proofErr w:type="gramStart"/>
      <w:r>
        <w:rPr>
          <w:i/>
          <w:iCs/>
        </w:rPr>
        <w:t>df</w:t>
      </w:r>
      <w:proofErr w:type="spellEnd"/>
      <w:proofErr w:type="gramEnd"/>
      <w:r>
        <w:t> = 18, </w:t>
      </w:r>
      <w:r>
        <w:rPr>
          <w:i/>
          <w:iCs/>
        </w:rPr>
        <w:t>p</w:t>
      </w:r>
      <w:r>
        <w:t> = 0.12, and child spatial reasoning (WPPSI-IV Matrix Reasoning), Δχ</w:t>
      </w:r>
      <w:r>
        <w:rPr>
          <w:vertAlign w:val="superscript"/>
        </w:rPr>
        <w:t>2</w:t>
      </w:r>
      <w:r>
        <w:t> = 22.543, </w:t>
      </w:r>
      <w:proofErr w:type="spellStart"/>
      <w:r>
        <w:rPr>
          <w:i/>
          <w:iCs/>
        </w:rPr>
        <w:t>df</w:t>
      </w:r>
      <w:proofErr w:type="spellEnd"/>
      <w:r>
        <w:t> = 18, </w:t>
      </w:r>
      <w:r>
        <w:rPr>
          <w:i/>
          <w:iCs/>
        </w:rPr>
        <w:t>p</w:t>
      </w:r>
      <w:r>
        <w:t xml:space="preserve"> = 0.11, were also not significant. Likewise, this indicated that the </w:t>
      </w:r>
      <w:r>
        <w:lastRenderedPageBreak/>
        <w:t xml:space="preserve">paths between both child verbal and spatial reasoning skills and each parental mental health variable and home learning activity did not vary across the gestational age groups. Given we did not find any significant differences, the </w:t>
      </w:r>
      <w:proofErr w:type="spellStart"/>
      <w:r>
        <w:t>multigroup</w:t>
      </w:r>
      <w:proofErr w:type="spellEnd"/>
      <w:r>
        <w:t xml:space="preserve"> path analysis supported our decision to combine the preterm-born and term-children into a single group.</w:t>
      </w:r>
    </w:p>
    <w:p w:rsidR="00D523CD" w:rsidRDefault="00D523CD" w:rsidP="00D523CD">
      <w:pPr>
        <w:spacing w:line="480" w:lineRule="auto"/>
        <w:rPr>
          <w:rFonts w:eastAsiaTheme="minorHAnsi"/>
        </w:rPr>
      </w:pPr>
    </w:p>
    <w:p w:rsidR="00D523CD" w:rsidRDefault="00D523CD" w:rsidP="00D523CD">
      <w:pPr>
        <w:spacing w:line="480" w:lineRule="auto"/>
        <w:rPr>
          <w:rFonts w:eastAsiaTheme="minorHAnsi"/>
        </w:rPr>
      </w:pPr>
    </w:p>
    <w:p w:rsidR="00D523CD" w:rsidRDefault="00D523CD" w:rsidP="00D523CD">
      <w:pPr>
        <w:spacing w:line="480" w:lineRule="auto"/>
        <w:rPr>
          <w:rFonts w:eastAsiaTheme="minorHAnsi"/>
        </w:rPr>
      </w:pPr>
    </w:p>
    <w:p w:rsidR="00D523CD" w:rsidRDefault="00D523CD" w:rsidP="00D523CD">
      <w:pPr>
        <w:spacing w:line="480" w:lineRule="auto"/>
        <w:rPr>
          <w:rFonts w:eastAsiaTheme="minorHAnsi"/>
        </w:rPr>
      </w:pPr>
    </w:p>
    <w:p w:rsidR="00D523CD" w:rsidRDefault="00D523CD" w:rsidP="00D523CD">
      <w:pPr>
        <w:spacing w:line="480" w:lineRule="auto"/>
        <w:rPr>
          <w:rFonts w:eastAsiaTheme="minorHAnsi"/>
        </w:rPr>
      </w:pPr>
    </w:p>
    <w:p w:rsidR="00D523CD" w:rsidRDefault="00D523CD" w:rsidP="00D523CD">
      <w:pPr>
        <w:spacing w:line="480" w:lineRule="auto"/>
        <w:rPr>
          <w:rFonts w:eastAsiaTheme="minorHAnsi"/>
        </w:rPr>
      </w:pPr>
    </w:p>
    <w:p w:rsidR="00D523CD" w:rsidRDefault="00D523CD" w:rsidP="00D523CD">
      <w:pPr>
        <w:spacing w:line="480" w:lineRule="auto"/>
        <w:rPr>
          <w:rFonts w:eastAsiaTheme="minorHAnsi"/>
        </w:rPr>
      </w:pPr>
    </w:p>
    <w:p w:rsidR="00D523CD" w:rsidRDefault="00D523CD" w:rsidP="00D523CD">
      <w:pPr>
        <w:spacing w:line="480" w:lineRule="auto"/>
        <w:rPr>
          <w:rFonts w:eastAsiaTheme="minorHAnsi"/>
        </w:rPr>
      </w:pPr>
    </w:p>
    <w:p w:rsidR="00D523CD" w:rsidRDefault="00D523CD" w:rsidP="00D523CD">
      <w:pPr>
        <w:rPr>
          <w:rFonts w:eastAsiaTheme="minorHAnsi"/>
        </w:rPr>
      </w:pPr>
      <w:r>
        <w:rPr>
          <w:rFonts w:eastAsiaTheme="minorHAnsi"/>
        </w:rPr>
        <w:br w:type="page"/>
      </w:r>
    </w:p>
    <w:p w:rsidR="00D523CD" w:rsidRDefault="00D523CD" w:rsidP="00D523CD">
      <w:pPr>
        <w:spacing w:line="480" w:lineRule="auto"/>
        <w:rPr>
          <w:rFonts w:eastAsiaTheme="minorHAnsi"/>
          <w:b/>
          <w:bCs/>
          <w:i/>
          <w:iCs/>
        </w:rPr>
      </w:pPr>
      <w:r>
        <w:rPr>
          <w:rFonts w:eastAsiaTheme="minorHAnsi"/>
          <w:b/>
          <w:bCs/>
        </w:rPr>
        <w:lastRenderedPageBreak/>
        <w:t>Table S2.</w:t>
      </w:r>
      <w:r>
        <w:rPr>
          <w:rFonts w:eastAsiaTheme="minorHAnsi"/>
          <w:i/>
          <w:iCs/>
        </w:rPr>
        <w:t xml:space="preserve"> Descriptions of Home Activity Questionnaire Items</w:t>
      </w:r>
    </w:p>
    <w:tbl>
      <w:tblPr>
        <w:tblW w:w="9053" w:type="dxa"/>
        <w:tblLook w:val="04A0" w:firstRow="1" w:lastRow="0" w:firstColumn="1" w:lastColumn="0" w:noHBand="0" w:noVBand="1"/>
      </w:tblPr>
      <w:tblGrid>
        <w:gridCol w:w="2562"/>
        <w:gridCol w:w="6491"/>
      </w:tblGrid>
      <w:tr w:rsidR="00D523CD" w:rsidTr="00D523CD">
        <w:trPr>
          <w:trHeight w:val="426"/>
        </w:trPr>
        <w:tc>
          <w:tcPr>
            <w:tcW w:w="2562" w:type="dxa"/>
            <w:tcBorders>
              <w:top w:val="single" w:sz="4" w:space="0" w:color="auto"/>
              <w:left w:val="nil"/>
              <w:bottom w:val="single" w:sz="4" w:space="0" w:color="auto"/>
              <w:right w:val="nil"/>
            </w:tcBorders>
            <w:noWrap/>
            <w:vAlign w:val="center"/>
            <w:hideMark/>
          </w:tcPr>
          <w:p w:rsidR="00D523CD" w:rsidRDefault="00D523CD">
            <w:pPr>
              <w:rPr>
                <w:b/>
                <w:bCs/>
                <w:color w:val="000000"/>
                <w:sz w:val="22"/>
                <w:szCs w:val="22"/>
              </w:rPr>
            </w:pPr>
            <w:r>
              <w:rPr>
                <w:b/>
                <w:bCs/>
                <w:color w:val="000000"/>
                <w:sz w:val="22"/>
                <w:szCs w:val="22"/>
              </w:rPr>
              <w:t>Parent-Child Activity</w:t>
            </w:r>
          </w:p>
        </w:tc>
        <w:tc>
          <w:tcPr>
            <w:tcW w:w="6491" w:type="dxa"/>
            <w:tcBorders>
              <w:top w:val="single" w:sz="4" w:space="0" w:color="auto"/>
              <w:left w:val="nil"/>
              <w:bottom w:val="single" w:sz="4" w:space="0" w:color="auto"/>
              <w:right w:val="nil"/>
            </w:tcBorders>
            <w:noWrap/>
            <w:vAlign w:val="center"/>
            <w:hideMark/>
          </w:tcPr>
          <w:p w:rsidR="00D523CD" w:rsidRDefault="00D523CD">
            <w:pPr>
              <w:rPr>
                <w:b/>
                <w:bCs/>
                <w:color w:val="000000"/>
                <w:sz w:val="22"/>
                <w:szCs w:val="22"/>
              </w:rPr>
            </w:pPr>
            <w:r>
              <w:rPr>
                <w:b/>
                <w:bCs/>
                <w:color w:val="000000"/>
                <w:sz w:val="22"/>
                <w:szCs w:val="22"/>
              </w:rPr>
              <w:t>Description</w:t>
            </w:r>
          </w:p>
        </w:tc>
      </w:tr>
      <w:tr w:rsidR="00D523CD" w:rsidTr="00D523CD">
        <w:trPr>
          <w:trHeight w:val="309"/>
        </w:trPr>
        <w:tc>
          <w:tcPr>
            <w:tcW w:w="2562" w:type="dxa"/>
            <w:vMerge w:val="restart"/>
            <w:tcBorders>
              <w:top w:val="nil"/>
              <w:left w:val="nil"/>
              <w:bottom w:val="single" w:sz="4" w:space="0" w:color="000000"/>
              <w:right w:val="nil"/>
            </w:tcBorders>
            <w:vAlign w:val="center"/>
            <w:hideMark/>
          </w:tcPr>
          <w:p w:rsidR="00D523CD" w:rsidRDefault="00D523CD">
            <w:pPr>
              <w:rPr>
                <w:color w:val="000000"/>
                <w:sz w:val="22"/>
                <w:szCs w:val="22"/>
              </w:rPr>
            </w:pPr>
            <w:r>
              <w:rPr>
                <w:color w:val="000000"/>
                <w:sz w:val="22"/>
                <w:szCs w:val="22"/>
              </w:rPr>
              <w:t>Didactic Verbal Activities</w:t>
            </w:r>
          </w:p>
        </w:tc>
        <w:tc>
          <w:tcPr>
            <w:tcW w:w="6491" w:type="dxa"/>
            <w:noWrap/>
            <w:vAlign w:val="center"/>
            <w:hideMark/>
          </w:tcPr>
          <w:p w:rsidR="00D523CD" w:rsidRDefault="00D523CD">
            <w:pPr>
              <w:rPr>
                <w:color w:val="000000"/>
                <w:sz w:val="22"/>
                <w:szCs w:val="22"/>
              </w:rPr>
            </w:pPr>
            <w:r>
              <w:rPr>
                <w:color w:val="000000"/>
                <w:sz w:val="22"/>
                <w:szCs w:val="22"/>
              </w:rPr>
              <w:t>Reading together</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Printing letters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Writing stories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Identifying names of written alphabet letters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Identifying sounds of alphabet letters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Singing/reciting the alphabet</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Introducing new words and their definitions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After reading part of a book, ask questions about the story</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Reading or printing words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Engaging in reading activities</w:t>
            </w:r>
          </w:p>
        </w:tc>
      </w:tr>
      <w:tr w:rsidR="00D523CD" w:rsidTr="00D523CD">
        <w:trPr>
          <w:trHeight w:val="309"/>
        </w:trPr>
        <w:tc>
          <w:tcPr>
            <w:tcW w:w="2562" w:type="dxa"/>
            <w:vMerge w:val="restart"/>
            <w:tcBorders>
              <w:top w:val="nil"/>
              <w:left w:val="nil"/>
              <w:bottom w:val="single" w:sz="4" w:space="0" w:color="000000"/>
              <w:right w:val="nil"/>
            </w:tcBorders>
            <w:vAlign w:val="center"/>
            <w:hideMark/>
          </w:tcPr>
          <w:p w:rsidR="00D523CD" w:rsidRDefault="00D523CD">
            <w:pPr>
              <w:rPr>
                <w:color w:val="000000"/>
                <w:sz w:val="22"/>
                <w:szCs w:val="22"/>
              </w:rPr>
            </w:pPr>
            <w:r>
              <w:rPr>
                <w:color w:val="000000"/>
                <w:sz w:val="22"/>
                <w:szCs w:val="22"/>
              </w:rPr>
              <w:t>Didactic Spatial Activities</w:t>
            </w:r>
          </w:p>
        </w:tc>
        <w:tc>
          <w:tcPr>
            <w:tcW w:w="6491" w:type="dxa"/>
            <w:tcBorders>
              <w:top w:val="single" w:sz="4" w:space="0" w:color="auto"/>
              <w:left w:val="nil"/>
              <w:bottom w:val="nil"/>
              <w:right w:val="nil"/>
            </w:tcBorders>
            <w:noWrap/>
            <w:vAlign w:val="center"/>
            <w:hideMark/>
          </w:tcPr>
          <w:p w:rsidR="00D523CD" w:rsidRDefault="00D523CD">
            <w:pPr>
              <w:rPr>
                <w:color w:val="000000"/>
                <w:sz w:val="22"/>
                <w:szCs w:val="22"/>
              </w:rPr>
            </w:pPr>
            <w:r>
              <w:rPr>
                <w:color w:val="000000"/>
                <w:sz w:val="22"/>
                <w:szCs w:val="22"/>
              </w:rPr>
              <w:t>Building with blocks or Legos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Sorting, comparing, or classifying shapes, color, amount (e.g., more/less)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Arranging, ordering objects by size, shape, color (e.g., smallest to biggest)</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Naming simple shapes (circle, square)</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Do puzzles</w:t>
            </w:r>
          </w:p>
        </w:tc>
      </w:tr>
      <w:tr w:rsidR="00D523CD" w:rsidTr="00D523CD">
        <w:trPr>
          <w:trHeight w:val="309"/>
        </w:trPr>
        <w:tc>
          <w:tcPr>
            <w:tcW w:w="2562" w:type="dxa"/>
            <w:vMerge w:val="restart"/>
            <w:tcBorders>
              <w:top w:val="nil"/>
              <w:left w:val="nil"/>
              <w:bottom w:val="single" w:sz="4" w:space="0" w:color="000000"/>
              <w:right w:val="nil"/>
            </w:tcBorders>
            <w:vAlign w:val="center"/>
            <w:hideMark/>
          </w:tcPr>
          <w:p w:rsidR="00D523CD" w:rsidRDefault="00D523CD">
            <w:pPr>
              <w:rPr>
                <w:color w:val="000000"/>
                <w:sz w:val="22"/>
                <w:szCs w:val="22"/>
              </w:rPr>
            </w:pPr>
            <w:r>
              <w:rPr>
                <w:color w:val="000000"/>
                <w:sz w:val="22"/>
                <w:szCs w:val="22"/>
              </w:rPr>
              <w:t>Playful Activities</w:t>
            </w:r>
          </w:p>
        </w:tc>
        <w:tc>
          <w:tcPr>
            <w:tcW w:w="6491" w:type="dxa"/>
            <w:tcBorders>
              <w:top w:val="single" w:sz="4" w:space="0" w:color="auto"/>
              <w:left w:val="nil"/>
              <w:bottom w:val="nil"/>
              <w:right w:val="nil"/>
            </w:tcBorders>
            <w:noWrap/>
            <w:vAlign w:val="center"/>
            <w:hideMark/>
          </w:tcPr>
          <w:p w:rsidR="00D523CD" w:rsidRDefault="00D523CD">
            <w:pPr>
              <w:rPr>
                <w:color w:val="000000"/>
                <w:sz w:val="22"/>
                <w:szCs w:val="22"/>
              </w:rPr>
            </w:pPr>
            <w:r>
              <w:rPr>
                <w:color w:val="000000"/>
                <w:sz w:val="22"/>
                <w:szCs w:val="22"/>
              </w:rPr>
              <w:t>Playing board games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Beading, creating jewelry</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Arts and crafts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Play with small action figures or dolls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Using tools, such as scissors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Pretend play</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noWrap/>
            <w:vAlign w:val="center"/>
            <w:hideMark/>
          </w:tcPr>
          <w:p w:rsidR="00D523CD" w:rsidRDefault="00D523CD">
            <w:pPr>
              <w:rPr>
                <w:color w:val="000000"/>
                <w:sz w:val="22"/>
                <w:szCs w:val="22"/>
              </w:rPr>
            </w:pPr>
            <w:r>
              <w:rPr>
                <w:color w:val="000000"/>
                <w:sz w:val="22"/>
                <w:szCs w:val="22"/>
              </w:rPr>
              <w:t>Playing card games</w:t>
            </w:r>
          </w:p>
        </w:tc>
      </w:tr>
      <w:tr w:rsidR="00D523CD" w:rsidTr="00D523CD">
        <w:trPr>
          <w:trHeight w:val="309"/>
        </w:trPr>
        <w:tc>
          <w:tcPr>
            <w:tcW w:w="0" w:type="auto"/>
            <w:vMerge/>
            <w:tcBorders>
              <w:top w:val="nil"/>
              <w:left w:val="nil"/>
              <w:bottom w:val="single" w:sz="4" w:space="0" w:color="000000"/>
              <w:right w:val="nil"/>
            </w:tcBorders>
            <w:vAlign w:val="center"/>
            <w:hideMark/>
          </w:tcPr>
          <w:p w:rsidR="00D523CD" w:rsidRDefault="00D523CD">
            <w:pPr>
              <w:rPr>
                <w:color w:val="000000"/>
                <w:sz w:val="22"/>
                <w:szCs w:val="22"/>
              </w:rPr>
            </w:pPr>
          </w:p>
        </w:tc>
        <w:tc>
          <w:tcPr>
            <w:tcW w:w="6491" w:type="dxa"/>
            <w:tcBorders>
              <w:top w:val="nil"/>
              <w:left w:val="nil"/>
              <w:bottom w:val="single" w:sz="4" w:space="0" w:color="auto"/>
              <w:right w:val="nil"/>
            </w:tcBorders>
            <w:noWrap/>
            <w:vAlign w:val="center"/>
            <w:hideMark/>
          </w:tcPr>
          <w:p w:rsidR="00D523CD" w:rsidRDefault="00D523CD">
            <w:pPr>
              <w:rPr>
                <w:color w:val="000000"/>
                <w:sz w:val="22"/>
                <w:szCs w:val="22"/>
              </w:rPr>
            </w:pPr>
            <w:r>
              <w:rPr>
                <w:color w:val="000000"/>
                <w:sz w:val="22"/>
                <w:szCs w:val="22"/>
              </w:rPr>
              <w:t>Coloring, painting</w:t>
            </w:r>
          </w:p>
        </w:tc>
      </w:tr>
    </w:tbl>
    <w:p w:rsidR="00D523CD" w:rsidRDefault="00D523CD" w:rsidP="00D523CD">
      <w:pPr>
        <w:rPr>
          <w:b/>
          <w:bCs/>
        </w:rPr>
      </w:pPr>
    </w:p>
    <w:p w:rsidR="005C58FC" w:rsidRDefault="005C58FC">
      <w:bookmarkStart w:id="0" w:name="_GoBack"/>
      <w:bookmarkEnd w:id="0"/>
    </w:p>
    <w:sectPr w:rsidR="005C58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EBD"/>
    <w:rsid w:val="002D7EBD"/>
    <w:rsid w:val="005C58FC"/>
    <w:rsid w:val="00D523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67093-63A3-4EA0-B7EC-E7CEC24D6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3C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13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659</Words>
  <Characters>3757</Characters>
  <Application>Microsoft Office Word</Application>
  <DocSecurity>0</DocSecurity>
  <Lines>31</Lines>
  <Paragraphs>8</Paragraphs>
  <ScaleCrop>false</ScaleCrop>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Pavithra K</dc:creator>
  <cp:keywords/>
  <dc:description/>
  <cp:lastModifiedBy>Pavithra K</cp:lastModifiedBy>
  <cp:revision>2</cp:revision>
  <dcterms:created xsi:type="dcterms:W3CDTF">2024-10-10T09:52:00Z</dcterms:created>
  <dcterms:modified xsi:type="dcterms:W3CDTF">2024-10-10T09:53:00Z</dcterms:modified>
</cp:coreProperties>
</file>