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305AD" w14:textId="77777777" w:rsidR="009E7BF2" w:rsidRPr="00E519DD" w:rsidRDefault="009E7BF2" w:rsidP="009E7BF2">
      <w:pPr>
        <w:jc w:val="both"/>
        <w:rPr>
          <w:rFonts w:ascii="Times New Roman" w:hAnsi="Times New Roman" w:cs="Times New Roman"/>
          <w:b/>
          <w:bCs/>
        </w:rPr>
      </w:pPr>
      <w:r w:rsidRPr="00E519DD">
        <w:rPr>
          <w:rFonts w:ascii="Times New Roman" w:hAnsi="Times New Roman" w:cs="Times New Roman"/>
          <w:b/>
          <w:bCs/>
        </w:rPr>
        <w:t>Supplementary Information</w:t>
      </w:r>
    </w:p>
    <w:p w14:paraId="02BD6EA1" w14:textId="77777777" w:rsidR="009E7BF2" w:rsidRPr="00E519DD" w:rsidRDefault="009E7BF2" w:rsidP="009E7BF2">
      <w:pPr>
        <w:jc w:val="both"/>
        <w:rPr>
          <w:rFonts w:ascii="Times New Roman" w:hAnsi="Times New Roman" w:cs="Times New Roman"/>
          <w:b/>
          <w:bCs/>
        </w:rPr>
      </w:pPr>
    </w:p>
    <w:p w14:paraId="3849D37B" w14:textId="5E0FE5D4" w:rsidR="009E7BF2" w:rsidRPr="00E519DD" w:rsidRDefault="009E7BF2" w:rsidP="009E7BF2">
      <w:pPr>
        <w:spacing w:line="480" w:lineRule="auto"/>
        <w:jc w:val="both"/>
        <w:rPr>
          <w:rFonts w:ascii="Times New Roman" w:hAnsi="Times New Roman" w:cs="Times New Roman"/>
        </w:rPr>
      </w:pPr>
      <w:bookmarkStart w:id="0" w:name="_Hlk170454379"/>
      <w:r w:rsidRPr="00E519DD">
        <w:rPr>
          <w:rFonts w:ascii="Times New Roman" w:hAnsi="Times New Roman" w:cs="Times New Roman"/>
          <w:b/>
          <w:bCs/>
        </w:rPr>
        <w:t>Supplementa</w:t>
      </w:r>
      <w:r w:rsidR="00CB229D">
        <w:rPr>
          <w:rFonts w:ascii="Times New Roman" w:hAnsi="Times New Roman" w:cs="Times New Roman"/>
          <w:b/>
          <w:bCs/>
        </w:rPr>
        <w:t>ry</w:t>
      </w:r>
      <w:r w:rsidRPr="00E519DD">
        <w:rPr>
          <w:rFonts w:ascii="Times New Roman" w:hAnsi="Times New Roman" w:cs="Times New Roman"/>
          <w:b/>
          <w:bCs/>
        </w:rPr>
        <w:t xml:space="preserve"> Table 1. CLIP 3D printed IVR fabrication. </w:t>
      </w:r>
      <w:r w:rsidRPr="00E519DD">
        <w:rPr>
          <w:rFonts w:ascii="Times New Roman" w:hAnsi="Times New Roman" w:cs="Times New Roman"/>
        </w:rPr>
        <w:t xml:space="preserve">Theoretical and experimental values for human-size and macaque-size IVRs fabricated in SIL 30.  </w:t>
      </w:r>
    </w:p>
    <w:bookmarkEnd w:id="0"/>
    <w:p w14:paraId="0342E9FC" w14:textId="77777777" w:rsidR="009E7BF2" w:rsidRPr="00E519DD" w:rsidRDefault="009E7BF2" w:rsidP="009E7BF2">
      <w:pPr>
        <w:jc w:val="both"/>
        <w:rPr>
          <w:rFonts w:ascii="Times New Roman" w:hAnsi="Times New Roman" w:cs="Times New Roman"/>
        </w:rPr>
      </w:pPr>
    </w:p>
    <w:p w14:paraId="391719ED" w14:textId="77777777" w:rsidR="009E7BF2" w:rsidRPr="00E519DD" w:rsidRDefault="009E7BF2" w:rsidP="009E7BF2">
      <w:pPr>
        <w:jc w:val="both"/>
        <w:rPr>
          <w:rFonts w:ascii="Times New Roman" w:hAnsi="Times New Roman" w:cs="Times New Roman"/>
          <w:b/>
          <w:bCs/>
        </w:rPr>
      </w:pPr>
      <w:r w:rsidRPr="00E519DD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67618E15" wp14:editId="2494A521">
            <wp:extent cx="5943600" cy="4671060"/>
            <wp:effectExtent l="0" t="0" r="0" b="2540"/>
            <wp:docPr id="824544761" name="Picture 824544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7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A677A" w14:textId="41A8B638" w:rsidR="009E7BF2" w:rsidRPr="00E519DD" w:rsidRDefault="009E7BF2" w:rsidP="009E7BF2">
      <w:pPr>
        <w:spacing w:line="480" w:lineRule="auto"/>
        <w:jc w:val="both"/>
        <w:rPr>
          <w:rFonts w:ascii="Times New Roman" w:hAnsi="Times New Roman" w:cs="Times New Roman"/>
        </w:rPr>
      </w:pPr>
      <w:bookmarkStart w:id="1" w:name="_Hlk170454397"/>
      <w:r w:rsidRPr="00E519DD">
        <w:rPr>
          <w:rFonts w:ascii="Times New Roman" w:hAnsi="Times New Roman" w:cs="Times New Roman"/>
          <w:b/>
          <w:bCs/>
        </w:rPr>
        <w:t>Supplementa</w:t>
      </w:r>
      <w:r w:rsidR="00CB229D">
        <w:rPr>
          <w:rFonts w:ascii="Times New Roman" w:hAnsi="Times New Roman" w:cs="Times New Roman"/>
          <w:b/>
          <w:bCs/>
        </w:rPr>
        <w:t>ry</w:t>
      </w:r>
      <w:r w:rsidRPr="00E519DD">
        <w:rPr>
          <w:rFonts w:ascii="Times New Roman" w:hAnsi="Times New Roman" w:cs="Times New Roman"/>
          <w:b/>
          <w:bCs/>
        </w:rPr>
        <w:t xml:space="preserve"> Table 2. </w:t>
      </w:r>
      <w:r w:rsidRPr="00E519DD">
        <w:rPr>
          <w:rFonts w:ascii="Times New Roman" w:hAnsi="Times New Roman" w:cs="Times New Roman"/>
        </w:rPr>
        <w:t xml:space="preserve">Weight-based drug loading equations and chemical properties for </w:t>
      </w:r>
      <w:proofErr w:type="spellStart"/>
      <w:r w:rsidRPr="00E519DD">
        <w:rPr>
          <w:rFonts w:ascii="Times New Roman" w:hAnsi="Times New Roman" w:cs="Times New Roman"/>
        </w:rPr>
        <w:t>dapivirine</w:t>
      </w:r>
      <w:proofErr w:type="spellEnd"/>
      <w:r w:rsidRPr="00E519DD">
        <w:rPr>
          <w:rFonts w:ascii="Times New Roman" w:hAnsi="Times New Roman" w:cs="Times New Roman"/>
        </w:rPr>
        <w:t xml:space="preserve">, </w:t>
      </w:r>
      <w:proofErr w:type="spellStart"/>
      <w:r w:rsidRPr="00E519DD">
        <w:rPr>
          <w:rFonts w:ascii="Times New Roman" w:hAnsi="Times New Roman" w:cs="Times New Roman"/>
        </w:rPr>
        <w:t>pritelivir</w:t>
      </w:r>
      <w:proofErr w:type="spellEnd"/>
      <w:r w:rsidRPr="00E519DD">
        <w:rPr>
          <w:rFonts w:ascii="Times New Roman" w:hAnsi="Times New Roman" w:cs="Times New Roman"/>
        </w:rPr>
        <w:t xml:space="preserve">, and levonorgestrel. </w:t>
      </w:r>
    </w:p>
    <w:bookmarkEnd w:id="1"/>
    <w:p w14:paraId="2F707DA7" w14:textId="77777777" w:rsidR="009E7BF2" w:rsidRPr="00E519DD" w:rsidRDefault="009E7BF2" w:rsidP="009E7BF2">
      <w:pPr>
        <w:jc w:val="both"/>
        <w:rPr>
          <w:rFonts w:ascii="Times New Roman" w:hAnsi="Times New Roman" w:cs="Times New Roman"/>
          <w:b/>
          <w:bCs/>
        </w:rPr>
      </w:pPr>
      <w:r w:rsidRPr="00E519DD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758FB33C" wp14:editId="24DBF33E">
            <wp:extent cx="5943600" cy="2164080"/>
            <wp:effectExtent l="0" t="0" r="0" b="0"/>
            <wp:docPr id="1115575815" name="Picture 1115575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12A57" w14:textId="77777777" w:rsidR="009E7BF2" w:rsidRPr="00E519DD" w:rsidRDefault="009E7BF2" w:rsidP="009E7BF2">
      <w:pPr>
        <w:jc w:val="both"/>
        <w:rPr>
          <w:rFonts w:ascii="Times New Roman" w:hAnsi="Times New Roman" w:cs="Times New Roman"/>
          <w:b/>
          <w:bCs/>
        </w:rPr>
      </w:pPr>
      <w:r w:rsidRPr="00E519DD">
        <w:rPr>
          <w:rFonts w:ascii="Times New Roman" w:hAnsi="Times New Roman" w:cs="Times New Roman"/>
          <w:b/>
          <w:bCs/>
          <w:noProof/>
          <w:lang w:val="en-IN" w:eastAsia="en-IN"/>
        </w:rPr>
        <w:lastRenderedPageBreak/>
        <w:drawing>
          <wp:inline distT="0" distB="0" distL="0" distR="0" wp14:anchorId="250F6153" wp14:editId="5A1571C9">
            <wp:extent cx="5943600" cy="4178300"/>
            <wp:effectExtent l="0" t="0" r="0" b="0"/>
            <wp:docPr id="573725837" name="Picture 573725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207B3" w14:textId="42D053FE" w:rsidR="009E7BF2" w:rsidRPr="00E519DD" w:rsidRDefault="009E7BF2" w:rsidP="009E7BF2">
      <w:pPr>
        <w:spacing w:line="480" w:lineRule="auto"/>
        <w:jc w:val="both"/>
        <w:rPr>
          <w:rFonts w:ascii="Times New Roman" w:hAnsi="Times New Roman" w:cs="Times New Roman"/>
        </w:rPr>
      </w:pPr>
      <w:bookmarkStart w:id="2" w:name="_Hlk170454419"/>
      <w:r w:rsidRPr="00E519DD">
        <w:rPr>
          <w:rFonts w:ascii="Times New Roman" w:hAnsi="Times New Roman" w:cs="Times New Roman"/>
          <w:b/>
          <w:bCs/>
        </w:rPr>
        <w:t>Supplementa</w:t>
      </w:r>
      <w:r w:rsidR="00CB229D">
        <w:rPr>
          <w:rFonts w:ascii="Times New Roman" w:hAnsi="Times New Roman" w:cs="Times New Roman"/>
          <w:b/>
          <w:bCs/>
        </w:rPr>
        <w:t>ry</w:t>
      </w:r>
      <w:r w:rsidRPr="00E519DD">
        <w:rPr>
          <w:rFonts w:ascii="Times New Roman" w:hAnsi="Times New Roman" w:cs="Times New Roman"/>
          <w:b/>
          <w:bCs/>
        </w:rPr>
        <w:t xml:space="preserve"> Figure 1. HPLC chromatograms identifying source of unknown degradation peaks. </w:t>
      </w:r>
      <w:r w:rsidRPr="00E519DD">
        <w:rPr>
          <w:rFonts w:ascii="Times New Roman" w:hAnsi="Times New Roman" w:cs="Times New Roman"/>
        </w:rPr>
        <w:t xml:space="preserve">A) Release sample from triple-drug IVR with release study started at t=0. B) Release sample from triple-drug IVR with release study started after t=3 months of storage in the accelerated humidity chamber (40°C/75% RH). C) Placebo IVR that has been prepared like a drug-loaded IVR but no API was included. D) Neat API in triple combination stored in the accelerated humidity chamber (40°C/75% RH) for t=3 months. </w:t>
      </w:r>
    </w:p>
    <w:bookmarkEnd w:id="2"/>
    <w:p w14:paraId="4BBE2B6E" w14:textId="77777777" w:rsidR="009E7BF2" w:rsidRPr="00E519DD" w:rsidRDefault="009E7BF2" w:rsidP="009E7BF2">
      <w:pPr>
        <w:jc w:val="both"/>
        <w:rPr>
          <w:rFonts w:ascii="Times New Roman" w:hAnsi="Times New Roman" w:cs="Times New Roman"/>
          <w:b/>
          <w:bCs/>
        </w:rPr>
      </w:pPr>
    </w:p>
    <w:p w14:paraId="5994E6CA" w14:textId="77777777" w:rsidR="009E7BF2" w:rsidRPr="00E519DD" w:rsidRDefault="009E7BF2" w:rsidP="009E7BF2">
      <w:pPr>
        <w:jc w:val="both"/>
        <w:rPr>
          <w:rFonts w:ascii="Times New Roman" w:hAnsi="Times New Roman" w:cs="Times New Roman"/>
          <w:b/>
          <w:bCs/>
        </w:rPr>
      </w:pPr>
      <w:r w:rsidRPr="00E519DD">
        <w:rPr>
          <w:rFonts w:ascii="Times New Roman" w:hAnsi="Times New Roman" w:cs="Times New Roman"/>
          <w:b/>
          <w:bCs/>
          <w:noProof/>
          <w:lang w:val="en-IN" w:eastAsia="en-IN"/>
        </w:rPr>
        <w:lastRenderedPageBreak/>
        <w:drawing>
          <wp:inline distT="0" distB="0" distL="0" distR="0" wp14:anchorId="03BB148C" wp14:editId="3B10013F">
            <wp:extent cx="5943600" cy="3742690"/>
            <wp:effectExtent l="0" t="0" r="0" b="3810"/>
            <wp:docPr id="1859484816" name="Picture 1859484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6A654" w14:textId="642891CE" w:rsidR="009E7BF2" w:rsidRPr="00E519DD" w:rsidRDefault="009E7BF2" w:rsidP="009E7BF2">
      <w:pPr>
        <w:spacing w:line="480" w:lineRule="auto"/>
        <w:jc w:val="both"/>
        <w:rPr>
          <w:rFonts w:ascii="Times New Roman" w:hAnsi="Times New Roman" w:cs="Times New Roman"/>
        </w:rPr>
      </w:pPr>
      <w:bookmarkStart w:id="3" w:name="_Hlk170454436"/>
      <w:r w:rsidRPr="00E519DD">
        <w:rPr>
          <w:rFonts w:ascii="Times New Roman" w:hAnsi="Times New Roman" w:cs="Times New Roman"/>
          <w:b/>
          <w:bCs/>
        </w:rPr>
        <w:t>Supplementa</w:t>
      </w:r>
      <w:r w:rsidR="00CB229D">
        <w:rPr>
          <w:rFonts w:ascii="Times New Roman" w:hAnsi="Times New Roman" w:cs="Times New Roman"/>
          <w:b/>
          <w:bCs/>
        </w:rPr>
        <w:t>ry</w:t>
      </w:r>
      <w:r w:rsidRPr="00E519DD">
        <w:rPr>
          <w:rFonts w:ascii="Times New Roman" w:hAnsi="Times New Roman" w:cs="Times New Roman"/>
          <w:b/>
          <w:bCs/>
        </w:rPr>
        <w:t xml:space="preserve"> Figure 2. </w:t>
      </w:r>
      <w:r w:rsidRPr="00E519DD">
        <w:rPr>
          <w:rFonts w:ascii="Times New Roman" w:hAnsi="Times New Roman" w:cs="Times New Roman"/>
        </w:rPr>
        <w:t xml:space="preserve">HPLC chromatograms comparing IVRs after storage in 4°C/ or in the accelerated stability conditions (40°C/75% RH) for t= 3 months. A) DPV individually loaded. B) PTV individually loaded. C) LNG individually loaded. D) PTV and LNG co-formulated. </w:t>
      </w:r>
    </w:p>
    <w:bookmarkEnd w:id="3"/>
    <w:p w14:paraId="3D07C147" w14:textId="77777777" w:rsidR="009E7BF2" w:rsidRPr="00E519DD" w:rsidRDefault="009E7BF2" w:rsidP="009E7BF2">
      <w:pPr>
        <w:jc w:val="both"/>
        <w:rPr>
          <w:rFonts w:ascii="Times New Roman" w:hAnsi="Times New Roman" w:cs="Times New Roman"/>
        </w:rPr>
      </w:pPr>
    </w:p>
    <w:p w14:paraId="6D8E95AF" w14:textId="77777777" w:rsidR="009E7BF2" w:rsidRPr="00E519DD" w:rsidRDefault="009E7BF2" w:rsidP="009E7BF2">
      <w:pPr>
        <w:jc w:val="both"/>
        <w:rPr>
          <w:rFonts w:ascii="Times New Roman" w:hAnsi="Times New Roman" w:cs="Times New Roman"/>
        </w:rPr>
      </w:pPr>
    </w:p>
    <w:p w14:paraId="12115310" w14:textId="77777777" w:rsidR="009E7BF2" w:rsidRPr="00E519DD" w:rsidRDefault="009E7BF2" w:rsidP="009E7BF2">
      <w:pPr>
        <w:jc w:val="both"/>
        <w:rPr>
          <w:rFonts w:ascii="Times New Roman" w:hAnsi="Times New Roman" w:cs="Times New Roman"/>
          <w:b/>
          <w:bCs/>
        </w:rPr>
      </w:pPr>
    </w:p>
    <w:p w14:paraId="3DAC4349" w14:textId="77777777" w:rsidR="009E7BF2" w:rsidRPr="00E519DD" w:rsidRDefault="009E7BF2" w:rsidP="009E7BF2">
      <w:pPr>
        <w:jc w:val="both"/>
        <w:rPr>
          <w:rFonts w:ascii="Times New Roman" w:hAnsi="Times New Roman" w:cs="Times New Roman"/>
          <w:b/>
          <w:bCs/>
        </w:rPr>
      </w:pPr>
      <w:r w:rsidRPr="00E519DD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700CA52D" wp14:editId="3029A0A4">
            <wp:extent cx="5943600" cy="1974850"/>
            <wp:effectExtent l="0" t="0" r="0" b="6350"/>
            <wp:docPr id="1843074223" name="Picture 1843074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E2362" w14:textId="7BFF1274" w:rsidR="009E7BF2" w:rsidRPr="00E519DD" w:rsidRDefault="009E7BF2" w:rsidP="009E7BF2">
      <w:pPr>
        <w:spacing w:line="480" w:lineRule="auto"/>
        <w:jc w:val="both"/>
        <w:rPr>
          <w:rFonts w:ascii="Times New Roman" w:hAnsi="Times New Roman" w:cs="Times New Roman"/>
        </w:rPr>
      </w:pPr>
      <w:bookmarkStart w:id="4" w:name="_Hlk170454451"/>
      <w:r w:rsidRPr="00E519DD">
        <w:rPr>
          <w:rFonts w:ascii="Times New Roman" w:hAnsi="Times New Roman" w:cs="Times New Roman"/>
          <w:b/>
          <w:bCs/>
        </w:rPr>
        <w:t>Supplementa</w:t>
      </w:r>
      <w:r w:rsidR="00CB229D">
        <w:rPr>
          <w:rFonts w:ascii="Times New Roman" w:hAnsi="Times New Roman" w:cs="Times New Roman"/>
          <w:b/>
          <w:bCs/>
        </w:rPr>
        <w:t>ry</w:t>
      </w:r>
      <w:r w:rsidRPr="00E519DD">
        <w:rPr>
          <w:rFonts w:ascii="Times New Roman" w:hAnsi="Times New Roman" w:cs="Times New Roman"/>
          <w:b/>
          <w:bCs/>
        </w:rPr>
        <w:t xml:space="preserve"> Figure 3. </w:t>
      </w:r>
      <w:r w:rsidRPr="00E519DD">
        <w:rPr>
          <w:rFonts w:ascii="Times New Roman" w:hAnsi="Times New Roman" w:cs="Times New Roman"/>
        </w:rPr>
        <w:t xml:space="preserve">HPLC chromatograms comparing triple-drug IVRs after storage in 4°C/ for A) 3 months and B) 6 months.  </w:t>
      </w:r>
    </w:p>
    <w:bookmarkEnd w:id="4"/>
    <w:p w14:paraId="11C0349B" w14:textId="77777777" w:rsidR="009E7BF2" w:rsidRPr="00E519DD" w:rsidRDefault="009E7BF2" w:rsidP="009E7BF2">
      <w:pPr>
        <w:jc w:val="both"/>
        <w:rPr>
          <w:rFonts w:ascii="Times New Roman" w:hAnsi="Times New Roman" w:cs="Times New Roman"/>
          <w:b/>
          <w:bCs/>
        </w:rPr>
      </w:pPr>
      <w:r w:rsidRPr="00E519DD">
        <w:rPr>
          <w:rFonts w:ascii="Times New Roman" w:hAnsi="Times New Roman" w:cs="Times New Roman"/>
          <w:b/>
          <w:bCs/>
          <w:noProof/>
          <w:lang w:val="en-IN" w:eastAsia="en-IN"/>
        </w:rPr>
        <w:lastRenderedPageBreak/>
        <w:drawing>
          <wp:inline distT="0" distB="0" distL="0" distR="0" wp14:anchorId="48047FA1" wp14:editId="6FA12B56">
            <wp:extent cx="5943600" cy="5431790"/>
            <wp:effectExtent l="0" t="0" r="0" b="3810"/>
            <wp:docPr id="718267625" name="Picture 718267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3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ED529" w14:textId="5A13078B" w:rsidR="009E7BF2" w:rsidRPr="00E519DD" w:rsidRDefault="009E7BF2" w:rsidP="009E7BF2">
      <w:pPr>
        <w:spacing w:line="480" w:lineRule="auto"/>
        <w:jc w:val="both"/>
        <w:rPr>
          <w:rFonts w:ascii="Times New Roman" w:hAnsi="Times New Roman" w:cs="Times New Roman"/>
        </w:rPr>
      </w:pPr>
      <w:bookmarkStart w:id="5" w:name="_Hlk170454510"/>
      <w:r w:rsidRPr="00E519DD">
        <w:rPr>
          <w:rFonts w:ascii="Times New Roman" w:hAnsi="Times New Roman" w:cs="Times New Roman"/>
          <w:b/>
          <w:bCs/>
        </w:rPr>
        <w:t>Supplementa</w:t>
      </w:r>
      <w:r w:rsidR="00CB229D">
        <w:rPr>
          <w:rFonts w:ascii="Times New Roman" w:hAnsi="Times New Roman" w:cs="Times New Roman"/>
          <w:b/>
          <w:bCs/>
        </w:rPr>
        <w:t>ry</w:t>
      </w:r>
      <w:r w:rsidRPr="00E519DD">
        <w:rPr>
          <w:rFonts w:ascii="Times New Roman" w:hAnsi="Times New Roman" w:cs="Times New Roman"/>
          <w:b/>
          <w:bCs/>
        </w:rPr>
        <w:t xml:space="preserve"> Figure 4. Mass spectrometry analysis to understand the composition of the unknown degradation peaks. </w:t>
      </w:r>
      <w:r w:rsidRPr="00E519DD">
        <w:rPr>
          <w:rFonts w:ascii="Times New Roman" w:hAnsi="Times New Roman" w:cs="Times New Roman"/>
        </w:rPr>
        <w:t xml:space="preserve">Peaks A-E are associated with a proposed structure. Peaks A and B on the chromatograms are the same product protonated differently. A) PTV individually loaded and stored under accelerated stability conditions (40°C/ 75% RH) for 3 months. B) PTV and LNG co-formulated and stored at 40°C/ 75% RH for 3 months. C) PTV individually loaded and stored at 40°C/ 75% RH) for 6 months. D) PTV and LNG co-formulated and stored at 40°C/ 75% RH) for 6 months. </w:t>
      </w:r>
    </w:p>
    <w:p w14:paraId="6F3437DF" w14:textId="77777777" w:rsidR="009E7BF2" w:rsidRPr="00E519DD" w:rsidRDefault="009E7BF2" w:rsidP="009E7BF2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E519DD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15087902" wp14:editId="0116F176">
            <wp:extent cx="5907290" cy="4288465"/>
            <wp:effectExtent l="0" t="0" r="0" b="0"/>
            <wp:docPr id="958123419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123419" name="Picture 1" descr="A screenshot of a computer screen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3572" cy="430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045C5" w14:textId="1B312E8D" w:rsidR="009E7BF2" w:rsidRPr="00E519DD" w:rsidRDefault="009E7BF2" w:rsidP="009E7BF2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E519DD">
        <w:rPr>
          <w:rFonts w:ascii="Times New Roman" w:hAnsi="Times New Roman" w:cs="Times New Roman"/>
          <w:b/>
          <w:bCs/>
        </w:rPr>
        <w:t>Supplementa</w:t>
      </w:r>
      <w:r w:rsidR="00CB229D">
        <w:rPr>
          <w:rFonts w:ascii="Times New Roman" w:hAnsi="Times New Roman" w:cs="Times New Roman"/>
          <w:b/>
          <w:bCs/>
        </w:rPr>
        <w:t>ry</w:t>
      </w:r>
      <w:r w:rsidRPr="00E519DD">
        <w:rPr>
          <w:rFonts w:ascii="Times New Roman" w:hAnsi="Times New Roman" w:cs="Times New Roman"/>
          <w:b/>
          <w:bCs/>
        </w:rPr>
        <w:t xml:space="preserve"> Figure 5. Plasma concentrations of DPV, PTV, and LNG plotted for individual macaques. </w:t>
      </w:r>
      <w:r w:rsidRPr="00E519DD">
        <w:rPr>
          <w:rFonts w:ascii="Times New Roman" w:hAnsi="Times New Roman" w:cs="Times New Roman"/>
        </w:rPr>
        <w:t>(A-C) Plasma concentrations of DPV, PTV, and LNG plotted for individual macaques (n=3). (D-F) Proximal vaginal fluid concentrations of DPV, PTV, and LNG plotted for individual macaques (n=3). (G-I) Distal vaginal fluid concentrations of DPV, PTV, and LNG plotted for individual macaques (n=3).</w:t>
      </w:r>
      <w:r w:rsidRPr="00E519DD">
        <w:rPr>
          <w:rFonts w:ascii="Times New Roman" w:hAnsi="Times New Roman" w:cs="Times New Roman"/>
          <w:b/>
          <w:bCs/>
        </w:rPr>
        <w:t xml:space="preserve"> </w:t>
      </w:r>
    </w:p>
    <w:p w14:paraId="3F9175A7" w14:textId="77777777" w:rsidR="009E7BF2" w:rsidRPr="00E519DD" w:rsidRDefault="009E7BF2" w:rsidP="009E7BF2">
      <w:pPr>
        <w:spacing w:line="480" w:lineRule="auto"/>
        <w:jc w:val="both"/>
        <w:rPr>
          <w:rFonts w:ascii="Times New Roman" w:hAnsi="Times New Roman" w:cs="Times New Roman"/>
        </w:rPr>
      </w:pPr>
    </w:p>
    <w:bookmarkEnd w:id="5"/>
    <w:p w14:paraId="4A5B4E66" w14:textId="77777777" w:rsidR="009E7BF2" w:rsidRPr="00E519DD" w:rsidRDefault="009E7BF2" w:rsidP="009E7BF2">
      <w:pPr>
        <w:jc w:val="both"/>
        <w:rPr>
          <w:rFonts w:ascii="Times New Roman" w:hAnsi="Times New Roman" w:cs="Times New Roman"/>
          <w:b/>
          <w:bCs/>
        </w:rPr>
      </w:pPr>
      <w:r w:rsidRPr="00E519DD">
        <w:rPr>
          <w:rFonts w:ascii="Arial" w:hAnsi="Arial" w:cs="Arial"/>
          <w:noProof/>
          <w:sz w:val="22"/>
          <w:szCs w:val="22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6839E407" wp14:editId="0318E86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1834216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42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DB8AE1" w14:textId="77777777" w:rsidR="009E7BF2" w:rsidRPr="00E519DD" w:rsidRDefault="009E7BF2" w:rsidP="009E7BF2">
      <w:pPr>
        <w:pStyle w:val="NormalWeb"/>
        <w:spacing w:before="0" w:beforeAutospacing="0" w:after="0" w:afterAutospacing="0" w:line="480" w:lineRule="auto"/>
        <w:rPr>
          <w:rFonts w:eastAsiaTheme="minorEastAsia"/>
          <w:kern w:val="24"/>
        </w:rPr>
      </w:pPr>
      <w:bookmarkStart w:id="6" w:name="_Hlk170454528"/>
      <w:r w:rsidRPr="00E519DD">
        <w:rPr>
          <w:rFonts w:eastAsiaTheme="minorEastAsia"/>
          <w:b/>
          <w:bCs/>
          <w:kern w:val="24"/>
        </w:rPr>
        <w:lastRenderedPageBreak/>
        <w:t xml:space="preserve">Supplementary Figure 6: </w:t>
      </w:r>
      <w:r w:rsidRPr="00E519DD">
        <w:rPr>
          <w:rFonts w:eastAsiaTheme="minorEastAsia"/>
          <w:kern w:val="24"/>
        </w:rPr>
        <w:t>Plasma progesterone measurements in macaques that received the 3D IVR:</w:t>
      </w:r>
      <w:r w:rsidRPr="00E519DD">
        <w:rPr>
          <w:rFonts w:eastAsiaTheme="minorEastAsia"/>
          <w:b/>
          <w:bCs/>
          <w:kern w:val="24"/>
        </w:rPr>
        <w:t xml:space="preserve"> </w:t>
      </w:r>
      <w:r w:rsidRPr="00E519DD">
        <w:rPr>
          <w:rFonts w:eastAsiaTheme="minorEastAsia"/>
          <w:kern w:val="24"/>
        </w:rPr>
        <w:t>a.</w:t>
      </w:r>
      <w:r w:rsidRPr="00E519DD">
        <w:rPr>
          <w:rFonts w:eastAsiaTheme="minorEastAsia"/>
          <w:b/>
          <w:bCs/>
          <w:kern w:val="24"/>
        </w:rPr>
        <w:t xml:space="preserve"> </w:t>
      </w:r>
      <w:r w:rsidRPr="00E519DD">
        <w:rPr>
          <w:rFonts w:eastAsiaTheme="minorEastAsia"/>
          <w:kern w:val="24"/>
        </w:rPr>
        <w:t>The plasma progesterone was measured prior to ring insertion (day 0), and days 3, 7, 10, 14, 21, 28 after ring insertion. A post ring removal measurement was done at day 30. The individual cycling patterns of the three different macaques are shown by unique symbols.  b. Representative progesterone measurement in a normally cycling macaque with no contraceptive modality (not a part of this study).</w:t>
      </w:r>
    </w:p>
    <w:bookmarkEnd w:id="6"/>
    <w:p w14:paraId="206B9BD4" w14:textId="77777777" w:rsidR="009E7BF2" w:rsidRPr="00E519DD" w:rsidRDefault="009E7BF2" w:rsidP="009E7BF2">
      <w:pPr>
        <w:pStyle w:val="NormalWeb"/>
        <w:spacing w:before="0" w:beforeAutospacing="0" w:after="0" w:afterAutospacing="0" w:line="480" w:lineRule="auto"/>
        <w:rPr>
          <w:rFonts w:ascii="Arial" w:hAnsi="Arial" w:cs="Arial"/>
          <w:sz w:val="22"/>
          <w:szCs w:val="22"/>
        </w:rPr>
      </w:pPr>
      <w:r w:rsidRPr="00E519DD"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302506F1" wp14:editId="178825EB">
            <wp:extent cx="5943600" cy="210697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06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45CF6F" w14:textId="77777777" w:rsidR="009E7BF2" w:rsidRPr="00E519DD" w:rsidRDefault="009E7BF2" w:rsidP="009E7BF2">
      <w:pPr>
        <w:pStyle w:val="NormalWeb"/>
        <w:spacing w:before="0" w:beforeAutospacing="0" w:after="0" w:afterAutospacing="0" w:line="480" w:lineRule="auto"/>
      </w:pPr>
      <w:bookmarkStart w:id="7" w:name="_Hlk170454563"/>
      <w:r w:rsidRPr="00E519DD">
        <w:rPr>
          <w:rFonts w:eastAsiaTheme="minorEastAsia"/>
          <w:b/>
          <w:bCs/>
          <w:kern w:val="24"/>
        </w:rPr>
        <w:t xml:space="preserve">Supplementary Figure 7: </w:t>
      </w:r>
      <w:r w:rsidRPr="00E519DD">
        <w:rPr>
          <w:rFonts w:eastAsiaTheme="minorEastAsia"/>
          <w:kern w:val="24"/>
        </w:rPr>
        <w:t>Systemic CD4 and CD8 T cell frequencies in macaques that received the 3D IVR:</w:t>
      </w:r>
      <w:r w:rsidRPr="00E519DD">
        <w:rPr>
          <w:rFonts w:eastAsiaTheme="minorEastAsia"/>
          <w:b/>
          <w:bCs/>
          <w:kern w:val="24"/>
        </w:rPr>
        <w:t xml:space="preserve"> </w:t>
      </w:r>
      <w:r w:rsidRPr="00E519DD">
        <w:rPr>
          <w:rFonts w:eastAsiaTheme="minorEastAsia"/>
          <w:kern w:val="24"/>
        </w:rPr>
        <w:t xml:space="preserve"> Detection of systemic CD4+ and CD8+ T cells were found to be consistent in all the three macaques while the ring releasing the three drugs were present in the macaques and post removal.</w:t>
      </w:r>
    </w:p>
    <w:bookmarkEnd w:id="7"/>
    <w:p w14:paraId="2033B0BD" w14:textId="77777777" w:rsidR="009E7BF2" w:rsidRPr="00E519DD" w:rsidRDefault="009E7BF2" w:rsidP="009E7BF2">
      <w:pPr>
        <w:pStyle w:val="NormalWeb"/>
        <w:spacing w:before="0" w:beforeAutospacing="0" w:after="0" w:afterAutospacing="0" w:line="480" w:lineRule="auto"/>
        <w:rPr>
          <w:rFonts w:ascii="Arial" w:hAnsi="Arial" w:cs="Arial"/>
          <w:sz w:val="22"/>
          <w:szCs w:val="22"/>
        </w:rPr>
      </w:pPr>
    </w:p>
    <w:p w14:paraId="7A100D36" w14:textId="1FDAB080" w:rsidR="009E7BF2" w:rsidRPr="00E519DD" w:rsidRDefault="009E7BF2" w:rsidP="009E7BF2">
      <w:pPr>
        <w:spacing w:line="480" w:lineRule="auto"/>
        <w:jc w:val="both"/>
        <w:rPr>
          <w:rFonts w:ascii="Times New Roman" w:hAnsi="Times New Roman" w:cs="Times New Roman"/>
        </w:rPr>
      </w:pPr>
      <w:bookmarkStart w:id="8" w:name="_Hlk170454597"/>
      <w:r w:rsidRPr="00E519DD">
        <w:rPr>
          <w:rFonts w:ascii="Times New Roman" w:hAnsi="Times New Roman" w:cs="Times New Roman"/>
          <w:b/>
          <w:bCs/>
        </w:rPr>
        <w:t>Supplementa</w:t>
      </w:r>
      <w:r w:rsidR="00CB229D">
        <w:rPr>
          <w:rFonts w:ascii="Times New Roman" w:hAnsi="Times New Roman" w:cs="Times New Roman"/>
          <w:b/>
          <w:bCs/>
        </w:rPr>
        <w:t>ry</w:t>
      </w:r>
      <w:r w:rsidRPr="00E519DD">
        <w:rPr>
          <w:rFonts w:ascii="Times New Roman" w:hAnsi="Times New Roman" w:cs="Times New Roman"/>
          <w:b/>
          <w:bCs/>
        </w:rPr>
        <w:t xml:space="preserve"> Table 3. Metrics for in vivo testing of the triple-drug IVR in pigtail macaque. </w:t>
      </w:r>
      <w:r w:rsidRPr="00E519DD">
        <w:rPr>
          <w:rFonts w:ascii="Times New Roman" w:hAnsi="Times New Roman" w:cs="Times New Roman"/>
        </w:rPr>
        <w:t xml:space="preserve">A) Weights of n=3 macaque used in the study. B) Dosing per animal based on API loaded (mg) onto the IVR and weight (kg) of each macaque respectively. </w:t>
      </w:r>
    </w:p>
    <w:bookmarkEnd w:id="8"/>
    <w:p w14:paraId="54D7C68E" w14:textId="77777777" w:rsidR="009E7BF2" w:rsidRPr="00E519DD" w:rsidRDefault="009E7BF2" w:rsidP="009E7BF2">
      <w:pPr>
        <w:jc w:val="both"/>
        <w:rPr>
          <w:rFonts w:ascii="Times New Roman" w:hAnsi="Times New Roman" w:cs="Times New Roman"/>
          <w:b/>
          <w:bCs/>
        </w:rPr>
      </w:pPr>
      <w:r w:rsidRPr="00E519DD">
        <w:rPr>
          <w:rFonts w:ascii="Times New Roman" w:hAnsi="Times New Roman" w:cs="Times New Roman"/>
          <w:b/>
          <w:bCs/>
          <w:noProof/>
          <w:lang w:val="en-IN" w:eastAsia="en-IN"/>
        </w:rPr>
        <w:lastRenderedPageBreak/>
        <w:drawing>
          <wp:inline distT="0" distB="0" distL="0" distR="0" wp14:anchorId="5D235E18" wp14:editId="30DDA1A0">
            <wp:extent cx="5395784" cy="2926175"/>
            <wp:effectExtent l="0" t="0" r="1905" b="0"/>
            <wp:docPr id="1759372780" name="Picture 1759372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54120" cy="2957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90BAD" w14:textId="77777777" w:rsidR="009E7BF2" w:rsidRPr="00E519DD" w:rsidRDefault="009E7BF2" w:rsidP="009E7BF2">
      <w:pPr>
        <w:jc w:val="both"/>
        <w:rPr>
          <w:rFonts w:ascii="Times New Roman" w:hAnsi="Times New Roman" w:cs="Times New Roman"/>
          <w:b/>
          <w:bCs/>
        </w:rPr>
      </w:pPr>
    </w:p>
    <w:p w14:paraId="2B71E0BD" w14:textId="002CAD5B" w:rsidR="009E7BF2" w:rsidRPr="00E519DD" w:rsidRDefault="009E7BF2" w:rsidP="009E7BF2">
      <w:pPr>
        <w:jc w:val="both"/>
        <w:rPr>
          <w:rFonts w:ascii="Times New Roman" w:hAnsi="Times New Roman" w:cs="Times New Roman"/>
          <w:b/>
          <w:bCs/>
        </w:rPr>
      </w:pPr>
    </w:p>
    <w:p w14:paraId="4AC773EC" w14:textId="638EC98E" w:rsidR="009E7BF2" w:rsidRPr="00E519DD" w:rsidRDefault="009E7BF2" w:rsidP="009E7BF2">
      <w:pPr>
        <w:spacing w:line="480" w:lineRule="auto"/>
        <w:jc w:val="both"/>
        <w:rPr>
          <w:rFonts w:ascii="Times New Roman" w:hAnsi="Times New Roman" w:cs="Times New Roman"/>
        </w:rPr>
      </w:pPr>
      <w:bookmarkStart w:id="9" w:name="_Hlk170454625"/>
      <w:r w:rsidRPr="00E519DD">
        <w:rPr>
          <w:rFonts w:ascii="Times New Roman" w:hAnsi="Times New Roman" w:cs="Times New Roman"/>
          <w:b/>
          <w:bCs/>
        </w:rPr>
        <w:t>Supplementa</w:t>
      </w:r>
      <w:r w:rsidR="00CB229D">
        <w:rPr>
          <w:rFonts w:ascii="Times New Roman" w:hAnsi="Times New Roman" w:cs="Times New Roman"/>
          <w:b/>
          <w:bCs/>
        </w:rPr>
        <w:t>ry</w:t>
      </w:r>
      <w:r w:rsidRPr="00E519DD">
        <w:rPr>
          <w:rFonts w:ascii="Times New Roman" w:hAnsi="Times New Roman" w:cs="Times New Roman"/>
          <w:b/>
          <w:bCs/>
        </w:rPr>
        <w:t xml:space="preserve"> Table 4. The pharmacokinetic results for each API from the in vivo study.  </w:t>
      </w:r>
      <w:r w:rsidRPr="00E519DD">
        <w:rPr>
          <w:rFonts w:ascii="Times New Roman" w:hAnsi="Times New Roman" w:cs="Times New Roman"/>
        </w:rPr>
        <w:t xml:space="preserve">Median concentrations for the group (n=3) for plasma and vaginal fluid (proximal and distal) are listed for each API across all time points. </w:t>
      </w:r>
    </w:p>
    <w:bookmarkEnd w:id="9"/>
    <w:p w14:paraId="60B70697" w14:textId="77777777" w:rsidR="009E7BF2" w:rsidRPr="00E519DD" w:rsidRDefault="009E7BF2" w:rsidP="009E7BF2">
      <w:pPr>
        <w:jc w:val="both"/>
        <w:rPr>
          <w:rFonts w:ascii="Times New Roman" w:hAnsi="Times New Roman" w:cs="Times New Roman"/>
          <w:b/>
          <w:bCs/>
        </w:rPr>
      </w:pPr>
    </w:p>
    <w:p w14:paraId="6884B13C" w14:textId="77777777" w:rsidR="009E7BF2" w:rsidRPr="00E519DD" w:rsidRDefault="009E7BF2" w:rsidP="009E7BF2">
      <w:pPr>
        <w:jc w:val="both"/>
        <w:rPr>
          <w:rFonts w:ascii="Times New Roman" w:hAnsi="Times New Roman" w:cs="Times New Roman"/>
          <w:b/>
          <w:bCs/>
        </w:rPr>
      </w:pPr>
    </w:p>
    <w:p w14:paraId="45903798" w14:textId="77777777" w:rsidR="009E7BF2" w:rsidRPr="00E519DD" w:rsidRDefault="009E7BF2" w:rsidP="009E7BF2">
      <w:pPr>
        <w:jc w:val="both"/>
        <w:rPr>
          <w:rFonts w:ascii="Times New Roman" w:hAnsi="Times New Roman" w:cs="Times New Roman"/>
          <w:b/>
          <w:bCs/>
        </w:rPr>
      </w:pPr>
      <w:r w:rsidRPr="00E519DD">
        <w:rPr>
          <w:noProof/>
          <w:lang w:val="en-IN" w:eastAsia="en-IN"/>
        </w:rPr>
        <w:drawing>
          <wp:inline distT="0" distB="0" distL="0" distR="0" wp14:anchorId="418E47F9" wp14:editId="0A6BF4ED">
            <wp:extent cx="6054436" cy="2885838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022" cy="2887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1922B" w14:textId="77777777" w:rsidR="009E7BF2" w:rsidRPr="00E519DD" w:rsidRDefault="009E7BF2" w:rsidP="009E7BF2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5F414E31" w14:textId="77777777" w:rsidR="00094E9F" w:rsidRPr="009E7BF2" w:rsidRDefault="00094E9F" w:rsidP="009E7BF2"/>
    <w:sectPr w:rsidR="00094E9F" w:rsidRPr="009E7B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0342B" w14:textId="77777777" w:rsidR="00D23CEC" w:rsidRDefault="00D23CEC" w:rsidP="00CB229D">
      <w:r>
        <w:separator/>
      </w:r>
    </w:p>
  </w:endnote>
  <w:endnote w:type="continuationSeparator" w:id="0">
    <w:p w14:paraId="4DFEB17C" w14:textId="77777777" w:rsidR="00D23CEC" w:rsidRDefault="00D23CEC" w:rsidP="00CB2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4FC58" w14:textId="77777777" w:rsidR="00D23CEC" w:rsidRDefault="00D23CEC" w:rsidP="00CB229D">
      <w:r>
        <w:separator/>
      </w:r>
    </w:p>
  </w:footnote>
  <w:footnote w:type="continuationSeparator" w:id="0">
    <w:p w14:paraId="370A2CCE" w14:textId="77777777" w:rsidR="00D23CEC" w:rsidRDefault="00D23CEC" w:rsidP="00CB22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otal_Editing_Time" w:val="0"/>
  </w:docVars>
  <w:rsids>
    <w:rsidRoot w:val="00C4102C"/>
    <w:rsid w:val="00094E9F"/>
    <w:rsid w:val="002A117F"/>
    <w:rsid w:val="00424982"/>
    <w:rsid w:val="009E7BF2"/>
    <w:rsid w:val="00C4102C"/>
    <w:rsid w:val="00CB229D"/>
    <w:rsid w:val="00D23CEC"/>
    <w:rsid w:val="00F5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2D513"/>
  <w15:chartTrackingRefBased/>
  <w15:docId w15:val="{987DCD1D-7B25-4506-BA9D-FB5894AF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02C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102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B22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229D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B22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229D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E504768</dc:creator>
  <cp:keywords/>
  <dc:description/>
  <cp:lastModifiedBy>Srinivasan, Priya (CDC/NCHHSTP/DHP)</cp:lastModifiedBy>
  <cp:revision>2</cp:revision>
  <dcterms:created xsi:type="dcterms:W3CDTF">2024-11-15T18:46:00Z</dcterms:created>
  <dcterms:modified xsi:type="dcterms:W3CDTF">2024-11-15T18:46:00Z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2024-11-15T18:45:36Z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33a1a92f-5b72-41ab-8ab2-f9ed5b0a0c08</vt:lpwstr>
  </property>
  <property fmtid="{D5CDD505-2E9C-101B-9397-08002B2CF9AE}" pid="8" name="MSIP_Label_7b94a7b8-f06c-4dfe-bdcc-9b548fd58c31_ContentBits">
    <vt:lpwstr>0</vt:lpwstr>
  </property>
</Properties>
</file>