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B429C0" w14:textId="0308EA2E" w:rsidR="00453257" w:rsidRPr="0080718A" w:rsidRDefault="00FC4F99" w:rsidP="0080718A">
      <w:pPr>
        <w:rPr>
          <w:b/>
          <w:bCs/>
          <w:sz w:val="28"/>
          <w:szCs w:val="28"/>
        </w:rPr>
      </w:pPr>
      <w:r w:rsidRPr="0080718A">
        <w:rPr>
          <w:b/>
          <w:bCs/>
          <w:sz w:val="28"/>
          <w:szCs w:val="28"/>
        </w:rPr>
        <w:t>Supplementa</w:t>
      </w:r>
      <w:r w:rsidR="00973DC6" w:rsidRPr="0080718A">
        <w:rPr>
          <w:b/>
          <w:bCs/>
          <w:sz w:val="28"/>
          <w:szCs w:val="28"/>
        </w:rPr>
        <w:t>l</w:t>
      </w:r>
      <w:r w:rsidRPr="0080718A">
        <w:rPr>
          <w:b/>
          <w:bCs/>
          <w:sz w:val="28"/>
          <w:szCs w:val="28"/>
        </w:rPr>
        <w:t xml:space="preserve"> Material</w:t>
      </w:r>
    </w:p>
    <w:p w14:paraId="080CAA4D" w14:textId="77777777" w:rsidR="00B02066" w:rsidRPr="0080718A" w:rsidRDefault="00B02066" w:rsidP="0080718A">
      <w:pPr>
        <w:rPr>
          <w:b/>
          <w:bCs/>
          <w:sz w:val="28"/>
          <w:szCs w:val="28"/>
        </w:rPr>
      </w:pPr>
    </w:p>
    <w:p w14:paraId="0EE1BFF5" w14:textId="77777777" w:rsidR="00B02066" w:rsidRPr="0080718A" w:rsidRDefault="00B02066" w:rsidP="0080718A">
      <w:pPr>
        <w:rPr>
          <w:b/>
          <w:bCs/>
          <w:sz w:val="28"/>
          <w:szCs w:val="28"/>
        </w:rPr>
      </w:pPr>
      <w:r w:rsidRPr="0080718A">
        <w:rPr>
          <w:b/>
          <w:bCs/>
          <w:sz w:val="28"/>
          <w:szCs w:val="28"/>
        </w:rPr>
        <w:t xml:space="preserve">Applying Finite Mixture Models to Quantify Respirable Dust Mass in Coal and Metal–Nonmetal Mines Using Fourier Transform Infrared Spectroscopy </w:t>
      </w:r>
    </w:p>
    <w:p w14:paraId="4AF268B4" w14:textId="77777777" w:rsidR="000B4AA1" w:rsidRDefault="000B4AA1" w:rsidP="0080718A">
      <w:pPr>
        <w:rPr>
          <w:szCs w:val="24"/>
        </w:rPr>
      </w:pPr>
    </w:p>
    <w:p w14:paraId="4CC0B7EB" w14:textId="50A7916A" w:rsidR="0080718A" w:rsidRPr="0080718A" w:rsidRDefault="00B02066" w:rsidP="0080718A">
      <w:pPr>
        <w:rPr>
          <w:szCs w:val="24"/>
        </w:rPr>
      </w:pPr>
      <w:r w:rsidRPr="00B02066">
        <w:rPr>
          <w:szCs w:val="24"/>
        </w:rPr>
        <w:t>Andrew T. Weakley</w:t>
      </w:r>
      <w:r w:rsidRPr="00B02066">
        <w:rPr>
          <w:szCs w:val="24"/>
          <w:vertAlign w:val="superscript"/>
        </w:rPr>
        <w:t>1</w:t>
      </w:r>
      <w:r w:rsidRPr="00B02066">
        <w:rPr>
          <w:szCs w:val="24"/>
        </w:rPr>
        <w:t>*, David A. Parks</w:t>
      </w:r>
      <w:r w:rsidRPr="00B02066">
        <w:rPr>
          <w:szCs w:val="24"/>
          <w:vertAlign w:val="superscript"/>
        </w:rPr>
        <w:t>2</w:t>
      </w:r>
      <w:r w:rsidRPr="00B02066">
        <w:rPr>
          <w:szCs w:val="24"/>
        </w:rPr>
        <w:t>, and Arthur L. Miller</w:t>
      </w:r>
      <w:r w:rsidRPr="00B02066">
        <w:rPr>
          <w:szCs w:val="24"/>
          <w:vertAlign w:val="superscript"/>
        </w:rPr>
        <w:t>2</w:t>
      </w:r>
    </w:p>
    <w:p w14:paraId="64E15EC1" w14:textId="77777777" w:rsidR="00B02066" w:rsidRPr="00B02066" w:rsidRDefault="00B02066" w:rsidP="0080718A">
      <w:pPr>
        <w:rPr>
          <w:szCs w:val="24"/>
        </w:rPr>
      </w:pPr>
      <w:r w:rsidRPr="00B02066">
        <w:rPr>
          <w:szCs w:val="24"/>
          <w:vertAlign w:val="superscript"/>
        </w:rPr>
        <w:t>1</w:t>
      </w:r>
      <w:r w:rsidRPr="00B02066">
        <w:rPr>
          <w:szCs w:val="24"/>
        </w:rPr>
        <w:t>University of California Davis Health, Sacramento, California, USA</w:t>
      </w:r>
    </w:p>
    <w:p w14:paraId="69811871" w14:textId="0C86E54D" w:rsidR="00B02066" w:rsidRPr="00B02066" w:rsidRDefault="00B02066" w:rsidP="0080718A">
      <w:pPr>
        <w:rPr>
          <w:szCs w:val="24"/>
        </w:rPr>
      </w:pPr>
      <w:r w:rsidRPr="00B02066">
        <w:rPr>
          <w:szCs w:val="24"/>
          <w:vertAlign w:val="superscript"/>
        </w:rPr>
        <w:t>2</w:t>
      </w:r>
      <w:r w:rsidRPr="00B02066">
        <w:rPr>
          <w:szCs w:val="24"/>
        </w:rPr>
        <w:t>National Institute for Occupational Safety and Health (NIOSH), Spokane, Washington, USA</w:t>
      </w:r>
    </w:p>
    <w:p w14:paraId="7104CD85" w14:textId="77777777" w:rsidR="000B4AA1" w:rsidRDefault="000B4AA1" w:rsidP="0080718A">
      <w:pPr>
        <w:rPr>
          <w:szCs w:val="24"/>
        </w:rPr>
      </w:pPr>
    </w:p>
    <w:p w14:paraId="4C5E516A" w14:textId="4782690C" w:rsidR="00FA6462" w:rsidRDefault="00B02066" w:rsidP="0080718A">
      <w:pPr>
        <w:rPr>
          <w:szCs w:val="24"/>
        </w:rPr>
      </w:pPr>
      <w:r w:rsidRPr="00B02066">
        <w:rPr>
          <w:szCs w:val="24"/>
        </w:rPr>
        <w:t xml:space="preserve">*Corresponding author email: weak5174@gmail.com </w:t>
      </w:r>
    </w:p>
    <w:p w14:paraId="409D5DDF" w14:textId="77777777" w:rsidR="00FA6462" w:rsidRDefault="00FA6462" w:rsidP="0080718A">
      <w:pPr>
        <w:rPr>
          <w:szCs w:val="24"/>
        </w:rPr>
      </w:pPr>
    </w:p>
    <w:p w14:paraId="5A282359" w14:textId="6C91D3E8" w:rsidR="00FC4F99" w:rsidRDefault="00FC4F99" w:rsidP="0080718A">
      <w:pPr>
        <w:rPr>
          <w:szCs w:val="24"/>
        </w:rPr>
      </w:pPr>
      <w:r w:rsidRPr="006E2E8D">
        <w:rPr>
          <w:szCs w:val="24"/>
        </w:rPr>
        <w:t xml:space="preserve">Supporting material presents additional details related to the exploratory principal component analysis (Section S1), redundancy of the “cassette type” gating variable in the Method of Expert’s (MoE) model (S2), percentage bias statistics for </w:t>
      </w:r>
      <w:r w:rsidR="004C3718">
        <w:rPr>
          <w:szCs w:val="24"/>
        </w:rPr>
        <w:t>the tested models (S3),</w:t>
      </w:r>
      <w:r w:rsidR="00DD23BB">
        <w:rPr>
          <w:szCs w:val="24"/>
        </w:rPr>
        <w:t xml:space="preserve"> and the PLS score plot used as predictors in all calibrations</w:t>
      </w:r>
      <w:r w:rsidR="00FF518F">
        <w:rPr>
          <w:szCs w:val="24"/>
        </w:rPr>
        <w:t xml:space="preserve"> (S4).</w:t>
      </w:r>
    </w:p>
    <w:p w14:paraId="317B68A3" w14:textId="77777777" w:rsidR="0080718A" w:rsidRPr="006E2E8D" w:rsidRDefault="0080718A" w:rsidP="0080718A">
      <w:pPr>
        <w:rPr>
          <w:szCs w:val="24"/>
        </w:rPr>
      </w:pPr>
    </w:p>
    <w:sdt>
      <w:sdtPr>
        <w:rPr>
          <w:sz w:val="22"/>
        </w:rPr>
        <w:id w:val="355619501"/>
        <w:docPartObj>
          <w:docPartGallery w:val="Table of Contents"/>
          <w:docPartUnique/>
        </w:docPartObj>
      </w:sdtPr>
      <w:sdtEndPr>
        <w:rPr>
          <w:sz w:val="24"/>
        </w:rPr>
      </w:sdtEndPr>
      <w:sdtContent>
        <w:p w14:paraId="50E0EC31" w14:textId="77777777" w:rsidR="00FC4F99" w:rsidRPr="0080718A" w:rsidRDefault="00FC4F99" w:rsidP="0080718A">
          <w:pPr>
            <w:rPr>
              <w:b/>
              <w:bCs/>
            </w:rPr>
          </w:pPr>
          <w:r w:rsidRPr="0080718A">
            <w:rPr>
              <w:b/>
              <w:bCs/>
            </w:rPr>
            <w:t>Contents</w:t>
          </w:r>
        </w:p>
        <w:p w14:paraId="5FD1EBFD" w14:textId="77777777" w:rsidR="00431E6D" w:rsidRPr="00C44C5E" w:rsidRDefault="008C5AB4" w:rsidP="0080718A">
          <w:pPr>
            <w:rPr>
              <w:rFonts w:eastAsiaTheme="minorEastAsia"/>
              <w:i/>
            </w:rPr>
          </w:pPr>
          <w:r w:rsidRPr="00C44C5E">
            <w:rPr>
              <w:i/>
              <w:noProof/>
            </w:rPr>
            <w:fldChar w:fldCharType="begin"/>
          </w:r>
          <w:r w:rsidR="00FC4F99" w:rsidRPr="00C44C5E">
            <w:instrText xml:space="preserve"> TOC \o "1-3" \h \z \u </w:instrText>
          </w:r>
          <w:r w:rsidRPr="00C44C5E">
            <w:rPr>
              <w:i/>
              <w:noProof/>
            </w:rPr>
            <w:fldChar w:fldCharType="separate"/>
          </w:r>
          <w:hyperlink w:anchor="_Toc171261410" w:history="1">
            <w:r w:rsidR="00431E6D" w:rsidRPr="00C44C5E">
              <w:rPr>
                <w:rStyle w:val="Hyperlink"/>
              </w:rPr>
              <w:t>S1</w:t>
            </w:r>
            <w:r w:rsidR="00431E6D" w:rsidRPr="00C44C5E">
              <w:rPr>
                <w:rFonts w:eastAsiaTheme="minorEastAsia"/>
              </w:rPr>
              <w:tab/>
            </w:r>
            <w:r w:rsidR="00431E6D" w:rsidRPr="00C44C5E">
              <w:rPr>
                <w:rStyle w:val="Hyperlink"/>
              </w:rPr>
              <w:t xml:space="preserve"> PCA eigenvectors and score plots</w:t>
            </w:r>
            <w:r w:rsidR="00431E6D" w:rsidRPr="00C44C5E">
              <w:rPr>
                <w:webHidden/>
              </w:rPr>
              <w:tab/>
            </w:r>
            <w:r w:rsidRPr="00C44C5E">
              <w:rPr>
                <w:i/>
                <w:webHidden/>
              </w:rPr>
              <w:fldChar w:fldCharType="begin"/>
            </w:r>
            <w:r w:rsidR="00431E6D" w:rsidRPr="00C44C5E">
              <w:rPr>
                <w:webHidden/>
              </w:rPr>
              <w:instrText xml:space="preserve"> PAGEREF _Toc171261410 \h </w:instrText>
            </w:r>
            <w:r w:rsidRPr="00C44C5E">
              <w:rPr>
                <w:i/>
                <w:webHidden/>
              </w:rPr>
            </w:r>
            <w:r w:rsidRPr="00C44C5E">
              <w:rPr>
                <w:i/>
                <w:webHidden/>
              </w:rPr>
              <w:fldChar w:fldCharType="separate"/>
            </w:r>
            <w:r w:rsidR="00431E6D" w:rsidRPr="00C44C5E">
              <w:rPr>
                <w:webHidden/>
              </w:rPr>
              <w:t>3</w:t>
            </w:r>
            <w:r w:rsidRPr="00C44C5E">
              <w:rPr>
                <w:i/>
                <w:webHidden/>
              </w:rPr>
              <w:fldChar w:fldCharType="end"/>
            </w:r>
          </w:hyperlink>
        </w:p>
        <w:p w14:paraId="13574119" w14:textId="77777777" w:rsidR="0049248C" w:rsidRPr="00C44C5E" w:rsidRDefault="009C3D1F" w:rsidP="0080718A">
          <w:hyperlink w:anchor="_Toc171261411" w:history="1">
            <w:r w:rsidR="00431E6D" w:rsidRPr="00C44C5E">
              <w:rPr>
                <w:rStyle w:val="Hyperlink"/>
                <w:rFonts w:cs="Times New Roman"/>
                <w:noProof/>
              </w:rPr>
              <w:t>Figure S1: Eigenvectors (sometimes referred to colloquially as loadings) for the first and second principal components (PCs).</w:t>
            </w:r>
            <w:r w:rsidR="00431E6D" w:rsidRPr="00C44C5E">
              <w:rPr>
                <w:noProof/>
                <w:webHidden/>
              </w:rPr>
              <w:tab/>
            </w:r>
            <w:r w:rsidR="008C5AB4" w:rsidRPr="00C44C5E">
              <w:rPr>
                <w:noProof/>
                <w:webHidden/>
              </w:rPr>
              <w:fldChar w:fldCharType="begin"/>
            </w:r>
            <w:r w:rsidR="00431E6D" w:rsidRPr="00C44C5E">
              <w:rPr>
                <w:noProof/>
                <w:webHidden/>
              </w:rPr>
              <w:instrText xml:space="preserve"> PAGEREF _Toc171261411 \h </w:instrText>
            </w:r>
            <w:r w:rsidR="008C5AB4" w:rsidRPr="00C44C5E">
              <w:rPr>
                <w:noProof/>
                <w:webHidden/>
              </w:rPr>
            </w:r>
            <w:r w:rsidR="008C5AB4" w:rsidRPr="00C44C5E">
              <w:rPr>
                <w:noProof/>
                <w:webHidden/>
              </w:rPr>
              <w:fldChar w:fldCharType="separate"/>
            </w:r>
            <w:r w:rsidR="00431E6D" w:rsidRPr="00C44C5E">
              <w:rPr>
                <w:noProof/>
                <w:webHidden/>
              </w:rPr>
              <w:t>3</w:t>
            </w:r>
            <w:r w:rsidR="008C5AB4" w:rsidRPr="00C44C5E">
              <w:rPr>
                <w:noProof/>
                <w:webHidden/>
              </w:rPr>
              <w:fldChar w:fldCharType="end"/>
            </w:r>
          </w:hyperlink>
        </w:p>
        <w:p w14:paraId="15691D0C" w14:textId="77777777" w:rsidR="0049248C" w:rsidRPr="00C44C5E" w:rsidRDefault="009C3D1F" w:rsidP="0080718A">
          <w:hyperlink w:anchor="_Toc171261412" w:history="1">
            <w:r w:rsidR="00431E6D" w:rsidRPr="00C44C5E">
              <w:rPr>
                <w:rStyle w:val="Hyperlink"/>
                <w:rFonts w:cs="Times New Roman"/>
              </w:rPr>
              <w:t>Figure S2: Eigenvectors for PC3 and PC4.</w:t>
            </w:r>
            <w:r w:rsidR="00431E6D" w:rsidRPr="00C44C5E">
              <w:rPr>
                <w:webHidden/>
              </w:rPr>
              <w:tab/>
            </w:r>
            <w:r w:rsidR="008C5AB4" w:rsidRPr="00C44C5E">
              <w:rPr>
                <w:webHidden/>
              </w:rPr>
              <w:fldChar w:fldCharType="begin"/>
            </w:r>
            <w:r w:rsidR="00431E6D" w:rsidRPr="00C44C5E">
              <w:rPr>
                <w:webHidden/>
              </w:rPr>
              <w:instrText xml:space="preserve"> PAGEREF _Toc171261412 \h </w:instrText>
            </w:r>
            <w:r w:rsidR="008C5AB4" w:rsidRPr="00C44C5E">
              <w:rPr>
                <w:webHidden/>
              </w:rPr>
            </w:r>
            <w:r w:rsidR="008C5AB4" w:rsidRPr="00C44C5E">
              <w:rPr>
                <w:webHidden/>
              </w:rPr>
              <w:fldChar w:fldCharType="separate"/>
            </w:r>
            <w:r w:rsidR="00431E6D" w:rsidRPr="00C44C5E">
              <w:rPr>
                <w:webHidden/>
              </w:rPr>
              <w:t>4</w:t>
            </w:r>
            <w:r w:rsidR="008C5AB4" w:rsidRPr="00C44C5E">
              <w:rPr>
                <w:webHidden/>
              </w:rPr>
              <w:fldChar w:fldCharType="end"/>
            </w:r>
          </w:hyperlink>
        </w:p>
        <w:p w14:paraId="7C8C1B57" w14:textId="77777777" w:rsidR="0049248C" w:rsidRPr="00C44C5E" w:rsidRDefault="009C3D1F" w:rsidP="0080718A">
          <w:pPr>
            <w:rPr>
              <w:rFonts w:eastAsiaTheme="minorEastAsia"/>
              <w:noProof/>
            </w:rPr>
          </w:pPr>
          <w:hyperlink w:anchor="_Toc171261413" w:history="1">
            <w:r w:rsidR="00431E6D" w:rsidRPr="00C44C5E">
              <w:rPr>
                <w:rStyle w:val="Hyperlink"/>
                <w:rFonts w:cs="Times New Roman"/>
              </w:rPr>
              <w:t>Figure S</w:t>
            </w:r>
            <w:r w:rsidR="0049248C" w:rsidRPr="00C44C5E">
              <w:rPr>
                <w:rStyle w:val="Hyperlink"/>
                <w:rFonts w:cs="Times New Roman"/>
              </w:rPr>
              <w:t>3: Eigenvectors for PC5 and PC6</w:t>
            </w:r>
            <w:r w:rsidR="00431E6D" w:rsidRPr="00C44C5E">
              <w:rPr>
                <w:rStyle w:val="Hyperlink"/>
                <w:rFonts w:cs="Times New Roman"/>
              </w:rPr>
              <w:t>.</w:t>
            </w:r>
            <w:r w:rsidR="00431E6D" w:rsidRPr="00C44C5E">
              <w:rPr>
                <w:webHidden/>
              </w:rPr>
              <w:tab/>
            </w:r>
            <w:r w:rsidR="008C5AB4" w:rsidRPr="00C44C5E">
              <w:rPr>
                <w:webHidden/>
              </w:rPr>
              <w:fldChar w:fldCharType="begin"/>
            </w:r>
            <w:r w:rsidR="00431E6D" w:rsidRPr="00C44C5E">
              <w:rPr>
                <w:webHidden/>
              </w:rPr>
              <w:instrText xml:space="preserve"> PAGEREF _Toc171261413 \h </w:instrText>
            </w:r>
            <w:r w:rsidR="008C5AB4" w:rsidRPr="00C44C5E">
              <w:rPr>
                <w:webHidden/>
              </w:rPr>
            </w:r>
            <w:r w:rsidR="008C5AB4" w:rsidRPr="00C44C5E">
              <w:rPr>
                <w:webHidden/>
              </w:rPr>
              <w:fldChar w:fldCharType="separate"/>
            </w:r>
            <w:r w:rsidR="00431E6D" w:rsidRPr="00C44C5E">
              <w:rPr>
                <w:webHidden/>
              </w:rPr>
              <w:t>5</w:t>
            </w:r>
            <w:r w:rsidR="008C5AB4" w:rsidRPr="00C44C5E">
              <w:rPr>
                <w:webHidden/>
              </w:rPr>
              <w:fldChar w:fldCharType="end"/>
            </w:r>
          </w:hyperlink>
        </w:p>
        <w:p w14:paraId="2601CB79" w14:textId="77777777" w:rsidR="00431E6D" w:rsidRPr="00C44C5E" w:rsidRDefault="009C3D1F" w:rsidP="0080718A">
          <w:pPr>
            <w:rPr>
              <w:rFonts w:eastAsiaTheme="minorEastAsia"/>
              <w:noProof/>
            </w:rPr>
          </w:pPr>
          <w:hyperlink w:anchor="_Toc171261414" w:history="1">
            <w:r w:rsidR="00431E6D" w:rsidRPr="00C44C5E">
              <w:rPr>
                <w:rStyle w:val="Hyperlink"/>
                <w:rFonts w:cs="Times New Roman"/>
                <w:noProof/>
              </w:rPr>
              <w:t>Figure S4: The first two principal component scores.</w:t>
            </w:r>
            <w:r w:rsidR="00431E6D" w:rsidRPr="00C44C5E">
              <w:rPr>
                <w:noProof/>
                <w:webHidden/>
              </w:rPr>
              <w:tab/>
            </w:r>
            <w:r w:rsidR="008C5AB4" w:rsidRPr="00C44C5E">
              <w:rPr>
                <w:noProof/>
                <w:webHidden/>
              </w:rPr>
              <w:fldChar w:fldCharType="begin"/>
            </w:r>
            <w:r w:rsidR="00431E6D" w:rsidRPr="00C44C5E">
              <w:rPr>
                <w:noProof/>
                <w:webHidden/>
              </w:rPr>
              <w:instrText xml:space="preserve"> PAGEREF _Toc171261414 \h </w:instrText>
            </w:r>
            <w:r w:rsidR="008C5AB4" w:rsidRPr="00C44C5E">
              <w:rPr>
                <w:noProof/>
                <w:webHidden/>
              </w:rPr>
            </w:r>
            <w:r w:rsidR="008C5AB4" w:rsidRPr="00C44C5E">
              <w:rPr>
                <w:noProof/>
                <w:webHidden/>
              </w:rPr>
              <w:fldChar w:fldCharType="separate"/>
            </w:r>
            <w:r w:rsidR="00431E6D" w:rsidRPr="00C44C5E">
              <w:rPr>
                <w:noProof/>
                <w:webHidden/>
              </w:rPr>
              <w:t>6</w:t>
            </w:r>
            <w:r w:rsidR="008C5AB4" w:rsidRPr="00C44C5E">
              <w:rPr>
                <w:noProof/>
                <w:webHidden/>
              </w:rPr>
              <w:fldChar w:fldCharType="end"/>
            </w:r>
          </w:hyperlink>
        </w:p>
        <w:p w14:paraId="2DE7A5F8" w14:textId="77777777" w:rsidR="00431E6D" w:rsidRPr="00C44C5E" w:rsidRDefault="009C3D1F" w:rsidP="0080718A">
          <w:pPr>
            <w:rPr>
              <w:rFonts w:eastAsiaTheme="minorEastAsia"/>
              <w:noProof/>
            </w:rPr>
          </w:pPr>
          <w:hyperlink w:anchor="_Toc171261415" w:history="1">
            <w:r w:rsidR="00431E6D" w:rsidRPr="00C44C5E">
              <w:rPr>
                <w:rStyle w:val="Hyperlink"/>
                <w:rFonts w:cs="Times New Roman"/>
                <w:noProof/>
              </w:rPr>
              <w:t>Figure S5: Second and third principal component scores illustrating the close association between mine</w:t>
            </w:r>
            <w:r w:rsidR="0049248C" w:rsidRPr="00C44C5E">
              <w:rPr>
                <w:rStyle w:val="Hyperlink"/>
                <w:rFonts w:cs="Times New Roman"/>
                <w:noProof/>
              </w:rPr>
              <w:t xml:space="preserve"> type (A) and cassette type (B)</w:t>
            </w:r>
            <w:r w:rsidR="00431E6D" w:rsidRPr="00C44C5E">
              <w:rPr>
                <w:noProof/>
                <w:webHidden/>
              </w:rPr>
              <w:tab/>
            </w:r>
            <w:r w:rsidR="008C5AB4" w:rsidRPr="00C44C5E">
              <w:rPr>
                <w:noProof/>
                <w:webHidden/>
              </w:rPr>
              <w:fldChar w:fldCharType="begin"/>
            </w:r>
            <w:r w:rsidR="00431E6D" w:rsidRPr="00C44C5E">
              <w:rPr>
                <w:noProof/>
                <w:webHidden/>
              </w:rPr>
              <w:instrText xml:space="preserve"> PAGEREF _Toc171261415 \h </w:instrText>
            </w:r>
            <w:r w:rsidR="008C5AB4" w:rsidRPr="00C44C5E">
              <w:rPr>
                <w:noProof/>
                <w:webHidden/>
              </w:rPr>
            </w:r>
            <w:r w:rsidR="008C5AB4" w:rsidRPr="00C44C5E">
              <w:rPr>
                <w:noProof/>
                <w:webHidden/>
              </w:rPr>
              <w:fldChar w:fldCharType="separate"/>
            </w:r>
            <w:r w:rsidR="00431E6D" w:rsidRPr="00C44C5E">
              <w:rPr>
                <w:noProof/>
                <w:webHidden/>
              </w:rPr>
              <w:t>7</w:t>
            </w:r>
            <w:r w:rsidR="008C5AB4" w:rsidRPr="00C44C5E">
              <w:rPr>
                <w:noProof/>
                <w:webHidden/>
              </w:rPr>
              <w:fldChar w:fldCharType="end"/>
            </w:r>
          </w:hyperlink>
        </w:p>
        <w:p w14:paraId="2AD6D9BC" w14:textId="77777777" w:rsidR="00431E6D" w:rsidRPr="00C44C5E" w:rsidRDefault="009C3D1F" w:rsidP="0080718A">
          <w:pPr>
            <w:rPr>
              <w:rFonts w:eastAsiaTheme="minorEastAsia"/>
              <w:i/>
            </w:rPr>
          </w:pPr>
          <w:hyperlink w:anchor="_Toc171261416" w:history="1">
            <w:r w:rsidR="00431E6D" w:rsidRPr="00C44C5E">
              <w:rPr>
                <w:rStyle w:val="Hyperlink"/>
              </w:rPr>
              <w:t>S2</w:t>
            </w:r>
            <w:r w:rsidR="00431E6D" w:rsidRPr="00C44C5E">
              <w:rPr>
                <w:rFonts w:eastAsiaTheme="minorEastAsia"/>
              </w:rPr>
              <w:tab/>
            </w:r>
            <w:r w:rsidR="00431E6D" w:rsidRPr="00C44C5E">
              <w:rPr>
                <w:rStyle w:val="Hyperlink"/>
              </w:rPr>
              <w:t xml:space="preserve"> Redundancy of “cassette type” gate variable</w:t>
            </w:r>
            <w:r w:rsidR="00431E6D" w:rsidRPr="00C44C5E">
              <w:rPr>
                <w:webHidden/>
              </w:rPr>
              <w:tab/>
            </w:r>
            <w:r w:rsidR="008C5AB4" w:rsidRPr="00C44C5E">
              <w:rPr>
                <w:i/>
                <w:webHidden/>
              </w:rPr>
              <w:fldChar w:fldCharType="begin"/>
            </w:r>
            <w:r w:rsidR="00431E6D" w:rsidRPr="00C44C5E">
              <w:rPr>
                <w:webHidden/>
              </w:rPr>
              <w:instrText xml:space="preserve"> PAGEREF _Toc171261416 \h </w:instrText>
            </w:r>
            <w:r w:rsidR="008C5AB4" w:rsidRPr="00C44C5E">
              <w:rPr>
                <w:i/>
                <w:webHidden/>
              </w:rPr>
            </w:r>
            <w:r w:rsidR="008C5AB4" w:rsidRPr="00C44C5E">
              <w:rPr>
                <w:i/>
                <w:webHidden/>
              </w:rPr>
              <w:fldChar w:fldCharType="separate"/>
            </w:r>
            <w:r w:rsidR="00431E6D" w:rsidRPr="00C44C5E">
              <w:rPr>
                <w:webHidden/>
              </w:rPr>
              <w:t>8</w:t>
            </w:r>
            <w:r w:rsidR="008C5AB4" w:rsidRPr="00C44C5E">
              <w:rPr>
                <w:i/>
                <w:webHidden/>
              </w:rPr>
              <w:fldChar w:fldCharType="end"/>
            </w:r>
          </w:hyperlink>
        </w:p>
        <w:p w14:paraId="0F6BD572" w14:textId="77777777" w:rsidR="00431E6D" w:rsidRPr="00C44C5E" w:rsidRDefault="009C3D1F" w:rsidP="0080718A">
          <w:pPr>
            <w:rPr>
              <w:rFonts w:eastAsiaTheme="minorEastAsia"/>
              <w:noProof/>
            </w:rPr>
          </w:pPr>
          <w:hyperlink w:anchor="_Toc171261417" w:history="1">
            <w:r w:rsidR="00431E6D" w:rsidRPr="00C44C5E">
              <w:rPr>
                <w:rStyle w:val="Hyperlink"/>
                <w:rFonts w:cs="Times New Roman"/>
                <w:noProof/>
              </w:rPr>
              <w:t>Table S1: Contingency Table for Mine and Cassette Type</w:t>
            </w:r>
            <w:r w:rsidR="0049248C" w:rsidRPr="00C44C5E">
              <w:rPr>
                <w:rStyle w:val="Hyperlink"/>
                <w:rFonts w:cs="Times New Roman"/>
                <w:noProof/>
              </w:rPr>
              <w:t xml:space="preserve"> Gating variables</w:t>
            </w:r>
            <w:r w:rsidR="00431E6D" w:rsidRPr="00C44C5E">
              <w:rPr>
                <w:rStyle w:val="Hyperlink"/>
                <w:rFonts w:cs="Times New Roman"/>
                <w:noProof/>
              </w:rPr>
              <w:t>.</w:t>
            </w:r>
            <w:r w:rsidR="00431E6D" w:rsidRPr="00C44C5E">
              <w:rPr>
                <w:noProof/>
                <w:webHidden/>
              </w:rPr>
              <w:tab/>
            </w:r>
            <w:r w:rsidR="008C5AB4" w:rsidRPr="00C44C5E">
              <w:rPr>
                <w:noProof/>
                <w:webHidden/>
              </w:rPr>
              <w:fldChar w:fldCharType="begin"/>
            </w:r>
            <w:r w:rsidR="00431E6D" w:rsidRPr="00C44C5E">
              <w:rPr>
                <w:noProof/>
                <w:webHidden/>
              </w:rPr>
              <w:instrText xml:space="preserve"> PAGEREF _Toc171261417 \h </w:instrText>
            </w:r>
            <w:r w:rsidR="008C5AB4" w:rsidRPr="00C44C5E">
              <w:rPr>
                <w:noProof/>
                <w:webHidden/>
              </w:rPr>
            </w:r>
            <w:r w:rsidR="008C5AB4" w:rsidRPr="00C44C5E">
              <w:rPr>
                <w:noProof/>
                <w:webHidden/>
              </w:rPr>
              <w:fldChar w:fldCharType="separate"/>
            </w:r>
            <w:r w:rsidR="00431E6D" w:rsidRPr="00C44C5E">
              <w:rPr>
                <w:noProof/>
                <w:webHidden/>
              </w:rPr>
              <w:t>8</w:t>
            </w:r>
            <w:r w:rsidR="008C5AB4" w:rsidRPr="00C44C5E">
              <w:rPr>
                <w:noProof/>
                <w:webHidden/>
              </w:rPr>
              <w:fldChar w:fldCharType="end"/>
            </w:r>
          </w:hyperlink>
        </w:p>
        <w:p w14:paraId="36E82937" w14:textId="77777777" w:rsidR="00431E6D" w:rsidRPr="00C44C5E" w:rsidRDefault="009C3D1F" w:rsidP="0080718A">
          <w:pPr>
            <w:rPr>
              <w:rFonts w:eastAsiaTheme="minorEastAsia"/>
              <w:i/>
            </w:rPr>
          </w:pPr>
          <w:hyperlink w:anchor="_Toc171261418" w:history="1">
            <w:r w:rsidR="00431E6D" w:rsidRPr="00C44C5E">
              <w:rPr>
                <w:rStyle w:val="Hyperlink"/>
              </w:rPr>
              <w:t>S3</w:t>
            </w:r>
            <w:r w:rsidR="00431E6D" w:rsidRPr="00C44C5E">
              <w:rPr>
                <w:rFonts w:eastAsiaTheme="minorEastAsia"/>
              </w:rPr>
              <w:tab/>
            </w:r>
            <w:r w:rsidR="00431E6D" w:rsidRPr="00C44C5E">
              <w:rPr>
                <w:rStyle w:val="Hyperlink"/>
              </w:rPr>
              <w:t>Median percentage bias by mine type for all models tested</w:t>
            </w:r>
            <w:r w:rsidR="00431E6D" w:rsidRPr="00C44C5E">
              <w:rPr>
                <w:webHidden/>
              </w:rPr>
              <w:tab/>
            </w:r>
            <w:r w:rsidR="008C5AB4" w:rsidRPr="00C44C5E">
              <w:rPr>
                <w:i/>
                <w:webHidden/>
              </w:rPr>
              <w:fldChar w:fldCharType="begin"/>
            </w:r>
            <w:r w:rsidR="00431E6D" w:rsidRPr="00C44C5E">
              <w:rPr>
                <w:webHidden/>
              </w:rPr>
              <w:instrText xml:space="preserve"> PAGEREF _Toc171261418 \h </w:instrText>
            </w:r>
            <w:r w:rsidR="008C5AB4" w:rsidRPr="00C44C5E">
              <w:rPr>
                <w:i/>
                <w:webHidden/>
              </w:rPr>
            </w:r>
            <w:r w:rsidR="008C5AB4" w:rsidRPr="00C44C5E">
              <w:rPr>
                <w:i/>
                <w:webHidden/>
              </w:rPr>
              <w:fldChar w:fldCharType="separate"/>
            </w:r>
            <w:r w:rsidR="00431E6D" w:rsidRPr="00C44C5E">
              <w:rPr>
                <w:webHidden/>
              </w:rPr>
              <w:t>9</w:t>
            </w:r>
            <w:r w:rsidR="008C5AB4" w:rsidRPr="00C44C5E">
              <w:rPr>
                <w:i/>
                <w:webHidden/>
              </w:rPr>
              <w:fldChar w:fldCharType="end"/>
            </w:r>
          </w:hyperlink>
        </w:p>
        <w:p w14:paraId="038202AB" w14:textId="77777777" w:rsidR="00431E6D" w:rsidRPr="00CB7A20" w:rsidRDefault="009C3D1F" w:rsidP="0080718A">
          <w:pPr>
            <w:rPr>
              <w:rFonts w:eastAsiaTheme="minorEastAsia"/>
              <w:noProof/>
            </w:rPr>
          </w:pPr>
          <w:hyperlink w:anchor="_Toc171261419" w:history="1">
            <w:r w:rsidR="00431E6D" w:rsidRPr="00CB7A20">
              <w:rPr>
                <w:rStyle w:val="Hyperlink"/>
                <w:rFonts w:cs="Times New Roman"/>
                <w:noProof/>
              </w:rPr>
              <w:t>Table S2: Median percentage bias and 95% bootstrap confidence i</w:t>
            </w:r>
            <w:r w:rsidR="00204682" w:rsidRPr="00CB7A20">
              <w:rPr>
                <w:rStyle w:val="Hyperlink"/>
                <w:rFonts w:cs="Times New Roman"/>
                <w:noProof/>
              </w:rPr>
              <w:t>ntervals for each model tested</w:t>
            </w:r>
            <w:r w:rsidR="00431E6D" w:rsidRPr="00CB7A20">
              <w:rPr>
                <w:noProof/>
                <w:webHidden/>
              </w:rPr>
              <w:tab/>
            </w:r>
            <w:r w:rsidR="008C5AB4" w:rsidRPr="00CB7A20">
              <w:rPr>
                <w:noProof/>
                <w:webHidden/>
              </w:rPr>
              <w:fldChar w:fldCharType="begin"/>
            </w:r>
            <w:r w:rsidR="00431E6D" w:rsidRPr="00CB7A20">
              <w:rPr>
                <w:noProof/>
                <w:webHidden/>
              </w:rPr>
              <w:instrText xml:space="preserve"> PAGEREF _Toc171261419 \h </w:instrText>
            </w:r>
            <w:r w:rsidR="008C5AB4" w:rsidRPr="00CB7A20">
              <w:rPr>
                <w:noProof/>
                <w:webHidden/>
              </w:rPr>
            </w:r>
            <w:r w:rsidR="008C5AB4" w:rsidRPr="00CB7A20">
              <w:rPr>
                <w:noProof/>
                <w:webHidden/>
              </w:rPr>
              <w:fldChar w:fldCharType="separate"/>
            </w:r>
            <w:r w:rsidR="00431E6D" w:rsidRPr="00CB7A20">
              <w:rPr>
                <w:noProof/>
                <w:webHidden/>
              </w:rPr>
              <w:t>9</w:t>
            </w:r>
            <w:r w:rsidR="008C5AB4" w:rsidRPr="00CB7A20">
              <w:rPr>
                <w:noProof/>
                <w:webHidden/>
              </w:rPr>
              <w:fldChar w:fldCharType="end"/>
            </w:r>
          </w:hyperlink>
        </w:p>
        <w:p w14:paraId="2DAD0BE0" w14:textId="77777777" w:rsidR="00431E6D" w:rsidRPr="00CB7A20" w:rsidRDefault="009C3D1F" w:rsidP="0080718A">
          <w:pPr>
            <w:rPr>
              <w:rFonts w:eastAsiaTheme="minorEastAsia"/>
              <w:i/>
            </w:rPr>
          </w:pPr>
          <w:hyperlink w:anchor="_Toc171261420" w:history="1">
            <w:r w:rsidR="00431E6D" w:rsidRPr="00CB7A20">
              <w:rPr>
                <w:rStyle w:val="Hyperlink"/>
              </w:rPr>
              <w:t>S4</w:t>
            </w:r>
            <w:r w:rsidR="00431E6D" w:rsidRPr="00CB7A20">
              <w:rPr>
                <w:rFonts w:eastAsiaTheme="minorEastAsia"/>
              </w:rPr>
              <w:tab/>
            </w:r>
            <w:r w:rsidR="00431E6D" w:rsidRPr="00CB7A20">
              <w:rPr>
                <w:rStyle w:val="Hyperlink"/>
              </w:rPr>
              <w:t>PLS score plots</w:t>
            </w:r>
            <w:r w:rsidR="00431E6D" w:rsidRPr="00CB7A20">
              <w:rPr>
                <w:webHidden/>
              </w:rPr>
              <w:tab/>
            </w:r>
            <w:r w:rsidR="008C5AB4" w:rsidRPr="00CB7A20">
              <w:rPr>
                <w:i/>
                <w:webHidden/>
              </w:rPr>
              <w:fldChar w:fldCharType="begin"/>
            </w:r>
            <w:r w:rsidR="00431E6D" w:rsidRPr="00CB7A20">
              <w:rPr>
                <w:webHidden/>
              </w:rPr>
              <w:instrText xml:space="preserve"> PAGEREF _Toc171261420 \h </w:instrText>
            </w:r>
            <w:r w:rsidR="008C5AB4" w:rsidRPr="00CB7A20">
              <w:rPr>
                <w:i/>
                <w:webHidden/>
              </w:rPr>
            </w:r>
            <w:r w:rsidR="008C5AB4" w:rsidRPr="00CB7A20">
              <w:rPr>
                <w:i/>
                <w:webHidden/>
              </w:rPr>
              <w:fldChar w:fldCharType="separate"/>
            </w:r>
            <w:r w:rsidR="00431E6D" w:rsidRPr="00CB7A20">
              <w:rPr>
                <w:webHidden/>
              </w:rPr>
              <w:t>10</w:t>
            </w:r>
            <w:r w:rsidR="008C5AB4" w:rsidRPr="00CB7A20">
              <w:rPr>
                <w:i/>
                <w:webHidden/>
              </w:rPr>
              <w:fldChar w:fldCharType="end"/>
            </w:r>
          </w:hyperlink>
        </w:p>
        <w:p w14:paraId="62AD5B3A" w14:textId="77777777" w:rsidR="00431E6D" w:rsidRPr="00CB7A20" w:rsidRDefault="009C3D1F" w:rsidP="0080718A">
          <w:hyperlink w:anchor="_Toc171261421" w:history="1">
            <w:r w:rsidR="00431E6D" w:rsidRPr="00CB7A20">
              <w:rPr>
                <w:rStyle w:val="Hyperlink"/>
                <w:rFonts w:cs="Times New Roman"/>
                <w:bCs/>
                <w:noProof/>
              </w:rPr>
              <w:t xml:space="preserve">Figure S6: </w:t>
            </w:r>
            <w:r w:rsidR="00431E6D" w:rsidRPr="00CB7A20">
              <w:rPr>
                <w:rStyle w:val="Hyperlink"/>
                <w:rFonts w:cs="Times New Roman"/>
                <w:noProof/>
              </w:rPr>
              <w:t>Distribution of spectra on the first</w:t>
            </w:r>
            <w:r w:rsidR="00204682" w:rsidRPr="00CB7A20">
              <w:rPr>
                <w:rStyle w:val="Hyperlink"/>
                <w:rFonts w:cs="Times New Roman"/>
                <w:noProof/>
              </w:rPr>
              <w:t xml:space="preserve"> and second PLS components (A).</w:t>
            </w:r>
            <w:r w:rsidR="00431E6D" w:rsidRPr="00CB7A20">
              <w:rPr>
                <w:noProof/>
                <w:webHidden/>
              </w:rPr>
              <w:tab/>
            </w:r>
            <w:r w:rsidR="008C5AB4" w:rsidRPr="00CB7A20">
              <w:rPr>
                <w:noProof/>
                <w:webHidden/>
              </w:rPr>
              <w:fldChar w:fldCharType="begin"/>
            </w:r>
            <w:r w:rsidR="00431E6D" w:rsidRPr="00CB7A20">
              <w:rPr>
                <w:noProof/>
                <w:webHidden/>
              </w:rPr>
              <w:instrText xml:space="preserve"> PAGEREF _Toc171261421 \h </w:instrText>
            </w:r>
            <w:r w:rsidR="008C5AB4" w:rsidRPr="00CB7A20">
              <w:rPr>
                <w:noProof/>
                <w:webHidden/>
              </w:rPr>
            </w:r>
            <w:r w:rsidR="008C5AB4" w:rsidRPr="00CB7A20">
              <w:rPr>
                <w:noProof/>
                <w:webHidden/>
              </w:rPr>
              <w:fldChar w:fldCharType="separate"/>
            </w:r>
            <w:r w:rsidR="00431E6D" w:rsidRPr="00CB7A20">
              <w:rPr>
                <w:noProof/>
                <w:webHidden/>
              </w:rPr>
              <w:t>10</w:t>
            </w:r>
            <w:r w:rsidR="008C5AB4" w:rsidRPr="00CB7A20">
              <w:rPr>
                <w:noProof/>
                <w:webHidden/>
              </w:rPr>
              <w:fldChar w:fldCharType="end"/>
            </w:r>
          </w:hyperlink>
        </w:p>
        <w:p w14:paraId="2F91AB85" w14:textId="77777777" w:rsidR="00CB7A20" w:rsidRDefault="00C44C5E" w:rsidP="0080718A">
          <w:r w:rsidRPr="00CB7A20">
            <w:t>S5</w:t>
          </w:r>
          <w:r w:rsidRPr="00CB7A20">
            <w:tab/>
          </w:r>
          <w:r w:rsidR="00CB7A20" w:rsidRPr="00CB7A20">
            <w:t>Outlier Properties for Mixture of Expert Models</w:t>
          </w:r>
          <w:r w:rsidR="00CB7A20" w:rsidRPr="00641D31">
            <w:t>……………………………………………</w:t>
          </w:r>
          <w:r w:rsidR="007F22FC">
            <w:t>.</w:t>
          </w:r>
          <w:r w:rsidR="00CB7A20" w:rsidRPr="00641D31">
            <w:t>11</w:t>
          </w:r>
        </w:p>
        <w:p w14:paraId="026DD2EE" w14:textId="77777777" w:rsidR="00641D31" w:rsidRPr="00641D31" w:rsidRDefault="00641D31" w:rsidP="0080718A">
          <w:r w:rsidRPr="00641D31">
            <w:t xml:space="preserve">    Table S7: Descriptive statistics for outliers flagged by all MoE cluster models</w:t>
          </w:r>
          <w:r>
            <w:t>……………………</w:t>
          </w:r>
          <w:r w:rsidR="007F22FC">
            <w:t>.</w:t>
          </w:r>
          <w:r>
            <w:t>…11</w:t>
          </w:r>
        </w:p>
        <w:p w14:paraId="4A419E1F" w14:textId="77777777" w:rsidR="00FC4F99" w:rsidRPr="006E2E8D" w:rsidRDefault="008C5AB4" w:rsidP="0080718A">
          <w:r w:rsidRPr="00C44C5E">
            <w:fldChar w:fldCharType="end"/>
          </w:r>
        </w:p>
      </w:sdtContent>
    </w:sdt>
    <w:p w14:paraId="525BE4CD" w14:textId="77777777" w:rsidR="00FC4F99" w:rsidRPr="006E2E8D" w:rsidRDefault="00FC4F99" w:rsidP="0080718A">
      <w:pPr>
        <w:rPr>
          <w:i/>
          <w:szCs w:val="24"/>
        </w:rPr>
      </w:pPr>
      <w:r w:rsidRPr="006E2E8D">
        <w:rPr>
          <w:i/>
          <w:szCs w:val="24"/>
        </w:rPr>
        <w:br w:type="page"/>
      </w:r>
    </w:p>
    <w:p w14:paraId="2A657FA4" w14:textId="77777777" w:rsidR="00FC4F99" w:rsidRPr="006E2E8D" w:rsidRDefault="00FC4F99" w:rsidP="0080718A">
      <w:bookmarkStart w:id="0" w:name="_Toc171261410"/>
      <w:r w:rsidRPr="006E2E8D">
        <w:lastRenderedPageBreak/>
        <w:t>S1</w:t>
      </w:r>
      <w:r w:rsidRPr="006E2E8D">
        <w:tab/>
        <w:t xml:space="preserve"> PCA eigenvectors and score plots</w:t>
      </w:r>
      <w:bookmarkEnd w:id="0"/>
      <w:r w:rsidRPr="006E2E8D">
        <w:t xml:space="preserve">  </w:t>
      </w:r>
    </w:p>
    <w:p w14:paraId="12DE7106" w14:textId="77777777" w:rsidR="00FC4F99" w:rsidRPr="006E2E8D" w:rsidRDefault="00FC4F99" w:rsidP="0080718A">
      <w:pPr>
        <w:rPr>
          <w:szCs w:val="24"/>
        </w:rPr>
      </w:pPr>
      <w:r w:rsidRPr="006E2E8D">
        <w:rPr>
          <w:i/>
          <w:noProof/>
          <w:szCs w:val="24"/>
        </w:rPr>
        <w:drawing>
          <wp:inline distT="0" distB="0" distL="0" distR="0" wp14:anchorId="3CB86009" wp14:editId="084911FD">
            <wp:extent cx="5943600" cy="4245429"/>
            <wp:effectExtent l="19050" t="0" r="0" b="0"/>
            <wp:docPr id="30" name="Picture 1" descr="D:\Dropbox\2022_NIOSH_DPM_studies\Mass_Paper_2023\Tables_and_Figures\SI_Figures\Figure_S2_PCA_loadings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ropbox\2022_NIOSH_DPM_studies\Mass_Paper_2023\Tables_and_Figures\SI_Figures\Figure_S2_PCA_loadings_12.png"/>
                    <pic:cNvPicPr>
                      <a:picLocks noChangeAspect="1" noChangeArrowheads="1"/>
                    </pic:cNvPicPr>
                  </pic:nvPicPr>
                  <pic:blipFill>
                    <a:blip r:embed="rId7" cstate="print"/>
                    <a:srcRect/>
                    <a:stretch>
                      <a:fillRect/>
                    </a:stretch>
                  </pic:blipFill>
                  <pic:spPr bwMode="auto">
                    <a:xfrm>
                      <a:off x="0" y="0"/>
                      <a:ext cx="5943600" cy="4245429"/>
                    </a:xfrm>
                    <a:prstGeom prst="rect">
                      <a:avLst/>
                    </a:prstGeom>
                    <a:noFill/>
                    <a:ln w="9525">
                      <a:noFill/>
                      <a:miter lim="800000"/>
                      <a:headEnd/>
                      <a:tailEnd/>
                    </a:ln>
                  </pic:spPr>
                </pic:pic>
              </a:graphicData>
            </a:graphic>
          </wp:inline>
        </w:drawing>
      </w:r>
    </w:p>
    <w:p w14:paraId="7AA2C0BA" w14:textId="393ADA70" w:rsidR="00FC4F99" w:rsidRPr="006E2E8D" w:rsidRDefault="00FC4F99" w:rsidP="0080718A">
      <w:pPr>
        <w:rPr>
          <w:i/>
        </w:rPr>
      </w:pPr>
      <w:bookmarkStart w:id="1" w:name="_Toc171261411"/>
      <w:r w:rsidRPr="0080718A">
        <w:rPr>
          <w:b/>
          <w:bCs/>
        </w:rPr>
        <w:t>Figure S</w:t>
      </w:r>
      <w:r w:rsidR="008C5AB4" w:rsidRPr="0080718A">
        <w:rPr>
          <w:b/>
          <w:bCs/>
          <w:i/>
        </w:rPr>
        <w:fldChar w:fldCharType="begin"/>
      </w:r>
      <w:r w:rsidRPr="0080718A">
        <w:rPr>
          <w:b/>
          <w:bCs/>
        </w:rPr>
        <w:instrText xml:space="preserve"> SEQ Figure \* ARABIC </w:instrText>
      </w:r>
      <w:r w:rsidR="008C5AB4" w:rsidRPr="0080718A">
        <w:rPr>
          <w:b/>
          <w:bCs/>
          <w:i/>
        </w:rPr>
        <w:fldChar w:fldCharType="separate"/>
      </w:r>
      <w:r w:rsidRPr="0080718A">
        <w:rPr>
          <w:b/>
          <w:bCs/>
          <w:noProof/>
        </w:rPr>
        <w:t>1</w:t>
      </w:r>
      <w:r w:rsidR="008C5AB4" w:rsidRPr="0080718A">
        <w:rPr>
          <w:b/>
          <w:bCs/>
          <w:i/>
        </w:rPr>
        <w:fldChar w:fldCharType="end"/>
      </w:r>
      <w:r w:rsidR="0080718A" w:rsidRPr="0080718A">
        <w:rPr>
          <w:b/>
          <w:bCs/>
        </w:rPr>
        <w:t>.</w:t>
      </w:r>
      <w:r w:rsidRPr="006E2E8D">
        <w:t xml:space="preserve"> Eigenvectors (sometimes referred to colloquially as loadings) for the first and second principal components (PCs). These PCs explain 68.9% and 10.1% of the spectral variance, respectively. PC1 is clearly tracking variations in calcium carbonate absorption as indicated by (negative) loadings around 715</w:t>
      </w:r>
      <w:r w:rsidR="0080718A">
        <w:t xml:space="preserve"> </w:t>
      </w:r>
      <w:r w:rsidRPr="006E2E8D">
        <w:t>cm</w:t>
      </w:r>
      <w:r w:rsidR="004E569F">
        <w:rPr>
          <w:vertAlign w:val="superscript"/>
        </w:rPr>
        <w:t>–</w:t>
      </w:r>
      <w:r w:rsidRPr="006E2E8D">
        <w:rPr>
          <w:vertAlign w:val="superscript"/>
        </w:rPr>
        <w:t>1</w:t>
      </w:r>
      <w:r w:rsidRPr="006E2E8D">
        <w:t>, 875</w:t>
      </w:r>
      <w:r w:rsidR="0080718A">
        <w:t xml:space="preserve"> cm</w:t>
      </w:r>
      <w:r w:rsidR="004E569F">
        <w:rPr>
          <w:vertAlign w:val="superscript"/>
        </w:rPr>
        <w:t>–</w:t>
      </w:r>
      <w:r w:rsidRPr="006E2E8D">
        <w:rPr>
          <w:vertAlign w:val="superscript"/>
        </w:rPr>
        <w:t>1</w:t>
      </w:r>
      <w:r w:rsidR="0080718A">
        <w:t xml:space="preserve">, </w:t>
      </w:r>
      <w:r w:rsidRPr="006E2E8D">
        <w:t>and ~1450</w:t>
      </w:r>
      <w:r w:rsidR="0080718A">
        <w:t xml:space="preserve"> cm</w:t>
      </w:r>
      <w:r w:rsidR="004E569F">
        <w:rPr>
          <w:vertAlign w:val="superscript"/>
        </w:rPr>
        <w:t>–</w:t>
      </w:r>
      <w:r w:rsidRPr="006E2E8D">
        <w:rPr>
          <w:vertAlign w:val="superscript"/>
        </w:rPr>
        <w:t>1</w:t>
      </w:r>
      <w:r w:rsidR="0080718A" w:rsidRPr="000674CB">
        <w:t>.</w:t>
      </w:r>
      <w:r w:rsidR="008C5AB4" w:rsidRPr="006E2E8D">
        <w:rPr>
          <w:i/>
        </w:rPr>
        <w:fldChar w:fldCharType="begin"/>
      </w:r>
      <w:r w:rsidRPr="006E2E8D">
        <w:instrText xml:space="preserve"> ADDIN EN.CITE &lt;EndNote&gt;&lt;Cite&gt;&lt;Author&gt;Gunasekaran&lt;/Author&gt;&lt;Year&gt;2006&lt;/Year&gt;&lt;RecNum&gt;122&lt;/RecNum&gt;&lt;DisplayText&gt;&lt;style face="superscript"&gt;44&lt;/style&gt;&lt;/DisplayText&gt;&lt;record&gt;&lt;rec-number&gt;122&lt;/rec-number&gt;&lt;foreign-keys&gt;&lt;key app="EN" db-id="wvwe2vd20r0p9tepesxv9t2zpevstwdrwte5"&gt;122&lt;/key&gt;&lt;/foreign-keys&gt;&lt;ref-type name="Journal Article"&gt;17&lt;/ref-type&gt;&lt;contributors&gt;&lt;authors&gt;&lt;author&gt;Gunasekaran, S.&lt;/author&gt;&lt;author&gt;Anbalagan, G.&lt;/author&gt;&lt;author&gt;Pandi, S.&lt;/author&gt;&lt;/authors&gt;&lt;/contributors&gt;&lt;titles&gt;&lt;title&gt;Raman and infrared spectra of carbonates of calcite structure&lt;/title&gt;&lt;secondary-title&gt;Journal of Raman Spectroscopy&lt;/secondary-title&gt;&lt;/titles&gt;&lt;periodical&gt;&lt;full-title&gt;Journal of Raman Spectroscopy&lt;/full-title&gt;&lt;abbr-1&gt;J. Raman Spectrosc.&lt;/abbr-1&gt;&lt;abbr-2&gt;J Raman Spectrosc&lt;/abbr-2&gt;&lt;/periodical&gt;&lt;pages&gt;892-899&lt;/pages&gt;&lt;volume&gt;37&lt;/volume&gt;&lt;number&gt;9&lt;/number&gt;&lt;keywords&gt;&lt;keyword&gt;limestone&lt;/keyword&gt;&lt;keyword&gt;dolomite&lt;/keyword&gt;&lt;keyword&gt;vibrational spectra&lt;/keyword&gt;&lt;keyword&gt;NIR spectra&lt;/keyword&gt;&lt;/keywords&gt;&lt;dates&gt;&lt;year&gt;2006&lt;/year&gt;&lt;/dates&gt;&lt;publisher&gt;John Wiley &amp;amp; Sons, Ltd.&lt;/publisher&gt;&lt;isbn&gt;1097-4555&lt;/isbn&gt;&lt;urls&gt;&lt;related-urls&gt;&lt;url&gt;http://dx.doi.org/10.1002/jrs.1518&lt;/url&gt;&lt;url&gt;http://onlinelibrary.wiley.com/store/10.1002/jrs.1518/asset/1518_ftp.pdf?v=1&amp;amp;t=ijema2ck&amp;amp;s=affbde31b0001319d6ba1d1f4789b0a3c7342056&lt;/url&gt;&lt;/related-urls&gt;&lt;/urls&gt;&lt;electronic-resource-num&gt;10.1002/jrs.1518&lt;/electronic-resource-num&gt;&lt;/record&gt;&lt;/Cite&gt;&lt;/EndNote&gt;</w:instrText>
      </w:r>
      <w:r w:rsidR="008C5AB4" w:rsidRPr="006E2E8D">
        <w:rPr>
          <w:i/>
        </w:rPr>
        <w:fldChar w:fldCharType="separate"/>
      </w:r>
      <w:r w:rsidRPr="006E2E8D">
        <w:rPr>
          <w:noProof/>
          <w:vertAlign w:val="superscript"/>
        </w:rPr>
        <w:t>44</w:t>
      </w:r>
      <w:r w:rsidR="008C5AB4" w:rsidRPr="006E2E8D">
        <w:rPr>
          <w:i/>
        </w:rPr>
        <w:fldChar w:fldCharType="end"/>
      </w:r>
      <w:r w:rsidRPr="006E2E8D">
        <w:t xml:space="preserve"> PC2 loads </w:t>
      </w:r>
      <w:r w:rsidR="006317D7" w:rsidRPr="006E2E8D">
        <w:t>absorption</w:t>
      </w:r>
      <w:r w:rsidRPr="006E2E8D">
        <w:t xml:space="preserve"> from organics (3000</w:t>
      </w:r>
      <w:r w:rsidR="004E569F">
        <w:t>–</w:t>
      </w:r>
      <w:r w:rsidRPr="006E2E8D">
        <w:t>2800</w:t>
      </w:r>
      <w:r w:rsidR="0080718A">
        <w:t xml:space="preserve"> cm</w:t>
      </w:r>
      <w:r w:rsidR="004E569F">
        <w:rPr>
          <w:vertAlign w:val="superscript"/>
        </w:rPr>
        <w:t>–</w:t>
      </w:r>
      <w:r w:rsidRPr="006E2E8D">
        <w:rPr>
          <w:vertAlign w:val="superscript"/>
        </w:rPr>
        <w:t>1</w:t>
      </w:r>
      <w:r w:rsidRPr="006E2E8D">
        <w:t>) as well as geologies rich in silica- and clay-bearing materials (3750</w:t>
      </w:r>
      <w:r w:rsidR="004E569F">
        <w:t>–</w:t>
      </w:r>
      <w:r w:rsidRPr="006E2E8D">
        <w:t>35505</w:t>
      </w:r>
      <w:r w:rsidR="0080718A">
        <w:t xml:space="preserve"> cm</w:t>
      </w:r>
      <w:r w:rsidR="004E569F">
        <w:rPr>
          <w:vertAlign w:val="superscript"/>
        </w:rPr>
        <w:t>–</w:t>
      </w:r>
      <w:r w:rsidRPr="006E2E8D">
        <w:rPr>
          <w:vertAlign w:val="superscript"/>
        </w:rPr>
        <w:t>1</w:t>
      </w:r>
      <w:r w:rsidRPr="006E2E8D">
        <w:t>,</w:t>
      </w:r>
      <w:r w:rsidR="00B762AE">
        <w:t xml:space="preserve"> </w:t>
      </w:r>
      <w:r w:rsidRPr="006E2E8D">
        <w:t>~1050</w:t>
      </w:r>
      <w:r w:rsidR="004E569F">
        <w:t>–</w:t>
      </w:r>
      <w:r w:rsidRPr="006E2E8D">
        <w:t>700</w:t>
      </w:r>
      <w:r w:rsidR="0080718A">
        <w:t xml:space="preserve"> cm</w:t>
      </w:r>
      <w:r w:rsidR="004E569F">
        <w:rPr>
          <w:vertAlign w:val="superscript"/>
        </w:rPr>
        <w:t>–</w:t>
      </w:r>
      <w:r w:rsidRPr="006E2E8D">
        <w:rPr>
          <w:vertAlign w:val="superscript"/>
        </w:rPr>
        <w:t>1</w:t>
      </w:r>
      <w:r w:rsidRPr="006E2E8D">
        <w:t>,</w:t>
      </w:r>
      <w:r w:rsidR="00B762AE">
        <w:t xml:space="preserve"> </w:t>
      </w:r>
      <w:r w:rsidRPr="006E2E8D">
        <w:t>~450</w:t>
      </w:r>
      <w:r w:rsidR="0080718A">
        <w:t xml:space="preserve"> cm</w:t>
      </w:r>
      <w:r w:rsidR="004E569F">
        <w:rPr>
          <w:vertAlign w:val="superscript"/>
        </w:rPr>
        <w:t>–</w:t>
      </w:r>
      <w:r w:rsidRPr="006E2E8D">
        <w:rPr>
          <w:vertAlign w:val="superscript"/>
        </w:rPr>
        <w:t>1</w:t>
      </w:r>
      <w:r w:rsidRPr="006E2E8D">
        <w:t>)</w:t>
      </w:r>
      <w:r w:rsidR="0080718A">
        <w:t>.</w:t>
      </w:r>
      <w:r w:rsidR="008C5AB4" w:rsidRPr="006E2E8D">
        <w:rPr>
          <w:i/>
        </w:rPr>
        <w:fldChar w:fldCharType="begin">
          <w:fldData xml:space="preserve">PEVuZE5vdGU+PENpdGU+PEF1dGhvcj5XZWFrbGV5PC9BdXRob3I+PFllYXI+MjAxNDwvWWVhcj48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</w:fldData>
        </w:fldChar>
      </w:r>
      <w:r w:rsidRPr="006E2E8D">
        <w:instrText xml:space="preserve"> ADDIN EN.CITE </w:instrText>
      </w:r>
      <w:r w:rsidR="008C5AB4" w:rsidRPr="006E2E8D">
        <w:rPr>
          <w:i/>
        </w:rPr>
        <w:fldChar w:fldCharType="begin">
          <w:fldData xml:space="preserve">PEVuZE5vdGU+PENpdGU+PEF1dGhvcj5XZWFrbGV5PC9BdXRob3I+PFllYXI+MjAxNDwvWWVhcj48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</w:fldData>
        </w:fldChar>
      </w:r>
      <w:r w:rsidRPr="006E2E8D">
        <w:instrText xml:space="preserve"> ADDIN EN.CITE.DATA </w:instrText>
      </w:r>
      <w:r w:rsidR="008C5AB4" w:rsidRPr="006E2E8D">
        <w:rPr>
          <w:i/>
        </w:rPr>
      </w:r>
      <w:r w:rsidR="008C5AB4" w:rsidRPr="006E2E8D">
        <w:rPr>
          <w:i/>
        </w:rPr>
        <w:fldChar w:fldCharType="end"/>
      </w:r>
      <w:r w:rsidR="008C5AB4" w:rsidRPr="006E2E8D">
        <w:rPr>
          <w:i/>
        </w:rPr>
      </w:r>
      <w:r w:rsidR="008C5AB4" w:rsidRPr="006E2E8D">
        <w:rPr>
          <w:i/>
        </w:rPr>
        <w:fldChar w:fldCharType="separate"/>
      </w:r>
      <w:r w:rsidRPr="006E2E8D">
        <w:rPr>
          <w:noProof/>
          <w:vertAlign w:val="superscript"/>
        </w:rPr>
        <w:t>45,46</w:t>
      </w:r>
      <w:r w:rsidR="008C5AB4" w:rsidRPr="006E2E8D">
        <w:rPr>
          <w:i/>
        </w:rPr>
        <w:fldChar w:fldCharType="end"/>
      </w:r>
      <w:r w:rsidRPr="006E2E8D">
        <w:t xml:space="preserve"> Note that features are derived from second derivative spectra such that spectral minima generally correspond to peak maxima in absorption spectra</w:t>
      </w:r>
      <w:r w:rsidR="00EA581E">
        <w:t>.</w:t>
      </w:r>
      <w:r w:rsidR="008C5AB4" w:rsidRPr="006E2E8D">
        <w:rPr>
          <w:i/>
        </w:rPr>
        <w:fldChar w:fldCharType="begin"/>
      </w:r>
      <w:r w:rsidRPr="006E2E8D">
        <w:instrText xml:space="preserve"> ADDIN EN.CITE &lt;EndNote&gt;&lt;Cite&gt;&lt;Author&gt;Rinnan&lt;/Author&gt;&lt;Year&gt;2014&lt;/Year&gt;&lt;RecNum&gt;688&lt;/RecNum&gt;&lt;DisplayText&gt;&lt;style face="superscript"&gt;47&lt;/style&gt;&lt;/DisplayText&gt;&lt;record&gt;&lt;rec-number&gt;688&lt;/rec-number&gt;&lt;foreign-keys&gt;&lt;key app="EN" db-id="wvwe2vd20r0p9tepesxv9t2zpevstwdrwte5"&gt;688&lt;/key&gt;&lt;/foreign-keys&gt;&lt;ref-type name="Journal Article"&gt;17&lt;/ref-type&gt;&lt;contributors&gt;&lt;authors&gt;&lt;author&gt;Rinnan, Åsmund&lt;/author&gt;&lt;/authors&gt;&lt;/contributors&gt;&lt;titles&gt;&lt;title&gt;Pre-processing in vibrational spectroscopy–when, why and how&lt;/title&gt;&lt;secondary-title&gt;Analytical Methods&lt;/secondary-title&gt;&lt;/titles&gt;&lt;periodical&gt;&lt;full-title&gt;Analytical Methods&lt;/full-title&gt;&lt;/periodical&gt;&lt;pages&gt;7124-7129&lt;/pages&gt;&lt;volume&gt;6&lt;/volume&gt;&lt;number&gt;18&lt;/number&gt;&lt;dates&gt;&lt;year&gt;2014&lt;/year&gt;&lt;/dates&gt;&lt;urls&gt;&lt;/urls&gt;&lt;/record&gt;&lt;/Cite&gt;&lt;/EndNote&gt;</w:instrText>
      </w:r>
      <w:r w:rsidR="008C5AB4" w:rsidRPr="006E2E8D">
        <w:rPr>
          <w:i/>
        </w:rPr>
        <w:fldChar w:fldCharType="separate"/>
      </w:r>
      <w:r w:rsidRPr="006E2E8D">
        <w:rPr>
          <w:noProof/>
          <w:vertAlign w:val="superscript"/>
        </w:rPr>
        <w:t>47</w:t>
      </w:r>
      <w:r w:rsidR="008C5AB4" w:rsidRPr="006E2E8D">
        <w:rPr>
          <w:i/>
        </w:rPr>
        <w:fldChar w:fldCharType="end"/>
      </w:r>
      <w:r w:rsidRPr="006E2E8D">
        <w:t xml:space="preserve"> Furthermore, PC2 are actually inverted such that maxima are here shown as minima in </w:t>
      </w:r>
      <w:r w:rsidR="006256FD">
        <w:t>second-</w:t>
      </w:r>
      <w:r w:rsidRPr="006E2E8D">
        <w:t>derivative spectra (and vice-versa) due to rotation ambiguity in PCA solutions. Score plots (presented below) will indicate whether the solution has been adjusted (negated) for rotation ambiguity.</w:t>
      </w:r>
      <w:bookmarkEnd w:id="1"/>
    </w:p>
    <w:p w14:paraId="50C89FB2" w14:textId="30058233" w:rsidR="00FC4F99" w:rsidRPr="006E2E8D" w:rsidRDefault="00FC4F99" w:rsidP="0080718A">
      <w:r w:rsidRPr="006E2E8D">
        <w:rPr>
          <w:noProof/>
        </w:rPr>
        <w:lastRenderedPageBreak/>
        <w:drawing>
          <wp:inline distT="0" distB="0" distL="0" distR="0" wp14:anchorId="7643CCC8" wp14:editId="22140580">
            <wp:extent cx="5943600" cy="4245429"/>
            <wp:effectExtent l="19050" t="0" r="0" b="0"/>
            <wp:docPr id="31" name="Picture 2" descr="D:\Dropbox\2022_NIOSH_DPM_studies\Mass_Paper_2023\Tables_and_Figures\SI_Figures\Figure_S3_PCA_loadings_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ropbox\2022_NIOSH_DPM_studies\Mass_Paper_2023\Tables_and_Figures\SI_Figures\Figure_S3_PCA_loadings_34.png"/>
                    <pic:cNvPicPr>
                      <a:picLocks noChangeAspect="1" noChangeArrowheads="1"/>
                    </pic:cNvPicPr>
                  </pic:nvPicPr>
                  <pic:blipFill>
                    <a:blip r:embed="rId8" cstate="print"/>
                    <a:srcRect/>
                    <a:stretch>
                      <a:fillRect/>
                    </a:stretch>
                  </pic:blipFill>
                  <pic:spPr bwMode="auto">
                    <a:xfrm>
                      <a:off x="0" y="0"/>
                      <a:ext cx="5943600" cy="4245429"/>
                    </a:xfrm>
                    <a:prstGeom prst="rect">
                      <a:avLst/>
                    </a:prstGeom>
                    <a:noFill/>
                    <a:ln w="9525">
                      <a:noFill/>
                      <a:miter lim="800000"/>
                      <a:headEnd/>
                      <a:tailEnd/>
                    </a:ln>
                  </pic:spPr>
                </pic:pic>
              </a:graphicData>
            </a:graphic>
          </wp:inline>
        </w:drawing>
      </w:r>
      <w:bookmarkStart w:id="2" w:name="_Toc171261412"/>
      <w:r w:rsidRPr="00B84F81">
        <w:rPr>
          <w:b/>
          <w:bCs/>
        </w:rPr>
        <w:t>Figure S</w:t>
      </w:r>
      <w:r w:rsidR="008C5AB4" w:rsidRPr="00B84F81">
        <w:rPr>
          <w:b/>
          <w:bCs/>
          <w:i/>
        </w:rPr>
        <w:fldChar w:fldCharType="begin"/>
      </w:r>
      <w:r w:rsidRPr="00B84F81">
        <w:rPr>
          <w:b/>
          <w:bCs/>
        </w:rPr>
        <w:instrText xml:space="preserve"> SEQ Figure \* ARABIC </w:instrText>
      </w:r>
      <w:r w:rsidR="008C5AB4" w:rsidRPr="00B84F81">
        <w:rPr>
          <w:b/>
          <w:bCs/>
          <w:i/>
        </w:rPr>
        <w:fldChar w:fldCharType="separate"/>
      </w:r>
      <w:r w:rsidRPr="00B84F81">
        <w:rPr>
          <w:b/>
          <w:bCs/>
          <w:noProof/>
        </w:rPr>
        <w:t>2</w:t>
      </w:r>
      <w:r w:rsidR="008C5AB4" w:rsidRPr="00B84F81">
        <w:rPr>
          <w:b/>
          <w:bCs/>
          <w:i/>
        </w:rPr>
        <w:fldChar w:fldCharType="end"/>
      </w:r>
      <w:r w:rsidR="00B84F81" w:rsidRPr="00B84F81">
        <w:rPr>
          <w:b/>
          <w:bCs/>
        </w:rPr>
        <w:t>.</w:t>
      </w:r>
      <w:r w:rsidRPr="0049248C">
        <w:t xml:space="preserve"> Eigenvectors for PC3 and PC4. Loadings exhibit a mixture of mineral and organic. Components explain 6.3% and 5.8% of the spectral variance, respectively.</w:t>
      </w:r>
      <w:bookmarkEnd w:id="2"/>
      <w:r w:rsidRPr="0049248C">
        <w:t xml:space="preserve"> </w:t>
      </w:r>
    </w:p>
    <w:p w14:paraId="3BA360E2" w14:textId="498DAE73" w:rsidR="00FC4F99" w:rsidRPr="006E2E8D" w:rsidRDefault="00FC4F99" w:rsidP="0080718A">
      <w:r w:rsidRPr="006E2E8D">
        <w:rPr>
          <w:i/>
          <w:noProof/>
        </w:rPr>
        <w:lastRenderedPageBreak/>
        <w:drawing>
          <wp:inline distT="0" distB="0" distL="0" distR="0" wp14:anchorId="7523C841" wp14:editId="78C64DC3">
            <wp:extent cx="5943600" cy="4245429"/>
            <wp:effectExtent l="19050" t="0" r="0" b="0"/>
            <wp:docPr id="480" name="Picture 3" descr="D:\Dropbox\2022_NIOSH_DPM_studies\Mass_Paper_2023\Tables_and_Figures\SI_Figures\Figure_S4_PCA_loadings_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ropbox\2022_NIOSH_DPM_studies\Mass_Paper_2023\Tables_and_Figures\SI_Figures\Figure_S4_PCA_loadings_56.png"/>
                    <pic:cNvPicPr>
                      <a:picLocks noChangeAspect="1" noChangeArrowheads="1"/>
                    </pic:cNvPicPr>
                  </pic:nvPicPr>
                  <pic:blipFill>
                    <a:blip r:embed="rId9" cstate="print"/>
                    <a:srcRect/>
                    <a:stretch>
                      <a:fillRect/>
                    </a:stretch>
                  </pic:blipFill>
                  <pic:spPr bwMode="auto">
                    <a:xfrm>
                      <a:off x="0" y="0"/>
                      <a:ext cx="5943600" cy="4245429"/>
                    </a:xfrm>
                    <a:prstGeom prst="rect">
                      <a:avLst/>
                    </a:prstGeom>
                    <a:noFill/>
                    <a:ln w="9525">
                      <a:noFill/>
                      <a:miter lim="800000"/>
                      <a:headEnd/>
                      <a:tailEnd/>
                    </a:ln>
                  </pic:spPr>
                </pic:pic>
              </a:graphicData>
            </a:graphic>
          </wp:inline>
        </w:drawing>
      </w:r>
      <w:bookmarkStart w:id="3" w:name="_Toc171261413"/>
      <w:r w:rsidRPr="00B84F81">
        <w:rPr>
          <w:rStyle w:val="Heading2Char"/>
          <w:bCs/>
          <w:i w:val="0"/>
        </w:rPr>
        <w:t>Figure S</w:t>
      </w:r>
      <w:r w:rsidR="008C5AB4" w:rsidRPr="00B84F81">
        <w:rPr>
          <w:rStyle w:val="Heading2Char"/>
          <w:bCs/>
          <w:i w:val="0"/>
        </w:rPr>
        <w:fldChar w:fldCharType="begin"/>
      </w:r>
      <w:r w:rsidRPr="00B84F81">
        <w:rPr>
          <w:rStyle w:val="Heading2Char"/>
          <w:bCs/>
          <w:i w:val="0"/>
        </w:rPr>
        <w:instrText xml:space="preserve"> SEQ Figure \* ARABIC </w:instrText>
      </w:r>
      <w:r w:rsidR="008C5AB4" w:rsidRPr="00B84F81">
        <w:rPr>
          <w:rStyle w:val="Heading2Char"/>
          <w:bCs/>
          <w:i w:val="0"/>
        </w:rPr>
        <w:fldChar w:fldCharType="separate"/>
      </w:r>
      <w:r w:rsidRPr="00B84F81">
        <w:rPr>
          <w:rStyle w:val="Heading2Char"/>
          <w:bCs/>
          <w:i w:val="0"/>
        </w:rPr>
        <w:t>3</w:t>
      </w:r>
      <w:r w:rsidR="008C5AB4" w:rsidRPr="00B84F81">
        <w:rPr>
          <w:rStyle w:val="Heading2Char"/>
          <w:bCs/>
          <w:i w:val="0"/>
        </w:rPr>
        <w:fldChar w:fldCharType="end"/>
      </w:r>
      <w:r w:rsidR="00B84F81" w:rsidRPr="00B84F81">
        <w:rPr>
          <w:rStyle w:val="Heading2Char"/>
          <w:bCs/>
          <w:i w:val="0"/>
        </w:rPr>
        <w:t>.</w:t>
      </w:r>
      <w:r w:rsidRPr="0049248C">
        <w:rPr>
          <w:rStyle w:val="Heading2Char"/>
          <w:b w:val="0"/>
          <w:i w:val="0"/>
        </w:rPr>
        <w:t xml:space="preserve"> Eigenvectors for PC5 and PC6. Loadings exhibit a mixture of mineral, organic, vapor (“noise” above 3750</w:t>
      </w:r>
      <w:r w:rsidR="0080718A">
        <w:rPr>
          <w:rStyle w:val="Heading2Char"/>
          <w:b w:val="0"/>
          <w:i w:val="0"/>
        </w:rPr>
        <w:t xml:space="preserve"> cm</w:t>
      </w:r>
      <w:r w:rsidR="004E569F">
        <w:rPr>
          <w:rStyle w:val="Heading2Char"/>
          <w:b w:val="0"/>
          <w:i w:val="0"/>
          <w:vertAlign w:val="superscript"/>
        </w:rPr>
        <w:t>–</w:t>
      </w:r>
      <w:r w:rsidRPr="00B84F81">
        <w:rPr>
          <w:rStyle w:val="Heading2Char"/>
          <w:b w:val="0"/>
          <w:i w:val="0"/>
          <w:vertAlign w:val="superscript"/>
        </w:rPr>
        <w:t>1</w:t>
      </w:r>
      <w:r w:rsidRPr="0049248C">
        <w:rPr>
          <w:rStyle w:val="Heading2Char"/>
          <w:b w:val="0"/>
          <w:i w:val="0"/>
        </w:rPr>
        <w:t>), and chamber background (CO</w:t>
      </w:r>
      <w:r w:rsidRPr="006216C9">
        <w:rPr>
          <w:rStyle w:val="Heading2Char"/>
          <w:b w:val="0"/>
          <w:i w:val="0"/>
          <w:vertAlign w:val="subscript"/>
        </w:rPr>
        <w:t>2</w:t>
      </w:r>
      <w:r w:rsidRPr="0049248C">
        <w:rPr>
          <w:rStyle w:val="Heading2Char"/>
          <w:b w:val="0"/>
          <w:i w:val="0"/>
        </w:rPr>
        <w:t xml:space="preserve"> features near 2350</w:t>
      </w:r>
      <w:r w:rsidR="0080718A">
        <w:rPr>
          <w:rStyle w:val="Heading2Char"/>
          <w:b w:val="0"/>
          <w:i w:val="0"/>
        </w:rPr>
        <w:t xml:space="preserve"> cm</w:t>
      </w:r>
      <w:r w:rsidR="004E569F">
        <w:rPr>
          <w:rStyle w:val="Heading2Char"/>
          <w:b w:val="0"/>
          <w:i w:val="0"/>
          <w:vertAlign w:val="superscript"/>
        </w:rPr>
        <w:t>–</w:t>
      </w:r>
      <w:r w:rsidRPr="00B84F81">
        <w:rPr>
          <w:rStyle w:val="Heading2Char"/>
          <w:b w:val="0"/>
          <w:i w:val="0"/>
          <w:vertAlign w:val="superscript"/>
        </w:rPr>
        <w:t>1</w:t>
      </w:r>
      <w:r w:rsidRPr="0049248C">
        <w:rPr>
          <w:rStyle w:val="Heading2Char"/>
          <w:b w:val="0"/>
          <w:i w:val="0"/>
        </w:rPr>
        <w:t>). These PCs explain only 2.3% 1.6% of the spectral variance, respectively.</w:t>
      </w:r>
      <w:bookmarkEnd w:id="3"/>
    </w:p>
    <w:p w14:paraId="05C88330" w14:textId="77777777" w:rsidR="00FC4F99" w:rsidRPr="006E2E8D" w:rsidRDefault="00FC4F99" w:rsidP="0080718A">
      <w:pPr>
        <w:rPr>
          <w:i/>
        </w:rPr>
      </w:pPr>
    </w:p>
    <w:p w14:paraId="785D8E0B" w14:textId="77777777" w:rsidR="00FC4F99" w:rsidRPr="006E2E8D" w:rsidRDefault="00FC4F99" w:rsidP="0080718A">
      <w:r w:rsidRPr="006E2E8D">
        <w:rPr>
          <w:noProof/>
        </w:rPr>
        <w:lastRenderedPageBreak/>
        <w:drawing>
          <wp:inline distT="0" distB="0" distL="0" distR="0" wp14:anchorId="6AA21E42" wp14:editId="686FC3E2">
            <wp:extent cx="5943600" cy="4245429"/>
            <wp:effectExtent l="19050" t="0" r="0" b="0"/>
            <wp:docPr id="481" name="Picture 5" descr="D:\Dropbox\2022_NIOSH_DPM_studies\Mass_Paper_2023\Tables_and_Figures\SI_Figures\Figure_S6_PCA_scores_12_RCS_mass_and_Casset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Dropbox\2022_NIOSH_DPM_studies\Mass_Paper_2023\Tables_and_Figures\SI_Figures\Figure_S6_PCA_scores_12_RCS_mass_and_Cassette.png"/>
                    <pic:cNvPicPr>
                      <a:picLocks noChangeAspect="1" noChangeArrowheads="1"/>
                    </pic:cNvPicPr>
                  </pic:nvPicPr>
                  <pic:blipFill>
                    <a:blip r:embed="rId10" cstate="print"/>
                    <a:srcRect/>
                    <a:stretch>
                      <a:fillRect/>
                    </a:stretch>
                  </pic:blipFill>
                  <pic:spPr bwMode="auto">
                    <a:xfrm>
                      <a:off x="0" y="0"/>
                      <a:ext cx="5943600" cy="4245429"/>
                    </a:xfrm>
                    <a:prstGeom prst="rect">
                      <a:avLst/>
                    </a:prstGeom>
                    <a:noFill/>
                    <a:ln w="9525">
                      <a:noFill/>
                      <a:miter lim="800000"/>
                      <a:headEnd/>
                      <a:tailEnd/>
                    </a:ln>
                  </pic:spPr>
                </pic:pic>
              </a:graphicData>
            </a:graphic>
          </wp:inline>
        </w:drawing>
      </w:r>
    </w:p>
    <w:p w14:paraId="381F3262" w14:textId="6C28F0A5" w:rsidR="00FC4F99" w:rsidRPr="006E2E8D" w:rsidRDefault="00FC4F99" w:rsidP="0080718A">
      <w:pPr>
        <w:rPr>
          <w:i/>
        </w:rPr>
      </w:pPr>
      <w:bookmarkStart w:id="4" w:name="_Toc171261414"/>
      <w:r w:rsidRPr="00342188">
        <w:rPr>
          <w:b/>
          <w:bCs/>
        </w:rPr>
        <w:t>Figure S</w:t>
      </w:r>
      <w:r w:rsidR="008C5AB4" w:rsidRPr="00342188">
        <w:rPr>
          <w:b/>
          <w:bCs/>
          <w:i/>
        </w:rPr>
        <w:fldChar w:fldCharType="begin"/>
      </w:r>
      <w:r w:rsidRPr="00342188">
        <w:rPr>
          <w:b/>
          <w:bCs/>
        </w:rPr>
        <w:instrText xml:space="preserve"> SEQ Figure \* ARABIC </w:instrText>
      </w:r>
      <w:r w:rsidR="008C5AB4" w:rsidRPr="00342188">
        <w:rPr>
          <w:b/>
          <w:bCs/>
          <w:i/>
        </w:rPr>
        <w:fldChar w:fldCharType="separate"/>
      </w:r>
      <w:r w:rsidRPr="00342188">
        <w:rPr>
          <w:b/>
          <w:bCs/>
          <w:noProof/>
        </w:rPr>
        <w:t>4</w:t>
      </w:r>
      <w:r w:rsidR="008C5AB4" w:rsidRPr="00342188">
        <w:rPr>
          <w:b/>
          <w:bCs/>
          <w:i/>
        </w:rPr>
        <w:fldChar w:fldCharType="end"/>
      </w:r>
      <w:r w:rsidR="00342188" w:rsidRPr="00342188">
        <w:rPr>
          <w:b/>
          <w:bCs/>
        </w:rPr>
        <w:t>.</w:t>
      </w:r>
      <w:r w:rsidRPr="006E2E8D">
        <w:t xml:space="preserve"> The first two principal component scores pseudo- and false-colored on cassette type (A) and respirable crystalline silica (RCS) mass (B).</w:t>
      </w:r>
      <w:bookmarkEnd w:id="4"/>
      <w:r w:rsidRPr="006E2E8D">
        <w:t xml:space="preserve"> </w:t>
      </w:r>
    </w:p>
    <w:p w14:paraId="1FDCB325" w14:textId="77777777" w:rsidR="00FC4F99" w:rsidRPr="006E2E8D" w:rsidRDefault="00FC4F99" w:rsidP="0080718A">
      <w:r w:rsidRPr="006E2E8D">
        <w:rPr>
          <w:noProof/>
        </w:rPr>
        <w:lastRenderedPageBreak/>
        <w:drawing>
          <wp:inline distT="0" distB="0" distL="0" distR="0" wp14:anchorId="22BAA340" wp14:editId="6D15822C">
            <wp:extent cx="5528310" cy="3948794"/>
            <wp:effectExtent l="19050" t="0" r="0" b="0"/>
            <wp:docPr id="482" name="Picture 6" descr="D:\Dropbox\2022_NIOSH_DPM_studies\Mass_Paper_2023\Tables_and_Figures\SI_Figures\Figure_S7_PCA_scores_23_RCS_mine_casset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Dropbox\2022_NIOSH_DPM_studies\Mass_Paper_2023\Tables_and_Figures\SI_Figures\Figure_S7_PCA_scores_23_RCS_mine_cassette.png"/>
                    <pic:cNvPicPr>
                      <a:picLocks noChangeAspect="1" noChangeArrowheads="1"/>
                    </pic:cNvPicPr>
                  </pic:nvPicPr>
                  <pic:blipFill>
                    <a:blip r:embed="rId11" cstate="print"/>
                    <a:srcRect/>
                    <a:stretch>
                      <a:fillRect/>
                    </a:stretch>
                  </pic:blipFill>
                  <pic:spPr bwMode="auto">
                    <a:xfrm>
                      <a:off x="0" y="0"/>
                      <a:ext cx="5529728" cy="3949807"/>
                    </a:xfrm>
                    <a:prstGeom prst="rect">
                      <a:avLst/>
                    </a:prstGeom>
                    <a:noFill/>
                    <a:ln w="9525">
                      <a:noFill/>
                      <a:miter lim="800000"/>
                      <a:headEnd/>
                      <a:tailEnd/>
                    </a:ln>
                  </pic:spPr>
                </pic:pic>
              </a:graphicData>
            </a:graphic>
          </wp:inline>
        </w:drawing>
      </w:r>
    </w:p>
    <w:p w14:paraId="70D1483D" w14:textId="083B732D" w:rsidR="00FC4F99" w:rsidRPr="006E2E8D" w:rsidRDefault="00FC4F99" w:rsidP="0080718A">
      <w:pPr>
        <w:rPr>
          <w:i/>
        </w:rPr>
      </w:pPr>
      <w:bookmarkStart w:id="5" w:name="_Toc171261415"/>
      <w:r w:rsidRPr="00BC0228">
        <w:rPr>
          <w:b/>
          <w:bCs/>
        </w:rPr>
        <w:t>Figure S</w:t>
      </w:r>
      <w:r w:rsidR="008C5AB4" w:rsidRPr="00BC0228">
        <w:rPr>
          <w:b/>
          <w:bCs/>
          <w:i/>
        </w:rPr>
        <w:fldChar w:fldCharType="begin"/>
      </w:r>
      <w:r w:rsidRPr="00BC0228">
        <w:rPr>
          <w:b/>
          <w:bCs/>
        </w:rPr>
        <w:instrText xml:space="preserve"> SEQ Figure \* ARABIC </w:instrText>
      </w:r>
      <w:r w:rsidR="008C5AB4" w:rsidRPr="00BC0228">
        <w:rPr>
          <w:b/>
          <w:bCs/>
          <w:i/>
        </w:rPr>
        <w:fldChar w:fldCharType="separate"/>
      </w:r>
      <w:r w:rsidRPr="00BC0228">
        <w:rPr>
          <w:b/>
          <w:bCs/>
          <w:noProof/>
        </w:rPr>
        <w:t>5</w:t>
      </w:r>
      <w:r w:rsidR="008C5AB4" w:rsidRPr="00BC0228">
        <w:rPr>
          <w:b/>
          <w:bCs/>
          <w:i/>
        </w:rPr>
        <w:fldChar w:fldCharType="end"/>
      </w:r>
      <w:r w:rsidR="00BC0228" w:rsidRPr="00BC0228">
        <w:rPr>
          <w:b/>
          <w:bCs/>
        </w:rPr>
        <w:t>.</w:t>
      </w:r>
      <w:r w:rsidRPr="006E2E8D">
        <w:t xml:space="preserve"> Second and third principal component scores illustrating the close association between mine type (A) and cassette type (B). This is explored in more detail in Section S2 below. Note also that PC3 is likely dominated by a limestone mine outlier.</w:t>
      </w:r>
      <w:bookmarkEnd w:id="5"/>
    </w:p>
    <w:p w14:paraId="1A68F884" w14:textId="77777777" w:rsidR="008D1B76" w:rsidRDefault="008D1B76" w:rsidP="0080718A">
      <w:pPr>
        <w:rPr>
          <w:i/>
        </w:rPr>
      </w:pPr>
      <w:bookmarkStart w:id="6" w:name="_Toc171261416"/>
    </w:p>
    <w:p w14:paraId="069EC413" w14:textId="2C642EED" w:rsidR="00FC4F99" w:rsidRPr="008D1B76" w:rsidRDefault="00FC4F99" w:rsidP="0080718A">
      <w:pPr>
        <w:rPr>
          <w:rFonts w:eastAsiaTheme="majorEastAsia"/>
          <w:i/>
        </w:rPr>
      </w:pPr>
      <w:r w:rsidRPr="001F3228">
        <w:rPr>
          <w:b/>
          <w:bCs/>
        </w:rPr>
        <w:t>S2</w:t>
      </w:r>
      <w:r w:rsidR="001F3228" w:rsidRPr="001F3228">
        <w:rPr>
          <w:b/>
          <w:bCs/>
        </w:rPr>
        <w:t xml:space="preserve">   </w:t>
      </w:r>
      <w:r w:rsidRPr="001F3228">
        <w:rPr>
          <w:b/>
          <w:bCs/>
        </w:rPr>
        <w:t>Redundancy of “</w:t>
      </w:r>
      <w:r w:rsidR="001F3228" w:rsidRPr="001F3228">
        <w:rPr>
          <w:b/>
          <w:bCs/>
        </w:rPr>
        <w:t>Cassette Type” Gate Variable</w:t>
      </w:r>
      <w:bookmarkEnd w:id="6"/>
    </w:p>
    <w:p w14:paraId="13D4C759" w14:textId="7CCF684A" w:rsidR="00FC4F99" w:rsidRPr="006E2E8D" w:rsidRDefault="00FC4F99" w:rsidP="0080718A">
      <w:pPr>
        <w:rPr>
          <w:szCs w:val="24"/>
        </w:rPr>
      </w:pPr>
      <w:r w:rsidRPr="006E2E8D">
        <w:rPr>
          <w:szCs w:val="24"/>
        </w:rPr>
        <w:t>The strong substitutability of cassette type for mine type (a.k.a., redundancy) becomes clear using a contingency table (shown below in Table S1). Briefly, one sees that the “coal mine” category  of the “mine type” variable (row 1) is a very good substitute for the “MSA cassette” category in the “cassette type” variable (column 2</w:t>
      </w:r>
      <w:r w:rsidR="004E569F">
        <w:rPr>
          <w:szCs w:val="24"/>
        </w:rPr>
        <w:t>,</w:t>
      </w:r>
      <w:r w:rsidRPr="006E2E8D">
        <w:rPr>
          <w:szCs w:val="24"/>
        </w:rPr>
        <w:t xml:space="preserve"> and vice-versa) as ~90% of all coal samples are collected on MSA cassettes </w:t>
      </w:r>
      <w:r w:rsidRPr="006E2E8D">
        <w:rPr>
          <w:i/>
          <w:szCs w:val="24"/>
        </w:rPr>
        <w:t>and</w:t>
      </w:r>
      <w:r w:rsidRPr="006E2E8D">
        <w:rPr>
          <w:szCs w:val="24"/>
        </w:rPr>
        <w:t xml:space="preserve"> samples from no other mine type use MSA cassettes for sampling. Furthermore, as MSA</w:t>
      </w:r>
      <w:r w:rsidR="00C14B35">
        <w:rPr>
          <w:szCs w:val="24"/>
        </w:rPr>
        <w:t xml:space="preserve"> </w:t>
      </w:r>
      <w:r w:rsidRPr="006E2E8D">
        <w:rPr>
          <w:szCs w:val="24"/>
        </w:rPr>
        <w:t>coal mine samples comprise half the training (and test) set data this tends to dominate the Cramer’s V statistic (</w:t>
      </w:r>
      <w:r w:rsidRPr="00DA0A87">
        <w:rPr>
          <w:iCs/>
          <w:szCs w:val="24"/>
        </w:rPr>
        <w:t>φ</w:t>
      </w:r>
      <w:r w:rsidRPr="006E2E8D">
        <w:rPr>
          <w:i/>
          <w:iCs/>
          <w:szCs w:val="24"/>
          <w:vertAlign w:val="subscript"/>
        </w:rPr>
        <w:t>c</w:t>
      </w:r>
      <w:r w:rsidRPr="006E2E8D">
        <w:rPr>
          <w:szCs w:val="24"/>
        </w:rPr>
        <w:t>) discussed in the main paper as well as determines the redundancy of the “cassette type” variable used for cluster modeling. Note also that a simple way to understand the Cramer’s V statistic, and covariate substitutability in general, is in the context of a contingency table. For example, a perfect association (</w:t>
      </w:r>
      <w:r w:rsidRPr="00C941C5">
        <w:rPr>
          <w:iCs/>
          <w:szCs w:val="24"/>
        </w:rPr>
        <w:t>φ</w:t>
      </w:r>
      <w:r w:rsidRPr="006E2E8D">
        <w:rPr>
          <w:i/>
          <w:iCs/>
          <w:szCs w:val="24"/>
          <w:vertAlign w:val="subscript"/>
        </w:rPr>
        <w:t xml:space="preserve">c </w:t>
      </w:r>
      <w:r w:rsidRPr="006E2E8D">
        <w:rPr>
          <w:i/>
          <w:iCs/>
          <w:szCs w:val="24"/>
        </w:rPr>
        <w:t>=</w:t>
      </w:r>
      <w:r w:rsidR="008D1B76">
        <w:rPr>
          <w:szCs w:val="24"/>
        </w:rPr>
        <w:t xml:space="preserve"> 1</w:t>
      </w:r>
      <w:r w:rsidRPr="006E2E8D">
        <w:rPr>
          <w:iCs/>
          <w:szCs w:val="24"/>
        </w:rPr>
        <w:t xml:space="preserve">) </w:t>
      </w:r>
      <w:r w:rsidRPr="006E2E8D">
        <w:rPr>
          <w:szCs w:val="24"/>
        </w:rPr>
        <w:t xml:space="preserve">between the </w:t>
      </w:r>
      <w:r w:rsidRPr="006E2E8D">
        <w:rPr>
          <w:szCs w:val="24"/>
        </w:rPr>
        <w:lastRenderedPageBreak/>
        <w:t xml:space="preserve">“mine type” and “cassette type” variables </w:t>
      </w:r>
      <w:r w:rsidRPr="006E2E8D">
        <w:rPr>
          <w:iCs/>
          <w:szCs w:val="24"/>
        </w:rPr>
        <w:t>would have resulted if the 10</w:t>
      </w:r>
      <w:r w:rsidR="00C941C5">
        <w:rPr>
          <w:iCs/>
          <w:szCs w:val="24"/>
        </w:rPr>
        <w:t>, three</w:t>
      </w:r>
      <w:r w:rsidRPr="006E2E8D">
        <w:rPr>
          <w:iCs/>
          <w:szCs w:val="24"/>
        </w:rPr>
        <w:t>-</w:t>
      </w:r>
      <w:r w:rsidR="001D6491">
        <w:rPr>
          <w:iCs/>
          <w:szCs w:val="24"/>
        </w:rPr>
        <w:t>p</w:t>
      </w:r>
      <w:r w:rsidRPr="006E2E8D">
        <w:rPr>
          <w:iCs/>
          <w:szCs w:val="24"/>
        </w:rPr>
        <w:t>iece coal samples were moved to the MSA category.</w:t>
      </w:r>
    </w:p>
    <w:p w14:paraId="64F06EE2" w14:textId="04A7042F" w:rsidR="00FC4F99" w:rsidRPr="006E2E8D" w:rsidRDefault="007D0C2E" w:rsidP="0080718A">
      <w:pPr>
        <w:rPr>
          <w:szCs w:val="24"/>
        </w:rPr>
      </w:pPr>
      <w:r>
        <w:rPr>
          <w:szCs w:val="24"/>
        </w:rPr>
        <w:tab/>
      </w:r>
      <w:r w:rsidR="00FC4F99" w:rsidRPr="006E2E8D">
        <w:rPr>
          <w:szCs w:val="24"/>
        </w:rPr>
        <w:t xml:space="preserve">Table S1 also clearly shows that adding together the “limestone” and “sandstone” categories act as a perfect substitute for “2-piece clear” cassettes (column 1); again, due to the fact that no other mine samples were collected on </w:t>
      </w:r>
      <w:r w:rsidR="003118CC">
        <w:rPr>
          <w:szCs w:val="24"/>
        </w:rPr>
        <w:t>two</w:t>
      </w:r>
      <w:r w:rsidR="00FC4F99" w:rsidRPr="006E2E8D">
        <w:rPr>
          <w:szCs w:val="24"/>
        </w:rPr>
        <w:t xml:space="preserve">-piece cassettes. Finally, a moderate substitution effect in the case of </w:t>
      </w:r>
      <w:r w:rsidR="00481778">
        <w:rPr>
          <w:szCs w:val="24"/>
        </w:rPr>
        <w:t>three</w:t>
      </w:r>
      <w:r w:rsidR="00FC4F99" w:rsidRPr="006E2E8D">
        <w:rPr>
          <w:szCs w:val="24"/>
        </w:rPr>
        <w:t>-piece cassettes (column 2) is observed as 69% of silver mine samples are collected on</w:t>
      </w:r>
      <w:r w:rsidR="00481778">
        <w:rPr>
          <w:szCs w:val="24"/>
        </w:rPr>
        <w:t xml:space="preserve"> three</w:t>
      </w:r>
      <w:r w:rsidR="00FC4F99" w:rsidRPr="006E2E8D">
        <w:rPr>
          <w:szCs w:val="24"/>
        </w:rPr>
        <w:t xml:space="preserve">-piece cassettes with the remaining used for coal mine samples. </w:t>
      </w:r>
    </w:p>
    <w:p w14:paraId="76DAADDD" w14:textId="77777777" w:rsidR="00FC4F99" w:rsidRPr="006E2E8D" w:rsidRDefault="00FC4F99" w:rsidP="0080718A">
      <w:pPr>
        <w:rPr>
          <w:szCs w:val="24"/>
        </w:rPr>
      </w:pPr>
    </w:p>
    <w:p w14:paraId="3E4CE85A" w14:textId="0E161008" w:rsidR="00FC4F99" w:rsidRDefault="00FC4F99" w:rsidP="0080718A">
      <w:bookmarkStart w:id="7" w:name="_Toc171261417"/>
      <w:r w:rsidRPr="002705F9">
        <w:rPr>
          <w:b/>
          <w:bCs/>
        </w:rPr>
        <w:t>Table S</w:t>
      </w:r>
      <w:r w:rsidR="008C5AB4" w:rsidRPr="002705F9">
        <w:rPr>
          <w:b/>
          <w:bCs/>
          <w:i/>
        </w:rPr>
        <w:fldChar w:fldCharType="begin"/>
      </w:r>
      <w:r w:rsidRPr="002705F9">
        <w:rPr>
          <w:b/>
          <w:bCs/>
        </w:rPr>
        <w:instrText xml:space="preserve"> SEQ Table \* ARABIC </w:instrText>
      </w:r>
      <w:r w:rsidR="008C5AB4" w:rsidRPr="002705F9">
        <w:rPr>
          <w:b/>
          <w:bCs/>
          <w:i/>
        </w:rPr>
        <w:fldChar w:fldCharType="separate"/>
      </w:r>
      <w:r w:rsidRPr="002705F9">
        <w:rPr>
          <w:b/>
          <w:bCs/>
          <w:noProof/>
        </w:rPr>
        <w:t>1</w:t>
      </w:r>
      <w:r w:rsidR="008C5AB4" w:rsidRPr="002705F9">
        <w:rPr>
          <w:b/>
          <w:bCs/>
          <w:i/>
        </w:rPr>
        <w:fldChar w:fldCharType="end"/>
      </w:r>
      <w:r w:rsidR="002705F9" w:rsidRPr="002705F9">
        <w:rPr>
          <w:b/>
          <w:bCs/>
        </w:rPr>
        <w:t>.</w:t>
      </w:r>
      <w:r w:rsidRPr="002705F9">
        <w:rPr>
          <w:b/>
          <w:bCs/>
        </w:rPr>
        <w:t xml:space="preserve"> </w:t>
      </w:r>
      <w:r w:rsidRPr="006E2E8D">
        <w:t>Contingency</w:t>
      </w:r>
      <w:r w:rsidR="002705F9" w:rsidRPr="006E2E8D">
        <w:t xml:space="preserve"> table for mine and cassette type gating variab</w:t>
      </w:r>
      <w:r w:rsidRPr="006E2E8D">
        <w:t>les (Cramer’s V (φ</w:t>
      </w:r>
      <w:r w:rsidRPr="006E2E8D">
        <w:rPr>
          <w:iCs/>
          <w:vertAlign w:val="subscript"/>
        </w:rPr>
        <w:t>c</w:t>
      </w:r>
      <w:r w:rsidRPr="006E2E8D">
        <w:rPr>
          <w:iCs/>
        </w:rPr>
        <w:t>)</w:t>
      </w:r>
      <w:r w:rsidRPr="006E2E8D">
        <w:t xml:space="preserve"> = 0.902).</w:t>
      </w:r>
      <w:bookmarkEnd w:id="7"/>
      <w:r w:rsidRPr="006E2E8D">
        <w:t xml:space="preserve"> </w:t>
      </w:r>
    </w:p>
    <w:tbl>
      <w:tblPr>
        <w:tblStyle w:val="TableGrid"/>
        <w:tblW w:w="0" w:type="auto"/>
        <w:tblLook w:val="04A0" w:firstRow="1" w:lastRow="0" w:firstColumn="1" w:lastColumn="0" w:noHBand="0" w:noVBand="1"/>
      </w:tblPr>
      <w:tblGrid>
        <w:gridCol w:w="1413"/>
        <w:gridCol w:w="1559"/>
        <w:gridCol w:w="1276"/>
        <w:gridCol w:w="1701"/>
      </w:tblGrid>
      <w:tr w:rsidR="008D1B76" w:rsidRPr="008D1B76" w14:paraId="2B5571B1" w14:textId="77777777" w:rsidTr="008D1B76">
        <w:tc>
          <w:tcPr>
            <w:tcW w:w="1413" w:type="dxa"/>
          </w:tcPr>
          <w:p w14:paraId="22AD714C" w14:textId="77777777" w:rsidR="008D1B76" w:rsidRPr="008D1B76" w:rsidRDefault="008D1B76" w:rsidP="0080718A">
            <w:pPr>
              <w:rPr>
                <w:i/>
              </w:rPr>
            </w:pPr>
          </w:p>
        </w:tc>
        <w:tc>
          <w:tcPr>
            <w:tcW w:w="1559" w:type="dxa"/>
          </w:tcPr>
          <w:p w14:paraId="72E0425A" w14:textId="75B513A7" w:rsidR="008D1B76" w:rsidRPr="008D1B76" w:rsidRDefault="008D1B76" w:rsidP="0080718A">
            <w:pPr>
              <w:rPr>
                <w:iCs/>
              </w:rPr>
            </w:pPr>
            <w:r w:rsidRPr="008D1B76">
              <w:rPr>
                <w:iCs/>
              </w:rPr>
              <w:t>2-Piece</w:t>
            </w:r>
            <w:r>
              <w:rPr>
                <w:iCs/>
              </w:rPr>
              <w:t>-C</w:t>
            </w:r>
            <w:r w:rsidRPr="008D1B76">
              <w:rPr>
                <w:iCs/>
              </w:rPr>
              <w:t>lear</w:t>
            </w:r>
          </w:p>
        </w:tc>
        <w:tc>
          <w:tcPr>
            <w:tcW w:w="1276" w:type="dxa"/>
          </w:tcPr>
          <w:p w14:paraId="205E7D6B" w14:textId="7FF5A855" w:rsidR="008D1B76" w:rsidRPr="008D1B76" w:rsidRDefault="008D1B76" w:rsidP="0080718A">
            <w:pPr>
              <w:rPr>
                <w:iCs/>
              </w:rPr>
            </w:pPr>
            <w:r>
              <w:rPr>
                <w:iCs/>
              </w:rPr>
              <w:t>3-Piece</w:t>
            </w:r>
          </w:p>
        </w:tc>
        <w:tc>
          <w:tcPr>
            <w:tcW w:w="1701" w:type="dxa"/>
          </w:tcPr>
          <w:p w14:paraId="63FE3C20" w14:textId="52B85E65" w:rsidR="008D1B76" w:rsidRPr="008D1B76" w:rsidRDefault="008D1B76" w:rsidP="0080718A">
            <w:pPr>
              <w:rPr>
                <w:iCs/>
              </w:rPr>
            </w:pPr>
            <w:r>
              <w:rPr>
                <w:iCs/>
              </w:rPr>
              <w:t>MSA</w:t>
            </w:r>
          </w:p>
        </w:tc>
      </w:tr>
      <w:tr w:rsidR="008D1B76" w:rsidRPr="008D1B76" w14:paraId="69DE2CE4" w14:textId="77777777" w:rsidTr="008D1B76">
        <w:tc>
          <w:tcPr>
            <w:tcW w:w="1413" w:type="dxa"/>
          </w:tcPr>
          <w:p w14:paraId="07F75385" w14:textId="53C131FD" w:rsidR="008D1B76" w:rsidRPr="008D1B76" w:rsidRDefault="008D1B76" w:rsidP="0080718A">
            <w:pPr>
              <w:rPr>
                <w:iCs/>
              </w:rPr>
            </w:pPr>
            <w:r w:rsidRPr="008D1B76">
              <w:rPr>
                <w:iCs/>
              </w:rPr>
              <w:t>Coal</w:t>
            </w:r>
          </w:p>
        </w:tc>
        <w:tc>
          <w:tcPr>
            <w:tcW w:w="1559" w:type="dxa"/>
          </w:tcPr>
          <w:p w14:paraId="364BBBFB" w14:textId="52EF7737" w:rsidR="008D1B76" w:rsidRPr="008D1B76" w:rsidRDefault="008D1B76" w:rsidP="0080718A">
            <w:pPr>
              <w:rPr>
                <w:iCs/>
              </w:rPr>
            </w:pPr>
            <w:r>
              <w:rPr>
                <w:iCs/>
              </w:rPr>
              <w:t>0</w:t>
            </w:r>
          </w:p>
        </w:tc>
        <w:tc>
          <w:tcPr>
            <w:tcW w:w="1276" w:type="dxa"/>
          </w:tcPr>
          <w:p w14:paraId="12775B89" w14:textId="7E826E04" w:rsidR="008D1B76" w:rsidRPr="008D1B76" w:rsidRDefault="008D1B76" w:rsidP="0080718A">
            <w:pPr>
              <w:rPr>
                <w:iCs/>
              </w:rPr>
            </w:pPr>
            <w:r>
              <w:rPr>
                <w:iCs/>
              </w:rPr>
              <w:t>10</w:t>
            </w:r>
          </w:p>
        </w:tc>
        <w:tc>
          <w:tcPr>
            <w:tcW w:w="1701" w:type="dxa"/>
          </w:tcPr>
          <w:p w14:paraId="07FF57F6" w14:textId="2A2E132D" w:rsidR="008D1B76" w:rsidRPr="008D1B76" w:rsidRDefault="008D1B76" w:rsidP="0080718A">
            <w:pPr>
              <w:rPr>
                <w:iCs/>
              </w:rPr>
            </w:pPr>
            <w:r>
              <w:rPr>
                <w:iCs/>
              </w:rPr>
              <w:t>90</w:t>
            </w:r>
          </w:p>
        </w:tc>
      </w:tr>
      <w:tr w:rsidR="008D1B76" w:rsidRPr="008D1B76" w14:paraId="22AA947B" w14:textId="77777777" w:rsidTr="008D1B76">
        <w:tc>
          <w:tcPr>
            <w:tcW w:w="1413" w:type="dxa"/>
          </w:tcPr>
          <w:p w14:paraId="0B6D0D55" w14:textId="73D2F05E" w:rsidR="008D1B76" w:rsidRPr="008D1B76" w:rsidRDefault="008D1B76" w:rsidP="0080718A">
            <w:pPr>
              <w:rPr>
                <w:iCs/>
              </w:rPr>
            </w:pPr>
            <w:r>
              <w:rPr>
                <w:iCs/>
              </w:rPr>
              <w:t>Limestone</w:t>
            </w:r>
          </w:p>
        </w:tc>
        <w:tc>
          <w:tcPr>
            <w:tcW w:w="1559" w:type="dxa"/>
          </w:tcPr>
          <w:p w14:paraId="71A53BEF" w14:textId="488EAC63" w:rsidR="008D1B76" w:rsidRPr="008D1B76" w:rsidRDefault="008D1B76" w:rsidP="0080718A">
            <w:pPr>
              <w:rPr>
                <w:iCs/>
              </w:rPr>
            </w:pPr>
            <w:r>
              <w:rPr>
                <w:iCs/>
              </w:rPr>
              <w:t>12</w:t>
            </w:r>
          </w:p>
        </w:tc>
        <w:tc>
          <w:tcPr>
            <w:tcW w:w="1276" w:type="dxa"/>
          </w:tcPr>
          <w:p w14:paraId="6AF939A8" w14:textId="6CC3792D" w:rsidR="008D1B76" w:rsidRPr="008D1B76" w:rsidRDefault="008D1B76" w:rsidP="0080718A">
            <w:pPr>
              <w:rPr>
                <w:iCs/>
              </w:rPr>
            </w:pPr>
            <w:r>
              <w:rPr>
                <w:iCs/>
              </w:rPr>
              <w:t>0</w:t>
            </w:r>
          </w:p>
        </w:tc>
        <w:tc>
          <w:tcPr>
            <w:tcW w:w="1701" w:type="dxa"/>
          </w:tcPr>
          <w:p w14:paraId="7625C95B" w14:textId="44A27B97" w:rsidR="008D1B76" w:rsidRPr="008D1B76" w:rsidRDefault="008D1B76" w:rsidP="0080718A">
            <w:pPr>
              <w:rPr>
                <w:iCs/>
              </w:rPr>
            </w:pPr>
            <w:r>
              <w:rPr>
                <w:iCs/>
              </w:rPr>
              <w:t>0</w:t>
            </w:r>
          </w:p>
        </w:tc>
      </w:tr>
      <w:tr w:rsidR="008D1B76" w:rsidRPr="008D1B76" w14:paraId="06A0C71B" w14:textId="77777777" w:rsidTr="008D1B76">
        <w:tc>
          <w:tcPr>
            <w:tcW w:w="1413" w:type="dxa"/>
          </w:tcPr>
          <w:p w14:paraId="050F063C" w14:textId="667C7064" w:rsidR="008D1B76" w:rsidRPr="008D1B76" w:rsidRDefault="008D1B76" w:rsidP="0080718A">
            <w:pPr>
              <w:rPr>
                <w:iCs/>
              </w:rPr>
            </w:pPr>
            <w:r>
              <w:rPr>
                <w:iCs/>
              </w:rPr>
              <w:t>Sandstone</w:t>
            </w:r>
          </w:p>
        </w:tc>
        <w:tc>
          <w:tcPr>
            <w:tcW w:w="1559" w:type="dxa"/>
          </w:tcPr>
          <w:p w14:paraId="2C6ECD37" w14:textId="31E1C7C0" w:rsidR="008D1B76" w:rsidRPr="008D1B76" w:rsidRDefault="008D1B76" w:rsidP="0080718A">
            <w:pPr>
              <w:rPr>
                <w:iCs/>
              </w:rPr>
            </w:pPr>
            <w:r>
              <w:rPr>
                <w:iCs/>
              </w:rPr>
              <w:t>21</w:t>
            </w:r>
          </w:p>
        </w:tc>
        <w:tc>
          <w:tcPr>
            <w:tcW w:w="1276" w:type="dxa"/>
          </w:tcPr>
          <w:p w14:paraId="31C39145" w14:textId="220C9894" w:rsidR="008D1B76" w:rsidRPr="008D1B76" w:rsidRDefault="008D1B76" w:rsidP="0080718A">
            <w:pPr>
              <w:rPr>
                <w:iCs/>
              </w:rPr>
            </w:pPr>
            <w:r>
              <w:rPr>
                <w:iCs/>
              </w:rPr>
              <w:t>0</w:t>
            </w:r>
          </w:p>
        </w:tc>
        <w:tc>
          <w:tcPr>
            <w:tcW w:w="1701" w:type="dxa"/>
          </w:tcPr>
          <w:p w14:paraId="36A8D930" w14:textId="286C2C52" w:rsidR="008D1B76" w:rsidRPr="008D1B76" w:rsidRDefault="008D1B76" w:rsidP="0080718A">
            <w:pPr>
              <w:rPr>
                <w:iCs/>
              </w:rPr>
            </w:pPr>
            <w:r>
              <w:rPr>
                <w:iCs/>
              </w:rPr>
              <w:t>0</w:t>
            </w:r>
          </w:p>
        </w:tc>
      </w:tr>
      <w:tr w:rsidR="008D1B76" w:rsidRPr="008D1B76" w14:paraId="1609EA2D" w14:textId="77777777" w:rsidTr="008D1B76">
        <w:tc>
          <w:tcPr>
            <w:tcW w:w="1413" w:type="dxa"/>
          </w:tcPr>
          <w:p w14:paraId="610300EB" w14:textId="6CF01F58" w:rsidR="008D1B76" w:rsidRPr="008D1B76" w:rsidRDefault="008D1B76" w:rsidP="0080718A">
            <w:pPr>
              <w:rPr>
                <w:iCs/>
              </w:rPr>
            </w:pPr>
            <w:r>
              <w:rPr>
                <w:iCs/>
              </w:rPr>
              <w:t>Silver</w:t>
            </w:r>
          </w:p>
        </w:tc>
        <w:tc>
          <w:tcPr>
            <w:tcW w:w="1559" w:type="dxa"/>
          </w:tcPr>
          <w:p w14:paraId="4B47145B" w14:textId="3DB8D90E" w:rsidR="008D1B76" w:rsidRPr="008D1B76" w:rsidRDefault="008D1B76" w:rsidP="0080718A">
            <w:pPr>
              <w:rPr>
                <w:iCs/>
              </w:rPr>
            </w:pPr>
            <w:r>
              <w:rPr>
                <w:iCs/>
              </w:rPr>
              <w:t>0</w:t>
            </w:r>
          </w:p>
        </w:tc>
        <w:tc>
          <w:tcPr>
            <w:tcW w:w="1276" w:type="dxa"/>
          </w:tcPr>
          <w:p w14:paraId="00E4D0DD" w14:textId="168D96D1" w:rsidR="008D1B76" w:rsidRPr="008D1B76" w:rsidRDefault="008D1B76" w:rsidP="0080718A">
            <w:pPr>
              <w:rPr>
                <w:iCs/>
              </w:rPr>
            </w:pPr>
            <w:r>
              <w:rPr>
                <w:iCs/>
              </w:rPr>
              <w:t>23</w:t>
            </w:r>
          </w:p>
        </w:tc>
        <w:tc>
          <w:tcPr>
            <w:tcW w:w="1701" w:type="dxa"/>
          </w:tcPr>
          <w:p w14:paraId="652D4DAE" w14:textId="58ECFECF" w:rsidR="008D1B76" w:rsidRPr="008D1B76" w:rsidRDefault="008D1B76" w:rsidP="0080718A">
            <w:pPr>
              <w:rPr>
                <w:iCs/>
              </w:rPr>
            </w:pPr>
            <w:r>
              <w:rPr>
                <w:iCs/>
              </w:rPr>
              <w:t>0</w:t>
            </w:r>
          </w:p>
        </w:tc>
      </w:tr>
    </w:tbl>
    <w:p w14:paraId="55940009" w14:textId="77777777" w:rsidR="008D1B76" w:rsidRDefault="008D1B76" w:rsidP="0080718A">
      <w:pPr>
        <w:rPr>
          <w:iCs/>
        </w:rPr>
      </w:pPr>
      <w:bookmarkStart w:id="8" w:name="_Toc171261418"/>
    </w:p>
    <w:p w14:paraId="26B078FA" w14:textId="27146C85" w:rsidR="00170DB7" w:rsidRPr="008D1B76" w:rsidRDefault="002705F9" w:rsidP="0080718A">
      <w:pPr>
        <w:rPr>
          <w:rFonts w:eastAsiaTheme="majorEastAsia"/>
          <w:i/>
        </w:rPr>
      </w:pPr>
      <w:r>
        <w:rPr>
          <w:szCs w:val="24"/>
        </w:rPr>
        <w:tab/>
      </w:r>
      <w:r w:rsidR="005B2244">
        <w:rPr>
          <w:szCs w:val="24"/>
        </w:rPr>
        <w:t>A secondary implication of the strong association between “mine” and “cassette type” is the difficulty in statistically parsing a “mine bias” from a “cassette/deposition bias.” Regardless, we regard the impact of cassette type as likely small for these multivariate models for the following reasons. The first pertains to the lack of anything resembling a deposition effect on the PCA and PLS scores (Figures 1 and S6). If present, we would expect to see samples cluster according to cassette type, and the eigenvectors/loadings will show no obvious pattern of absorption linked to aerosol infrared bands. As the PLS components used for calibration are correlated strongly to sample mass and no clear grouping of samples by cassette type exist on PLS and PCA scores, we tentatively conclude that a deposition/cassette effect is negligible compared to the geologic factors linked to dust source (“mine type”).</w:t>
      </w:r>
    </w:p>
    <w:p w14:paraId="3F48989F" w14:textId="77777777" w:rsidR="002705F9" w:rsidRPr="002705F9" w:rsidRDefault="002705F9" w:rsidP="0080718A">
      <w:pPr>
        <w:rPr>
          <w:b/>
          <w:bCs/>
          <w:szCs w:val="24"/>
        </w:rPr>
      </w:pPr>
    </w:p>
    <w:p w14:paraId="2340066B" w14:textId="00B517C0" w:rsidR="00FC4F99" w:rsidRPr="00DA0A87" w:rsidRDefault="00FC4F99" w:rsidP="0080718A">
      <w:pPr>
        <w:rPr>
          <w:b/>
          <w:bCs/>
        </w:rPr>
      </w:pPr>
      <w:r w:rsidRPr="002705F9">
        <w:rPr>
          <w:b/>
          <w:bCs/>
        </w:rPr>
        <w:t>S3</w:t>
      </w:r>
      <w:r w:rsidR="002705F9">
        <w:rPr>
          <w:b/>
          <w:bCs/>
        </w:rPr>
        <w:t xml:space="preserve">  </w:t>
      </w:r>
      <w:r w:rsidRPr="002705F9">
        <w:rPr>
          <w:b/>
          <w:bCs/>
        </w:rPr>
        <w:t>Media</w:t>
      </w:r>
      <w:r w:rsidR="002705F9" w:rsidRPr="002705F9">
        <w:rPr>
          <w:b/>
          <w:bCs/>
        </w:rPr>
        <w:t>n Percentage Bia</w:t>
      </w:r>
      <w:r w:rsidRPr="002705F9">
        <w:rPr>
          <w:b/>
          <w:bCs/>
        </w:rPr>
        <w:t xml:space="preserve">s by </w:t>
      </w:r>
      <w:r w:rsidR="002705F9" w:rsidRPr="002705F9">
        <w:rPr>
          <w:b/>
          <w:bCs/>
        </w:rPr>
        <w:t>Mine Type</w:t>
      </w:r>
      <w:r w:rsidRPr="002705F9">
        <w:rPr>
          <w:b/>
          <w:bCs/>
        </w:rPr>
        <w:t xml:space="preserve"> for</w:t>
      </w:r>
      <w:r w:rsidR="002705F9" w:rsidRPr="002705F9">
        <w:rPr>
          <w:b/>
          <w:bCs/>
        </w:rPr>
        <w:t xml:space="preserve"> All Models Tested</w:t>
      </w:r>
      <w:bookmarkEnd w:id="8"/>
    </w:p>
    <w:p w14:paraId="6A42EBFE" w14:textId="13B502C2" w:rsidR="00FC4F99" w:rsidRPr="006E2E8D" w:rsidRDefault="00FC4F99" w:rsidP="0080718A">
      <w:pPr>
        <w:rPr>
          <w:i/>
        </w:rPr>
      </w:pPr>
      <w:bookmarkStart w:id="9" w:name="_Toc171261419"/>
      <w:r w:rsidRPr="002705F9">
        <w:rPr>
          <w:b/>
          <w:bCs/>
        </w:rPr>
        <w:lastRenderedPageBreak/>
        <w:t>Table S</w:t>
      </w:r>
      <w:r w:rsidR="008C5AB4" w:rsidRPr="002705F9">
        <w:rPr>
          <w:b/>
          <w:bCs/>
          <w:i/>
        </w:rPr>
        <w:fldChar w:fldCharType="begin"/>
      </w:r>
      <w:r w:rsidRPr="002705F9">
        <w:rPr>
          <w:b/>
          <w:bCs/>
        </w:rPr>
        <w:instrText xml:space="preserve"> SEQ Table \* ARABIC </w:instrText>
      </w:r>
      <w:r w:rsidR="008C5AB4" w:rsidRPr="002705F9">
        <w:rPr>
          <w:b/>
          <w:bCs/>
          <w:i/>
        </w:rPr>
        <w:fldChar w:fldCharType="separate"/>
      </w:r>
      <w:r w:rsidRPr="002705F9">
        <w:rPr>
          <w:b/>
          <w:bCs/>
          <w:noProof/>
        </w:rPr>
        <w:t>2</w:t>
      </w:r>
      <w:r w:rsidR="008C5AB4" w:rsidRPr="002705F9">
        <w:rPr>
          <w:b/>
          <w:bCs/>
          <w:i/>
        </w:rPr>
        <w:fldChar w:fldCharType="end"/>
      </w:r>
      <w:r w:rsidR="002705F9" w:rsidRPr="002705F9">
        <w:rPr>
          <w:b/>
          <w:bCs/>
        </w:rPr>
        <w:t>.</w:t>
      </w:r>
      <w:r w:rsidR="002705F9">
        <w:t xml:space="preserve"> </w:t>
      </w:r>
      <w:r w:rsidRPr="006E2E8D">
        <w:t>Median percentage bias and 95% bootstrap confidence intervals for each model tested in the study, decomposed by mint type. Bias significantly different than zero are denoted by asterisks.</w:t>
      </w:r>
      <w:bookmarkEnd w:id="9"/>
    </w:p>
    <w:tbl>
      <w:tblPr>
        <w:tblStyle w:val="TableGrid"/>
        <w:tblW w:w="0" w:type="auto"/>
        <w:jc w:val="center"/>
        <w:tblLook w:val="04A0" w:firstRow="1" w:lastRow="0" w:firstColumn="1" w:lastColumn="0" w:noHBand="0" w:noVBand="1"/>
      </w:tblPr>
      <w:tblGrid>
        <w:gridCol w:w="1762"/>
        <w:gridCol w:w="751"/>
        <w:gridCol w:w="1475"/>
        <w:gridCol w:w="1663"/>
        <w:gridCol w:w="1555"/>
        <w:gridCol w:w="2065"/>
      </w:tblGrid>
      <w:tr w:rsidR="00FC4F99" w:rsidRPr="006E2E8D" w14:paraId="1897BA18" w14:textId="77777777" w:rsidTr="00643994">
        <w:trPr>
          <w:trHeight w:val="690"/>
          <w:jc w:val="center"/>
        </w:trPr>
        <w:tc>
          <w:tcPr>
            <w:tcW w:w="1762" w:type="dxa"/>
            <w:vAlign w:val="center"/>
            <w:hideMark/>
          </w:tcPr>
          <w:p w14:paraId="24646729" w14:textId="77777777" w:rsidR="00FC4F99" w:rsidRPr="006E2E8D" w:rsidRDefault="00FC4F99" w:rsidP="0080718A">
            <w:pPr>
              <w:rPr>
                <w:sz w:val="26"/>
                <w:szCs w:val="26"/>
              </w:rPr>
            </w:pPr>
            <w:r w:rsidRPr="006E2E8D">
              <w:rPr>
                <w:i/>
              </w:rPr>
              <w:br w:type="page"/>
            </w:r>
            <w:r w:rsidRPr="006E2E8D">
              <w:rPr>
                <w:sz w:val="26"/>
                <w:szCs w:val="26"/>
              </w:rPr>
              <w:t>Mine</w:t>
            </w:r>
          </w:p>
        </w:tc>
        <w:tc>
          <w:tcPr>
            <w:tcW w:w="751" w:type="dxa"/>
            <w:vAlign w:val="center"/>
            <w:hideMark/>
          </w:tcPr>
          <w:p w14:paraId="3AD65B59" w14:textId="77777777" w:rsidR="00FC4F99" w:rsidRPr="006E2E8D" w:rsidRDefault="00FC4F99" w:rsidP="0080718A">
            <w:pPr>
              <w:rPr>
                <w:sz w:val="26"/>
                <w:szCs w:val="26"/>
              </w:rPr>
            </w:pPr>
            <w:r w:rsidRPr="006E2E8D">
              <w:rPr>
                <w:sz w:val="26"/>
                <w:szCs w:val="26"/>
              </w:rPr>
              <w:t>N</w:t>
            </w:r>
          </w:p>
        </w:tc>
        <w:tc>
          <w:tcPr>
            <w:tcW w:w="1475" w:type="dxa"/>
            <w:vAlign w:val="center"/>
            <w:hideMark/>
          </w:tcPr>
          <w:p w14:paraId="4C7B3BCD" w14:textId="77777777" w:rsidR="00FC4F99" w:rsidRPr="006E2E8D" w:rsidRDefault="00FC4F99" w:rsidP="0080718A">
            <w:pPr>
              <w:rPr>
                <w:sz w:val="26"/>
                <w:szCs w:val="26"/>
              </w:rPr>
            </w:pPr>
            <w:r w:rsidRPr="006E2E8D">
              <w:rPr>
                <w:sz w:val="26"/>
                <w:szCs w:val="26"/>
              </w:rPr>
              <w:t>PLS</w:t>
            </w:r>
          </w:p>
        </w:tc>
        <w:tc>
          <w:tcPr>
            <w:tcW w:w="1663" w:type="dxa"/>
            <w:vAlign w:val="center"/>
            <w:hideMark/>
          </w:tcPr>
          <w:p w14:paraId="2EB1F27A" w14:textId="2F81372F" w:rsidR="00FC4F99" w:rsidRPr="006E2E8D" w:rsidRDefault="00FC4F99" w:rsidP="0080718A">
            <w:pPr>
              <w:rPr>
                <w:sz w:val="26"/>
                <w:szCs w:val="26"/>
              </w:rPr>
            </w:pPr>
            <w:r w:rsidRPr="006E2E8D">
              <w:rPr>
                <w:sz w:val="26"/>
                <w:szCs w:val="26"/>
              </w:rPr>
              <w:t>MOE</w:t>
            </w:r>
            <w:r w:rsidR="005B37D9">
              <w:rPr>
                <w:sz w:val="26"/>
                <w:szCs w:val="26"/>
              </w:rPr>
              <w:t xml:space="preserve"> </w:t>
            </w:r>
            <w:r w:rsidRPr="006E2E8D">
              <w:rPr>
                <w:sz w:val="26"/>
                <w:szCs w:val="26"/>
              </w:rPr>
              <w:t>[1]      (Expert Only)</w:t>
            </w:r>
          </w:p>
        </w:tc>
        <w:tc>
          <w:tcPr>
            <w:tcW w:w="1555" w:type="dxa"/>
            <w:vAlign w:val="center"/>
            <w:hideMark/>
          </w:tcPr>
          <w:p w14:paraId="7BB00556" w14:textId="0B2ED62D" w:rsidR="00FC4F99" w:rsidRPr="006E2E8D" w:rsidRDefault="00FC4F99" w:rsidP="0080718A">
            <w:pPr>
              <w:rPr>
                <w:sz w:val="26"/>
                <w:szCs w:val="26"/>
              </w:rPr>
            </w:pPr>
            <w:r w:rsidRPr="006E2E8D">
              <w:rPr>
                <w:sz w:val="26"/>
                <w:szCs w:val="26"/>
              </w:rPr>
              <w:t>MOE</w:t>
            </w:r>
            <w:r w:rsidR="005B37D9">
              <w:rPr>
                <w:sz w:val="26"/>
                <w:szCs w:val="26"/>
              </w:rPr>
              <w:t xml:space="preserve"> </w:t>
            </w:r>
            <w:r w:rsidRPr="006E2E8D">
              <w:rPr>
                <w:sz w:val="26"/>
                <w:szCs w:val="26"/>
              </w:rPr>
              <w:t>[2]      (Mine)</w:t>
            </w:r>
          </w:p>
        </w:tc>
        <w:tc>
          <w:tcPr>
            <w:tcW w:w="2065" w:type="dxa"/>
            <w:vAlign w:val="center"/>
            <w:hideMark/>
          </w:tcPr>
          <w:p w14:paraId="2AC9BE56" w14:textId="1EDB367F" w:rsidR="00FC4F99" w:rsidRPr="006E2E8D" w:rsidRDefault="00FC4F99" w:rsidP="0080718A">
            <w:pPr>
              <w:rPr>
                <w:sz w:val="26"/>
                <w:szCs w:val="26"/>
              </w:rPr>
            </w:pPr>
            <w:r w:rsidRPr="006E2E8D">
              <w:rPr>
                <w:sz w:val="26"/>
                <w:szCs w:val="26"/>
              </w:rPr>
              <w:t>MOE</w:t>
            </w:r>
            <w:r w:rsidR="005B37D9">
              <w:rPr>
                <w:sz w:val="26"/>
                <w:szCs w:val="26"/>
              </w:rPr>
              <w:t xml:space="preserve"> </w:t>
            </w:r>
            <w:r w:rsidRPr="006E2E8D">
              <w:rPr>
                <w:sz w:val="26"/>
                <w:szCs w:val="26"/>
              </w:rPr>
              <w:t>[2]              (Mine, Cassette)</w:t>
            </w:r>
          </w:p>
        </w:tc>
      </w:tr>
      <w:tr w:rsidR="00FC4F99" w:rsidRPr="006E2E8D" w14:paraId="6BBD9A5B" w14:textId="77777777" w:rsidTr="00643994">
        <w:trPr>
          <w:trHeight w:val="701"/>
          <w:jc w:val="center"/>
        </w:trPr>
        <w:tc>
          <w:tcPr>
            <w:tcW w:w="1762" w:type="dxa"/>
            <w:vAlign w:val="center"/>
            <w:hideMark/>
          </w:tcPr>
          <w:p w14:paraId="0FCADDD3" w14:textId="77777777" w:rsidR="00FC4F99" w:rsidRPr="006E2E8D" w:rsidRDefault="00FC4F99" w:rsidP="0080718A">
            <w:pPr>
              <w:rPr>
                <w:sz w:val="26"/>
                <w:szCs w:val="26"/>
              </w:rPr>
            </w:pPr>
            <w:r w:rsidRPr="006E2E8D">
              <w:rPr>
                <w:sz w:val="26"/>
                <w:szCs w:val="26"/>
              </w:rPr>
              <w:t>Coal</w:t>
            </w:r>
          </w:p>
        </w:tc>
        <w:tc>
          <w:tcPr>
            <w:tcW w:w="751" w:type="dxa"/>
            <w:vAlign w:val="center"/>
            <w:hideMark/>
          </w:tcPr>
          <w:p w14:paraId="74AC967B" w14:textId="77777777" w:rsidR="00FC4F99" w:rsidRPr="006E2E8D" w:rsidRDefault="00FC4F99" w:rsidP="0080718A">
            <w:pPr>
              <w:rPr>
                <w:sz w:val="26"/>
                <w:szCs w:val="26"/>
              </w:rPr>
            </w:pPr>
            <w:r w:rsidRPr="006E2E8D">
              <w:rPr>
                <w:sz w:val="26"/>
                <w:szCs w:val="26"/>
              </w:rPr>
              <w:t>56</w:t>
            </w:r>
          </w:p>
        </w:tc>
        <w:tc>
          <w:tcPr>
            <w:tcW w:w="1475" w:type="dxa"/>
            <w:vAlign w:val="center"/>
            <w:hideMark/>
          </w:tcPr>
          <w:p w14:paraId="1C15DAAE" w14:textId="111A7B83" w:rsidR="00FC4F99" w:rsidRPr="006E2E8D" w:rsidRDefault="00FC4F99" w:rsidP="0080718A">
            <w:pPr>
              <w:rPr>
                <w:sz w:val="26"/>
                <w:szCs w:val="26"/>
              </w:rPr>
            </w:pPr>
            <w:r w:rsidRPr="006E2E8D">
              <w:rPr>
                <w:sz w:val="26"/>
                <w:szCs w:val="26"/>
              </w:rPr>
              <w:t>2.7                      (</w:t>
            </w:r>
            <w:r w:rsidR="00B7277E">
              <w:rPr>
                <w:sz w:val="26"/>
                <w:szCs w:val="26"/>
              </w:rPr>
              <w:t>–</w:t>
            </w:r>
            <w:r w:rsidRPr="006E2E8D">
              <w:rPr>
                <w:sz w:val="26"/>
                <w:szCs w:val="26"/>
              </w:rPr>
              <w:t>4.8, 8.2)</w:t>
            </w:r>
          </w:p>
        </w:tc>
        <w:tc>
          <w:tcPr>
            <w:tcW w:w="1663" w:type="dxa"/>
            <w:vAlign w:val="center"/>
            <w:hideMark/>
          </w:tcPr>
          <w:p w14:paraId="0D731191" w14:textId="01B2759A" w:rsidR="00FC4F99" w:rsidRPr="006E2E8D" w:rsidRDefault="00FC4F99" w:rsidP="0080718A">
            <w:pPr>
              <w:rPr>
                <w:sz w:val="26"/>
                <w:szCs w:val="26"/>
              </w:rPr>
            </w:pPr>
            <w:r w:rsidRPr="006E2E8D">
              <w:rPr>
                <w:sz w:val="26"/>
                <w:szCs w:val="26"/>
              </w:rPr>
              <w:t>0.2                    (</w:t>
            </w:r>
            <w:r w:rsidR="00B7277E">
              <w:rPr>
                <w:sz w:val="26"/>
                <w:szCs w:val="26"/>
              </w:rPr>
              <w:t>–</w:t>
            </w:r>
            <w:r w:rsidRPr="006E2E8D">
              <w:rPr>
                <w:sz w:val="26"/>
                <w:szCs w:val="26"/>
              </w:rPr>
              <w:t>8.5, 1.2)</w:t>
            </w:r>
          </w:p>
        </w:tc>
        <w:tc>
          <w:tcPr>
            <w:tcW w:w="1555" w:type="dxa"/>
            <w:vAlign w:val="center"/>
            <w:hideMark/>
          </w:tcPr>
          <w:p w14:paraId="12759EAD" w14:textId="41B418C1" w:rsidR="00FC4F99" w:rsidRPr="006E2E8D" w:rsidRDefault="00B7277E" w:rsidP="0080718A">
            <w:pPr>
              <w:rPr>
                <w:sz w:val="26"/>
                <w:szCs w:val="26"/>
              </w:rPr>
            </w:pPr>
            <w:r>
              <w:rPr>
                <w:sz w:val="26"/>
                <w:szCs w:val="26"/>
              </w:rPr>
              <w:t>–</w:t>
            </w:r>
            <w:r w:rsidR="00FC4F99" w:rsidRPr="006E2E8D">
              <w:rPr>
                <w:sz w:val="26"/>
                <w:szCs w:val="26"/>
              </w:rPr>
              <w:t>0.6                    (</w:t>
            </w:r>
            <w:r>
              <w:rPr>
                <w:sz w:val="26"/>
                <w:szCs w:val="26"/>
              </w:rPr>
              <w:t>–</w:t>
            </w:r>
            <w:r w:rsidR="00FC4F99" w:rsidRPr="006E2E8D">
              <w:rPr>
                <w:sz w:val="26"/>
                <w:szCs w:val="26"/>
              </w:rPr>
              <w:t>11.5, 2.6)</w:t>
            </w:r>
          </w:p>
        </w:tc>
        <w:tc>
          <w:tcPr>
            <w:tcW w:w="2065" w:type="dxa"/>
            <w:vAlign w:val="center"/>
            <w:hideMark/>
          </w:tcPr>
          <w:p w14:paraId="455512C3" w14:textId="4E3E7B77" w:rsidR="00FC4F99" w:rsidRPr="006E2E8D" w:rsidRDefault="00B7277E" w:rsidP="0080718A">
            <w:pPr>
              <w:rPr>
                <w:sz w:val="26"/>
                <w:szCs w:val="26"/>
              </w:rPr>
            </w:pPr>
            <w:r>
              <w:rPr>
                <w:sz w:val="26"/>
                <w:szCs w:val="26"/>
              </w:rPr>
              <w:t>–</w:t>
            </w:r>
            <w:r w:rsidR="00FC4F99" w:rsidRPr="006E2E8D">
              <w:rPr>
                <w:sz w:val="26"/>
                <w:szCs w:val="26"/>
              </w:rPr>
              <w:t>1.1                          (</w:t>
            </w:r>
            <w:r>
              <w:rPr>
                <w:sz w:val="26"/>
                <w:szCs w:val="26"/>
              </w:rPr>
              <w:t>–</w:t>
            </w:r>
            <w:r w:rsidR="00FC4F99" w:rsidRPr="006E2E8D">
              <w:rPr>
                <w:sz w:val="26"/>
                <w:szCs w:val="26"/>
              </w:rPr>
              <w:t>16.0, 0.4)</w:t>
            </w:r>
          </w:p>
        </w:tc>
      </w:tr>
      <w:tr w:rsidR="00FC4F99" w:rsidRPr="006E2E8D" w14:paraId="089E75DD" w14:textId="77777777" w:rsidTr="00643994">
        <w:trPr>
          <w:trHeight w:val="710"/>
          <w:jc w:val="center"/>
        </w:trPr>
        <w:tc>
          <w:tcPr>
            <w:tcW w:w="1762" w:type="dxa"/>
            <w:vAlign w:val="center"/>
            <w:hideMark/>
          </w:tcPr>
          <w:p w14:paraId="63D774E4" w14:textId="77777777" w:rsidR="00FC4F99" w:rsidRPr="006E2E8D" w:rsidRDefault="00FC4F99" w:rsidP="0080718A">
            <w:pPr>
              <w:rPr>
                <w:sz w:val="26"/>
                <w:szCs w:val="26"/>
              </w:rPr>
            </w:pPr>
            <w:r w:rsidRPr="006E2E8D">
              <w:rPr>
                <w:sz w:val="26"/>
                <w:szCs w:val="26"/>
              </w:rPr>
              <w:t>Limestone</w:t>
            </w:r>
          </w:p>
        </w:tc>
        <w:tc>
          <w:tcPr>
            <w:tcW w:w="751" w:type="dxa"/>
            <w:vAlign w:val="center"/>
            <w:hideMark/>
          </w:tcPr>
          <w:p w14:paraId="5BAC34F4" w14:textId="77777777" w:rsidR="00FC4F99" w:rsidRPr="006E2E8D" w:rsidRDefault="00FC4F99" w:rsidP="0080718A">
            <w:pPr>
              <w:rPr>
                <w:sz w:val="26"/>
                <w:szCs w:val="26"/>
              </w:rPr>
            </w:pPr>
            <w:r w:rsidRPr="006E2E8D">
              <w:rPr>
                <w:sz w:val="26"/>
                <w:szCs w:val="26"/>
              </w:rPr>
              <w:t>7</w:t>
            </w:r>
          </w:p>
        </w:tc>
        <w:tc>
          <w:tcPr>
            <w:tcW w:w="1475" w:type="dxa"/>
            <w:vAlign w:val="center"/>
            <w:hideMark/>
          </w:tcPr>
          <w:p w14:paraId="78786495" w14:textId="77777777" w:rsidR="00FC4F99" w:rsidRPr="006E2E8D" w:rsidRDefault="00FC4F99" w:rsidP="0080718A">
            <w:pPr>
              <w:rPr>
                <w:sz w:val="26"/>
                <w:szCs w:val="26"/>
              </w:rPr>
            </w:pPr>
            <w:r w:rsidRPr="006E2E8D">
              <w:rPr>
                <w:sz w:val="26"/>
                <w:szCs w:val="26"/>
              </w:rPr>
              <w:t>6.5*                     (1.3, 12.4)</w:t>
            </w:r>
          </w:p>
        </w:tc>
        <w:tc>
          <w:tcPr>
            <w:tcW w:w="1663" w:type="dxa"/>
            <w:vAlign w:val="center"/>
            <w:hideMark/>
          </w:tcPr>
          <w:p w14:paraId="3DB79034" w14:textId="7A59DAB9" w:rsidR="00FC4F99" w:rsidRPr="006E2E8D" w:rsidRDefault="00B7277E" w:rsidP="0080718A">
            <w:pPr>
              <w:rPr>
                <w:sz w:val="26"/>
                <w:szCs w:val="26"/>
              </w:rPr>
            </w:pPr>
            <w:r>
              <w:rPr>
                <w:sz w:val="26"/>
                <w:szCs w:val="26"/>
              </w:rPr>
              <w:t>–</w:t>
            </w:r>
            <w:r w:rsidR="00FC4F99" w:rsidRPr="006E2E8D">
              <w:rPr>
                <w:sz w:val="26"/>
                <w:szCs w:val="26"/>
              </w:rPr>
              <w:t>0.3                  (</w:t>
            </w:r>
            <w:r>
              <w:rPr>
                <w:sz w:val="26"/>
                <w:szCs w:val="26"/>
              </w:rPr>
              <w:t>–</w:t>
            </w:r>
            <w:r w:rsidR="00FC4F99" w:rsidRPr="006E2E8D">
              <w:rPr>
                <w:sz w:val="26"/>
                <w:szCs w:val="26"/>
              </w:rPr>
              <w:t>5.8, 1.6)</w:t>
            </w:r>
          </w:p>
        </w:tc>
        <w:tc>
          <w:tcPr>
            <w:tcW w:w="1555" w:type="dxa"/>
            <w:vAlign w:val="center"/>
            <w:hideMark/>
          </w:tcPr>
          <w:p w14:paraId="46240045" w14:textId="1074718D" w:rsidR="00FC4F99" w:rsidRPr="006E2E8D" w:rsidRDefault="00FC4F99" w:rsidP="0080718A">
            <w:pPr>
              <w:rPr>
                <w:sz w:val="26"/>
                <w:szCs w:val="26"/>
              </w:rPr>
            </w:pPr>
            <w:r w:rsidRPr="006E2E8D">
              <w:rPr>
                <w:sz w:val="26"/>
                <w:szCs w:val="26"/>
              </w:rPr>
              <w:t>0.9                   (</w:t>
            </w:r>
            <w:r w:rsidR="00B7277E">
              <w:rPr>
                <w:sz w:val="26"/>
                <w:szCs w:val="26"/>
              </w:rPr>
              <w:t>–</w:t>
            </w:r>
            <w:r w:rsidRPr="006E2E8D">
              <w:rPr>
                <w:sz w:val="26"/>
                <w:szCs w:val="26"/>
              </w:rPr>
              <w:t>12.3, 3.2)</w:t>
            </w:r>
          </w:p>
        </w:tc>
        <w:tc>
          <w:tcPr>
            <w:tcW w:w="2065" w:type="dxa"/>
            <w:vAlign w:val="center"/>
            <w:hideMark/>
          </w:tcPr>
          <w:p w14:paraId="6E2B27B0" w14:textId="2DF9FF3E" w:rsidR="00FC4F99" w:rsidRPr="006E2E8D" w:rsidRDefault="00FC4F99" w:rsidP="0080718A">
            <w:pPr>
              <w:rPr>
                <w:sz w:val="26"/>
                <w:szCs w:val="26"/>
              </w:rPr>
            </w:pPr>
            <w:r w:rsidRPr="006E2E8D">
              <w:rPr>
                <w:sz w:val="26"/>
                <w:szCs w:val="26"/>
              </w:rPr>
              <w:t>0.2                        (</w:t>
            </w:r>
            <w:r w:rsidR="00B7277E">
              <w:rPr>
                <w:sz w:val="26"/>
                <w:szCs w:val="26"/>
              </w:rPr>
              <w:t>–</w:t>
            </w:r>
            <w:r w:rsidRPr="006E2E8D">
              <w:rPr>
                <w:sz w:val="26"/>
                <w:szCs w:val="26"/>
              </w:rPr>
              <w:t>15.1, 1.5)</w:t>
            </w:r>
          </w:p>
        </w:tc>
      </w:tr>
      <w:tr w:rsidR="00FC4F99" w:rsidRPr="006E2E8D" w14:paraId="0B0515A7" w14:textId="77777777" w:rsidTr="00643994">
        <w:trPr>
          <w:trHeight w:val="800"/>
          <w:jc w:val="center"/>
        </w:trPr>
        <w:tc>
          <w:tcPr>
            <w:tcW w:w="1762" w:type="dxa"/>
            <w:vAlign w:val="center"/>
            <w:hideMark/>
          </w:tcPr>
          <w:p w14:paraId="421C5A8E" w14:textId="77777777" w:rsidR="00FC4F99" w:rsidRPr="006E2E8D" w:rsidRDefault="00FC4F99" w:rsidP="0080718A">
            <w:pPr>
              <w:rPr>
                <w:sz w:val="26"/>
                <w:szCs w:val="26"/>
              </w:rPr>
            </w:pPr>
            <w:r w:rsidRPr="006E2E8D">
              <w:rPr>
                <w:sz w:val="26"/>
                <w:szCs w:val="26"/>
              </w:rPr>
              <w:t>Sandstone</w:t>
            </w:r>
          </w:p>
        </w:tc>
        <w:tc>
          <w:tcPr>
            <w:tcW w:w="751" w:type="dxa"/>
            <w:vAlign w:val="center"/>
            <w:hideMark/>
          </w:tcPr>
          <w:p w14:paraId="54CAC710" w14:textId="77777777" w:rsidR="00FC4F99" w:rsidRPr="006E2E8D" w:rsidRDefault="00FC4F99" w:rsidP="0080718A">
            <w:pPr>
              <w:rPr>
                <w:sz w:val="26"/>
                <w:szCs w:val="26"/>
              </w:rPr>
            </w:pPr>
            <w:r w:rsidRPr="006E2E8D">
              <w:rPr>
                <w:sz w:val="26"/>
                <w:szCs w:val="26"/>
              </w:rPr>
              <w:t>12</w:t>
            </w:r>
          </w:p>
        </w:tc>
        <w:tc>
          <w:tcPr>
            <w:tcW w:w="1475" w:type="dxa"/>
            <w:vAlign w:val="center"/>
            <w:hideMark/>
          </w:tcPr>
          <w:p w14:paraId="0243839D" w14:textId="77777777" w:rsidR="00FC4F99" w:rsidRPr="006E2E8D" w:rsidRDefault="00FC4F99" w:rsidP="0080718A">
            <w:pPr>
              <w:rPr>
                <w:sz w:val="26"/>
                <w:szCs w:val="26"/>
              </w:rPr>
            </w:pPr>
            <w:r w:rsidRPr="006E2E8D">
              <w:rPr>
                <w:sz w:val="26"/>
                <w:szCs w:val="26"/>
              </w:rPr>
              <w:t>30.3*            (17.1, 64.4)</w:t>
            </w:r>
          </w:p>
        </w:tc>
        <w:tc>
          <w:tcPr>
            <w:tcW w:w="1663" w:type="dxa"/>
            <w:vAlign w:val="center"/>
            <w:hideMark/>
          </w:tcPr>
          <w:p w14:paraId="731CC67E" w14:textId="77777777" w:rsidR="00FC4F99" w:rsidRPr="006E2E8D" w:rsidRDefault="00FC4F99" w:rsidP="0080718A">
            <w:pPr>
              <w:rPr>
                <w:sz w:val="26"/>
                <w:szCs w:val="26"/>
              </w:rPr>
            </w:pPr>
            <w:r w:rsidRPr="006E2E8D">
              <w:rPr>
                <w:sz w:val="26"/>
                <w:szCs w:val="26"/>
              </w:rPr>
              <w:t>14.2*                   (11.2, 35.2)</w:t>
            </w:r>
          </w:p>
        </w:tc>
        <w:tc>
          <w:tcPr>
            <w:tcW w:w="1555" w:type="dxa"/>
            <w:vAlign w:val="center"/>
            <w:hideMark/>
          </w:tcPr>
          <w:p w14:paraId="31F7D347" w14:textId="26BC6FF3" w:rsidR="00FC4F99" w:rsidRPr="006E2E8D" w:rsidRDefault="00FC4F99" w:rsidP="0080718A">
            <w:pPr>
              <w:rPr>
                <w:sz w:val="26"/>
                <w:szCs w:val="26"/>
              </w:rPr>
            </w:pPr>
            <w:r w:rsidRPr="006E2E8D">
              <w:rPr>
                <w:sz w:val="26"/>
                <w:szCs w:val="26"/>
              </w:rPr>
              <w:t>5.7                    (</w:t>
            </w:r>
            <w:r w:rsidR="00B7277E">
              <w:rPr>
                <w:sz w:val="26"/>
                <w:szCs w:val="26"/>
              </w:rPr>
              <w:t>–</w:t>
            </w:r>
            <w:r w:rsidRPr="006E2E8D">
              <w:rPr>
                <w:sz w:val="26"/>
                <w:szCs w:val="26"/>
              </w:rPr>
              <w:t>26.0, 39.7)</w:t>
            </w:r>
          </w:p>
        </w:tc>
        <w:tc>
          <w:tcPr>
            <w:tcW w:w="2065" w:type="dxa"/>
            <w:vAlign w:val="center"/>
            <w:hideMark/>
          </w:tcPr>
          <w:p w14:paraId="0B710CCF" w14:textId="7C96C3A0" w:rsidR="00FC4F99" w:rsidRPr="006E2E8D" w:rsidRDefault="00B7277E" w:rsidP="0080718A">
            <w:pPr>
              <w:rPr>
                <w:sz w:val="26"/>
                <w:szCs w:val="26"/>
              </w:rPr>
            </w:pPr>
            <w:r>
              <w:rPr>
                <w:sz w:val="26"/>
                <w:szCs w:val="26"/>
              </w:rPr>
              <w:t>–</w:t>
            </w:r>
            <w:r w:rsidR="00FC4F99" w:rsidRPr="006E2E8D">
              <w:rPr>
                <w:sz w:val="26"/>
                <w:szCs w:val="26"/>
              </w:rPr>
              <w:t>7.2                        (</w:t>
            </w:r>
            <w:r>
              <w:rPr>
                <w:sz w:val="26"/>
                <w:szCs w:val="26"/>
              </w:rPr>
              <w:t>–</w:t>
            </w:r>
            <w:r w:rsidR="00FC4F99" w:rsidRPr="006E2E8D">
              <w:rPr>
                <w:sz w:val="26"/>
                <w:szCs w:val="26"/>
              </w:rPr>
              <w:t>38.5, 19.2)</w:t>
            </w:r>
          </w:p>
        </w:tc>
      </w:tr>
      <w:tr w:rsidR="00FC4F99" w:rsidRPr="006E2E8D" w14:paraId="2E080AC0" w14:textId="77777777" w:rsidTr="00643994">
        <w:trPr>
          <w:trHeight w:val="719"/>
          <w:jc w:val="center"/>
        </w:trPr>
        <w:tc>
          <w:tcPr>
            <w:tcW w:w="1762" w:type="dxa"/>
            <w:vAlign w:val="center"/>
            <w:hideMark/>
          </w:tcPr>
          <w:p w14:paraId="5D1C60D6" w14:textId="77777777" w:rsidR="00FC4F99" w:rsidRPr="006E2E8D" w:rsidRDefault="00FC4F99" w:rsidP="0080718A">
            <w:pPr>
              <w:rPr>
                <w:sz w:val="26"/>
                <w:szCs w:val="26"/>
              </w:rPr>
            </w:pPr>
            <w:r w:rsidRPr="006E2E8D">
              <w:rPr>
                <w:sz w:val="26"/>
                <w:szCs w:val="26"/>
              </w:rPr>
              <w:t>Silver</w:t>
            </w:r>
          </w:p>
        </w:tc>
        <w:tc>
          <w:tcPr>
            <w:tcW w:w="751" w:type="dxa"/>
            <w:vAlign w:val="center"/>
            <w:hideMark/>
          </w:tcPr>
          <w:p w14:paraId="24BBE249" w14:textId="77777777" w:rsidR="00FC4F99" w:rsidRPr="006E2E8D" w:rsidRDefault="00FC4F99" w:rsidP="0080718A">
            <w:pPr>
              <w:rPr>
                <w:sz w:val="26"/>
                <w:szCs w:val="26"/>
              </w:rPr>
            </w:pPr>
            <w:r w:rsidRPr="006E2E8D">
              <w:rPr>
                <w:sz w:val="26"/>
                <w:szCs w:val="26"/>
              </w:rPr>
              <w:t>12</w:t>
            </w:r>
          </w:p>
        </w:tc>
        <w:tc>
          <w:tcPr>
            <w:tcW w:w="1475" w:type="dxa"/>
            <w:vAlign w:val="center"/>
            <w:hideMark/>
          </w:tcPr>
          <w:p w14:paraId="56E4DD9D" w14:textId="3D392808" w:rsidR="00FC4F99" w:rsidRPr="006E2E8D" w:rsidRDefault="00B7277E" w:rsidP="0080718A">
            <w:pPr>
              <w:rPr>
                <w:sz w:val="26"/>
                <w:szCs w:val="26"/>
              </w:rPr>
            </w:pPr>
            <w:r>
              <w:rPr>
                <w:sz w:val="26"/>
                <w:szCs w:val="26"/>
              </w:rPr>
              <w:t>–</w:t>
            </w:r>
            <w:r w:rsidR="00FC4F99" w:rsidRPr="006E2E8D">
              <w:rPr>
                <w:sz w:val="26"/>
                <w:szCs w:val="26"/>
              </w:rPr>
              <w:t>1.7                   (</w:t>
            </w:r>
            <w:r>
              <w:rPr>
                <w:sz w:val="26"/>
                <w:szCs w:val="26"/>
              </w:rPr>
              <w:t>–</w:t>
            </w:r>
            <w:r w:rsidR="00FC4F99" w:rsidRPr="006E2E8D">
              <w:rPr>
                <w:sz w:val="26"/>
                <w:szCs w:val="26"/>
              </w:rPr>
              <w:t>5.9, 19.7)</w:t>
            </w:r>
          </w:p>
        </w:tc>
        <w:tc>
          <w:tcPr>
            <w:tcW w:w="1663" w:type="dxa"/>
            <w:vAlign w:val="center"/>
            <w:hideMark/>
          </w:tcPr>
          <w:p w14:paraId="2516BABC" w14:textId="308129EA" w:rsidR="00FC4F99" w:rsidRPr="006E2E8D" w:rsidRDefault="00B7277E" w:rsidP="0080718A">
            <w:pPr>
              <w:rPr>
                <w:sz w:val="26"/>
                <w:szCs w:val="26"/>
              </w:rPr>
            </w:pPr>
            <w:r>
              <w:rPr>
                <w:sz w:val="26"/>
                <w:szCs w:val="26"/>
              </w:rPr>
              <w:t>–</w:t>
            </w:r>
            <w:r w:rsidR="00FC4F99" w:rsidRPr="006E2E8D">
              <w:rPr>
                <w:sz w:val="26"/>
                <w:szCs w:val="26"/>
              </w:rPr>
              <w:t>9.0                   (</w:t>
            </w:r>
            <w:r>
              <w:rPr>
                <w:sz w:val="26"/>
                <w:szCs w:val="26"/>
              </w:rPr>
              <w:t>–</w:t>
            </w:r>
            <w:r w:rsidR="00FC4F99" w:rsidRPr="006E2E8D">
              <w:rPr>
                <w:sz w:val="26"/>
                <w:szCs w:val="26"/>
              </w:rPr>
              <w:t>9.3, 5.5)</w:t>
            </w:r>
          </w:p>
        </w:tc>
        <w:tc>
          <w:tcPr>
            <w:tcW w:w="1555" w:type="dxa"/>
            <w:vAlign w:val="center"/>
            <w:hideMark/>
          </w:tcPr>
          <w:p w14:paraId="74068AF2" w14:textId="7716E7D0" w:rsidR="00FC4F99" w:rsidRPr="006E2E8D" w:rsidRDefault="00B7277E" w:rsidP="0080718A">
            <w:pPr>
              <w:rPr>
                <w:sz w:val="26"/>
                <w:szCs w:val="26"/>
              </w:rPr>
            </w:pPr>
            <w:r>
              <w:rPr>
                <w:sz w:val="26"/>
                <w:szCs w:val="26"/>
              </w:rPr>
              <w:t>–</w:t>
            </w:r>
            <w:r w:rsidR="00FC4F99" w:rsidRPr="006E2E8D">
              <w:rPr>
                <w:sz w:val="26"/>
                <w:szCs w:val="26"/>
              </w:rPr>
              <w:t>7.6                   (</w:t>
            </w:r>
            <w:r>
              <w:rPr>
                <w:sz w:val="26"/>
                <w:szCs w:val="26"/>
              </w:rPr>
              <w:t>–</w:t>
            </w:r>
            <w:r w:rsidR="00FC4F99" w:rsidRPr="006E2E8D">
              <w:rPr>
                <w:sz w:val="26"/>
                <w:szCs w:val="26"/>
              </w:rPr>
              <w:t>29.3, 5.8)</w:t>
            </w:r>
          </w:p>
        </w:tc>
        <w:tc>
          <w:tcPr>
            <w:tcW w:w="2065" w:type="dxa"/>
            <w:vAlign w:val="center"/>
            <w:hideMark/>
          </w:tcPr>
          <w:p w14:paraId="3A0D5F26" w14:textId="3A48AD8D" w:rsidR="00FC4F99" w:rsidRPr="006E2E8D" w:rsidRDefault="00B7277E" w:rsidP="0080718A">
            <w:pPr>
              <w:rPr>
                <w:sz w:val="26"/>
                <w:szCs w:val="26"/>
              </w:rPr>
            </w:pPr>
            <w:r>
              <w:rPr>
                <w:sz w:val="26"/>
                <w:szCs w:val="26"/>
              </w:rPr>
              <w:t>–</w:t>
            </w:r>
            <w:r w:rsidR="00FC4F99" w:rsidRPr="006E2E8D">
              <w:rPr>
                <w:sz w:val="26"/>
                <w:szCs w:val="26"/>
              </w:rPr>
              <w:t>6.3                        (</w:t>
            </w:r>
            <w:r>
              <w:rPr>
                <w:sz w:val="26"/>
                <w:szCs w:val="26"/>
              </w:rPr>
              <w:t>–</w:t>
            </w:r>
            <w:r w:rsidR="00FC4F99" w:rsidRPr="006E2E8D">
              <w:rPr>
                <w:sz w:val="26"/>
                <w:szCs w:val="26"/>
              </w:rPr>
              <w:t>38.2, 0.6)</w:t>
            </w:r>
          </w:p>
        </w:tc>
      </w:tr>
    </w:tbl>
    <w:p w14:paraId="05912858" w14:textId="77777777" w:rsidR="00755FC6" w:rsidRDefault="00755FC6" w:rsidP="0080718A"/>
    <w:p w14:paraId="2CC55B1D" w14:textId="255D7205" w:rsidR="00755FC6" w:rsidRPr="005B37D9" w:rsidRDefault="00755FC6" w:rsidP="0080718A">
      <w:pPr>
        <w:rPr>
          <w:b/>
          <w:bCs/>
        </w:rPr>
      </w:pPr>
      <w:bookmarkStart w:id="10" w:name="_Toc171261420"/>
      <w:r w:rsidRPr="005B37D9">
        <w:rPr>
          <w:b/>
          <w:bCs/>
        </w:rPr>
        <w:t>S4</w:t>
      </w:r>
      <w:r w:rsidR="0009265C" w:rsidRPr="005B37D9">
        <w:rPr>
          <w:b/>
          <w:bCs/>
        </w:rPr>
        <w:tab/>
        <w:t xml:space="preserve">PLS </w:t>
      </w:r>
      <w:r w:rsidR="005B37D9" w:rsidRPr="005B37D9">
        <w:rPr>
          <w:b/>
          <w:bCs/>
        </w:rPr>
        <w:t>Score Plots</w:t>
      </w:r>
      <w:bookmarkEnd w:id="10"/>
    </w:p>
    <w:p w14:paraId="2A452248" w14:textId="6ADBFDFD" w:rsidR="00A2645C" w:rsidRDefault="00884925" w:rsidP="0080718A">
      <w:pPr>
        <w:rPr>
          <w:szCs w:val="24"/>
        </w:rPr>
      </w:pPr>
      <w:r w:rsidRPr="00884925">
        <w:rPr>
          <w:noProof/>
          <w:szCs w:val="24"/>
        </w:rPr>
        <w:lastRenderedPageBreak/>
        <w:drawing>
          <wp:inline distT="0" distB="0" distL="0" distR="0" wp14:anchorId="7D09F585" wp14:editId="021CF9A3">
            <wp:extent cx="5943600" cy="3669802"/>
            <wp:effectExtent l="19050" t="0" r="0" b="0"/>
            <wp:docPr id="2" name="Picture 2" descr="D:\Dropbox\2022_NIOSH_DPM_studies\RCS_2022_work\Figure_2_PLS_sco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ropbox\2022_NIOSH_DPM_studies\RCS_2022_work\Figure_2_PLS_scores.png"/>
                    <pic:cNvPicPr>
                      <a:picLocks noChangeAspect="1" noChangeArrowheads="1"/>
                    </pic:cNvPicPr>
                  </pic:nvPicPr>
                  <pic:blipFill>
                    <a:blip r:embed="rId12" cstate="print"/>
                    <a:srcRect/>
                    <a:stretch>
                      <a:fillRect/>
                    </a:stretch>
                  </pic:blipFill>
                  <pic:spPr bwMode="auto">
                    <a:xfrm>
                      <a:off x="0" y="0"/>
                      <a:ext cx="5943600" cy="3669802"/>
                    </a:xfrm>
                    <a:prstGeom prst="rect">
                      <a:avLst/>
                    </a:prstGeom>
                    <a:noFill/>
                    <a:ln w="9525">
                      <a:noFill/>
                      <a:miter lim="800000"/>
                      <a:headEnd/>
                      <a:tailEnd/>
                    </a:ln>
                  </pic:spPr>
                </pic:pic>
              </a:graphicData>
            </a:graphic>
          </wp:inline>
        </w:drawing>
      </w:r>
      <w:bookmarkStart w:id="11" w:name="_Toc171261421"/>
      <w:r w:rsidR="00084CCF" w:rsidRPr="002A4590">
        <w:rPr>
          <w:b/>
          <w:bCs/>
          <w:szCs w:val="24"/>
        </w:rPr>
        <w:t>Figure S6</w:t>
      </w:r>
      <w:r w:rsidR="002A4590" w:rsidRPr="002A4590">
        <w:rPr>
          <w:b/>
          <w:bCs/>
          <w:szCs w:val="24"/>
        </w:rPr>
        <w:t>.</w:t>
      </w:r>
      <w:r w:rsidR="00084CCF" w:rsidRPr="002A4590">
        <w:rPr>
          <w:b/>
          <w:bCs/>
          <w:szCs w:val="24"/>
        </w:rPr>
        <w:t xml:space="preserve"> </w:t>
      </w:r>
      <w:r w:rsidR="00084CCF" w:rsidRPr="00884925">
        <w:rPr>
          <w:szCs w:val="24"/>
        </w:rPr>
        <w:t>Distribution of spectra on the first and second PLS components (A). PLS performs a clear rotation of the first two components extracted by PCA as indicated by the similar grouping of samples. The MoE solution using the “mine type” gating variable identified a two-cluster solution on the PLS components (B). Limestone mine samples dominated the second cluster while the majority of the other samples fell into cluster 1. Scores were plotted on a log scale after adding a small constant (0.01).</w:t>
      </w:r>
      <w:bookmarkEnd w:id="11"/>
    </w:p>
    <w:p w14:paraId="001B76DC" w14:textId="77777777" w:rsidR="006E448E" w:rsidRDefault="006E448E" w:rsidP="0080718A">
      <w:pPr>
        <w:rPr>
          <w:szCs w:val="24"/>
        </w:rPr>
      </w:pPr>
    </w:p>
    <w:p w14:paraId="27304653" w14:textId="77777777" w:rsidR="006E448E" w:rsidRDefault="006E448E" w:rsidP="0080718A">
      <w:pPr>
        <w:rPr>
          <w:szCs w:val="24"/>
        </w:rPr>
      </w:pPr>
    </w:p>
    <w:p w14:paraId="09F318A1" w14:textId="38AB8594" w:rsidR="005132ED" w:rsidRPr="006E448E" w:rsidRDefault="005132ED" w:rsidP="0080718A">
      <w:pPr>
        <w:rPr>
          <w:b/>
          <w:bCs/>
          <w:szCs w:val="24"/>
        </w:rPr>
      </w:pPr>
      <w:r w:rsidRPr="006E448E">
        <w:rPr>
          <w:b/>
          <w:bCs/>
        </w:rPr>
        <w:t>S</w:t>
      </w:r>
      <w:r w:rsidR="00D14C17" w:rsidRPr="006E448E">
        <w:rPr>
          <w:b/>
          <w:bCs/>
        </w:rPr>
        <w:t>5</w:t>
      </w:r>
      <w:r w:rsidR="00D14C17" w:rsidRPr="006E448E">
        <w:rPr>
          <w:b/>
          <w:bCs/>
        </w:rPr>
        <w:tab/>
        <w:t>Outlier</w:t>
      </w:r>
      <w:r w:rsidR="00BC4094" w:rsidRPr="006E448E">
        <w:rPr>
          <w:b/>
          <w:bCs/>
        </w:rPr>
        <w:t xml:space="preserve"> Properties</w:t>
      </w:r>
      <w:r w:rsidR="00D42C32" w:rsidRPr="006E448E">
        <w:rPr>
          <w:b/>
          <w:bCs/>
        </w:rPr>
        <w:t xml:space="preserve"> for</w:t>
      </w:r>
      <w:r w:rsidR="00D14C17" w:rsidRPr="006E448E">
        <w:rPr>
          <w:b/>
          <w:bCs/>
        </w:rPr>
        <w:t xml:space="preserve"> Mixture of Expert Models</w:t>
      </w:r>
    </w:p>
    <w:p w14:paraId="4E047E54" w14:textId="0F6CA42B" w:rsidR="005132ED" w:rsidRPr="00232E89" w:rsidRDefault="005132ED" w:rsidP="0080718A">
      <w:pPr>
        <w:rPr>
          <w:i/>
          <w:szCs w:val="24"/>
        </w:rPr>
      </w:pPr>
      <w:r w:rsidRPr="002B2341">
        <w:rPr>
          <w:b/>
          <w:bCs/>
          <w:szCs w:val="24"/>
        </w:rPr>
        <w:t>Table S7</w:t>
      </w:r>
      <w:r w:rsidR="002B2341">
        <w:rPr>
          <w:b/>
          <w:bCs/>
          <w:szCs w:val="24"/>
        </w:rPr>
        <w:t>.</w:t>
      </w:r>
      <w:r w:rsidRPr="00232E89">
        <w:rPr>
          <w:szCs w:val="24"/>
        </w:rPr>
        <w:t xml:space="preserve"> Descriptive statistics for outliers flagged by all MoE cluster models (All), cluster models gated variables (Gate Only), and outliers unique to the MoE model using both gate variables. Percentiles for sample mass and RCS content are also calculated to aid interpretation.</w:t>
      </w:r>
    </w:p>
    <w:tbl>
      <w:tblPr>
        <w:tblW w:w="8926" w:type="dxa"/>
        <w:tblLayout w:type="fixed"/>
        <w:tblLook w:val="04A0" w:firstRow="1" w:lastRow="0" w:firstColumn="1" w:lastColumn="0" w:noHBand="0" w:noVBand="1"/>
      </w:tblPr>
      <w:tblGrid>
        <w:gridCol w:w="1271"/>
        <w:gridCol w:w="1134"/>
        <w:gridCol w:w="1559"/>
        <w:gridCol w:w="1276"/>
        <w:gridCol w:w="1701"/>
        <w:gridCol w:w="1985"/>
      </w:tblGrid>
      <w:tr w:rsidR="005132ED" w:rsidRPr="00C441C3" w14:paraId="584E69F5" w14:textId="77777777" w:rsidTr="000D5E64">
        <w:trPr>
          <w:trHeight w:val="915"/>
        </w:trPr>
        <w:tc>
          <w:tcPr>
            <w:tcW w:w="1271" w:type="dxa"/>
            <w:tcBorders>
              <w:top w:val="single" w:sz="4" w:space="0" w:color="auto"/>
              <w:left w:val="single" w:sz="4" w:space="0" w:color="auto"/>
              <w:bottom w:val="double" w:sz="6" w:space="0" w:color="auto"/>
              <w:right w:val="nil"/>
            </w:tcBorders>
            <w:shd w:val="clear" w:color="auto" w:fill="auto"/>
            <w:hideMark/>
          </w:tcPr>
          <w:p w14:paraId="1D6F2BF1" w14:textId="77777777" w:rsidR="005132ED" w:rsidRPr="00C441C3" w:rsidRDefault="005132ED" w:rsidP="0080718A">
            <w:pPr>
              <w:rPr>
                <w:rFonts w:eastAsia="Times New Roman"/>
                <w:color w:val="000000"/>
              </w:rPr>
            </w:pPr>
            <w:r w:rsidRPr="00C441C3">
              <w:rPr>
                <w:rFonts w:eastAsia="Times New Roman"/>
                <w:color w:val="000000"/>
              </w:rPr>
              <w:t>Model(s)</w:t>
            </w:r>
          </w:p>
        </w:tc>
        <w:tc>
          <w:tcPr>
            <w:tcW w:w="1134" w:type="dxa"/>
            <w:tcBorders>
              <w:top w:val="single" w:sz="4" w:space="0" w:color="auto"/>
              <w:left w:val="nil"/>
              <w:bottom w:val="double" w:sz="6" w:space="0" w:color="auto"/>
              <w:right w:val="nil"/>
            </w:tcBorders>
            <w:shd w:val="clear" w:color="auto" w:fill="auto"/>
            <w:noWrap/>
            <w:hideMark/>
          </w:tcPr>
          <w:p w14:paraId="4CF584B5" w14:textId="433B4670" w:rsidR="005132ED" w:rsidRPr="00C441C3" w:rsidRDefault="005132ED" w:rsidP="0080718A">
            <w:pPr>
              <w:rPr>
                <w:rFonts w:eastAsia="Times New Roman"/>
                <w:color w:val="000000"/>
              </w:rPr>
            </w:pPr>
            <w:r w:rsidRPr="00C441C3">
              <w:rPr>
                <w:rFonts w:eastAsia="Times New Roman"/>
                <w:color w:val="000000"/>
              </w:rPr>
              <w:t xml:space="preserve">Mine </w:t>
            </w:r>
            <w:r w:rsidR="000D5E64" w:rsidRPr="00C441C3">
              <w:rPr>
                <w:rFonts w:eastAsia="Times New Roman"/>
                <w:color w:val="000000"/>
              </w:rPr>
              <w:t>ty</w:t>
            </w:r>
            <w:r w:rsidRPr="00C441C3">
              <w:rPr>
                <w:rFonts w:eastAsia="Times New Roman"/>
                <w:color w:val="000000"/>
              </w:rPr>
              <w:t>pe</w:t>
            </w:r>
          </w:p>
        </w:tc>
        <w:tc>
          <w:tcPr>
            <w:tcW w:w="1559" w:type="dxa"/>
            <w:tcBorders>
              <w:top w:val="single" w:sz="4" w:space="0" w:color="auto"/>
              <w:left w:val="nil"/>
              <w:bottom w:val="double" w:sz="6" w:space="0" w:color="auto"/>
              <w:right w:val="nil"/>
            </w:tcBorders>
            <w:shd w:val="clear" w:color="auto" w:fill="auto"/>
            <w:noWrap/>
            <w:hideMark/>
          </w:tcPr>
          <w:p w14:paraId="01F0EA86" w14:textId="77777777" w:rsidR="005132ED" w:rsidRPr="00C441C3" w:rsidRDefault="005132ED" w:rsidP="0080718A">
            <w:pPr>
              <w:rPr>
                <w:rFonts w:eastAsia="Times New Roman"/>
                <w:color w:val="000000"/>
              </w:rPr>
            </w:pPr>
            <w:r w:rsidRPr="00C441C3">
              <w:rPr>
                <w:rFonts w:eastAsia="Times New Roman"/>
                <w:color w:val="000000"/>
              </w:rPr>
              <w:t>Cassettes</w:t>
            </w:r>
          </w:p>
        </w:tc>
        <w:tc>
          <w:tcPr>
            <w:tcW w:w="1276" w:type="dxa"/>
            <w:tcBorders>
              <w:top w:val="single" w:sz="4" w:space="0" w:color="auto"/>
              <w:left w:val="nil"/>
              <w:bottom w:val="double" w:sz="6" w:space="0" w:color="auto"/>
              <w:right w:val="nil"/>
            </w:tcBorders>
            <w:shd w:val="clear" w:color="auto" w:fill="auto"/>
            <w:hideMark/>
          </w:tcPr>
          <w:p w14:paraId="1261D732" w14:textId="77DAD1C0" w:rsidR="005132ED" w:rsidRPr="00C441C3" w:rsidRDefault="005132ED" w:rsidP="0080718A">
            <w:pPr>
              <w:rPr>
                <w:rFonts w:eastAsia="Times New Roman"/>
                <w:color w:val="000000"/>
              </w:rPr>
            </w:pPr>
            <w:r w:rsidRPr="00C441C3">
              <w:rPr>
                <w:rFonts w:eastAsia="Times New Roman"/>
                <w:color w:val="000000"/>
              </w:rPr>
              <w:t xml:space="preserve">Mass </w:t>
            </w:r>
            <w:r w:rsidR="000D5E64">
              <w:rPr>
                <w:rFonts w:eastAsia="Times New Roman"/>
                <w:color w:val="000000"/>
              </w:rPr>
              <w:t>p</w:t>
            </w:r>
            <w:r w:rsidRPr="00C441C3">
              <w:rPr>
                <w:rFonts w:eastAsia="Times New Roman"/>
                <w:color w:val="000000"/>
              </w:rPr>
              <w:t>ercentile</w:t>
            </w:r>
          </w:p>
        </w:tc>
        <w:tc>
          <w:tcPr>
            <w:tcW w:w="1701" w:type="dxa"/>
            <w:tcBorders>
              <w:top w:val="single" w:sz="4" w:space="0" w:color="auto"/>
              <w:left w:val="nil"/>
              <w:bottom w:val="double" w:sz="6" w:space="0" w:color="auto"/>
              <w:right w:val="nil"/>
            </w:tcBorders>
            <w:shd w:val="clear" w:color="auto" w:fill="auto"/>
            <w:hideMark/>
          </w:tcPr>
          <w:p w14:paraId="4E895BB4" w14:textId="22792D96" w:rsidR="005132ED" w:rsidRPr="00C441C3" w:rsidRDefault="005132ED" w:rsidP="0080718A">
            <w:pPr>
              <w:rPr>
                <w:rFonts w:eastAsia="Times New Roman"/>
                <w:color w:val="000000"/>
              </w:rPr>
            </w:pPr>
            <w:r w:rsidRPr="00C441C3">
              <w:rPr>
                <w:rFonts w:eastAsia="Times New Roman"/>
                <w:color w:val="000000"/>
              </w:rPr>
              <w:t xml:space="preserve">RCS </w:t>
            </w:r>
            <w:r w:rsidR="000D5E64" w:rsidRPr="00C441C3">
              <w:rPr>
                <w:rFonts w:eastAsia="Times New Roman"/>
                <w:color w:val="000000"/>
              </w:rPr>
              <w:t>p</w:t>
            </w:r>
            <w:r w:rsidRPr="00C441C3">
              <w:rPr>
                <w:rFonts w:eastAsia="Times New Roman"/>
                <w:color w:val="000000"/>
              </w:rPr>
              <w:t>ercentile</w:t>
            </w:r>
          </w:p>
        </w:tc>
        <w:tc>
          <w:tcPr>
            <w:tcW w:w="1985" w:type="dxa"/>
            <w:tcBorders>
              <w:top w:val="single" w:sz="4" w:space="0" w:color="auto"/>
              <w:left w:val="nil"/>
              <w:bottom w:val="double" w:sz="6" w:space="0" w:color="auto"/>
              <w:right w:val="single" w:sz="4" w:space="0" w:color="auto"/>
            </w:tcBorders>
            <w:shd w:val="clear" w:color="auto" w:fill="auto"/>
            <w:hideMark/>
          </w:tcPr>
          <w:p w14:paraId="068FDE43" w14:textId="77777777" w:rsidR="005132ED" w:rsidRPr="00C441C3" w:rsidRDefault="005132ED" w:rsidP="0080718A">
            <w:pPr>
              <w:rPr>
                <w:rFonts w:eastAsia="Times New Roman"/>
                <w:color w:val="000000"/>
              </w:rPr>
            </w:pPr>
            <w:r w:rsidRPr="00C441C3">
              <w:rPr>
                <w:rFonts w:eastAsia="Times New Roman"/>
                <w:color w:val="000000"/>
              </w:rPr>
              <w:t>RCS/Mass</w:t>
            </w:r>
          </w:p>
        </w:tc>
      </w:tr>
      <w:tr w:rsidR="005132ED" w:rsidRPr="00C441C3" w14:paraId="2A904A8B" w14:textId="77777777" w:rsidTr="000D5E64">
        <w:trPr>
          <w:trHeight w:val="315"/>
        </w:trPr>
        <w:tc>
          <w:tcPr>
            <w:tcW w:w="1271" w:type="dxa"/>
            <w:vMerge w:val="restart"/>
            <w:tcBorders>
              <w:top w:val="nil"/>
              <w:left w:val="single" w:sz="4" w:space="0" w:color="auto"/>
              <w:bottom w:val="single" w:sz="4" w:space="0" w:color="000000"/>
              <w:right w:val="nil"/>
            </w:tcBorders>
            <w:shd w:val="clear" w:color="auto" w:fill="auto"/>
            <w:hideMark/>
          </w:tcPr>
          <w:p w14:paraId="5343CFFE" w14:textId="77777777" w:rsidR="005132ED" w:rsidRPr="00C441C3" w:rsidRDefault="005132ED" w:rsidP="0080718A">
            <w:pPr>
              <w:rPr>
                <w:rFonts w:eastAsia="Times New Roman"/>
                <w:color w:val="000000"/>
              </w:rPr>
            </w:pPr>
            <w:r w:rsidRPr="00C441C3">
              <w:rPr>
                <w:rFonts w:eastAsia="Times New Roman"/>
                <w:color w:val="000000"/>
              </w:rPr>
              <w:t>All</w:t>
            </w:r>
          </w:p>
        </w:tc>
        <w:tc>
          <w:tcPr>
            <w:tcW w:w="1134" w:type="dxa"/>
            <w:tcBorders>
              <w:top w:val="nil"/>
              <w:left w:val="nil"/>
              <w:bottom w:val="nil"/>
              <w:right w:val="nil"/>
            </w:tcBorders>
            <w:shd w:val="clear" w:color="auto" w:fill="auto"/>
            <w:noWrap/>
            <w:hideMark/>
          </w:tcPr>
          <w:p w14:paraId="6B8F2401" w14:textId="77777777" w:rsidR="005132ED" w:rsidRPr="00C441C3" w:rsidRDefault="005132ED" w:rsidP="0080718A">
            <w:pPr>
              <w:rPr>
                <w:rFonts w:eastAsia="Times New Roman"/>
                <w:color w:val="000000"/>
              </w:rPr>
            </w:pPr>
            <w:r w:rsidRPr="00C441C3">
              <w:rPr>
                <w:rFonts w:eastAsia="Times New Roman"/>
                <w:color w:val="000000"/>
              </w:rPr>
              <w:t>Sandstone</w:t>
            </w:r>
          </w:p>
        </w:tc>
        <w:tc>
          <w:tcPr>
            <w:tcW w:w="1559" w:type="dxa"/>
            <w:tcBorders>
              <w:top w:val="nil"/>
              <w:left w:val="nil"/>
              <w:bottom w:val="nil"/>
              <w:right w:val="nil"/>
            </w:tcBorders>
            <w:shd w:val="clear" w:color="auto" w:fill="auto"/>
            <w:noWrap/>
            <w:hideMark/>
          </w:tcPr>
          <w:p w14:paraId="6D65274E" w14:textId="77777777" w:rsidR="005132ED" w:rsidRPr="00C441C3" w:rsidRDefault="005132ED" w:rsidP="0080718A">
            <w:pPr>
              <w:rPr>
                <w:rFonts w:eastAsia="Times New Roman"/>
                <w:color w:val="000000"/>
              </w:rPr>
            </w:pPr>
            <w:r w:rsidRPr="00C441C3">
              <w:rPr>
                <w:rFonts w:eastAsia="Times New Roman"/>
                <w:color w:val="000000"/>
              </w:rPr>
              <w:t>2-Piece-Clear</w:t>
            </w:r>
          </w:p>
        </w:tc>
        <w:tc>
          <w:tcPr>
            <w:tcW w:w="1276" w:type="dxa"/>
            <w:tcBorders>
              <w:top w:val="nil"/>
              <w:left w:val="nil"/>
              <w:bottom w:val="nil"/>
              <w:right w:val="single" w:sz="4" w:space="0" w:color="auto"/>
            </w:tcBorders>
            <w:shd w:val="clear" w:color="auto" w:fill="auto"/>
            <w:noWrap/>
            <w:hideMark/>
          </w:tcPr>
          <w:p w14:paraId="5CA1DFBC" w14:textId="77777777" w:rsidR="005132ED" w:rsidRPr="00C441C3" w:rsidRDefault="005132ED" w:rsidP="0080718A">
            <w:pPr>
              <w:rPr>
                <w:rFonts w:eastAsia="Times New Roman"/>
                <w:color w:val="000000"/>
              </w:rPr>
            </w:pPr>
            <w:r w:rsidRPr="00C441C3">
              <w:rPr>
                <w:rFonts w:eastAsia="Times New Roman"/>
                <w:color w:val="000000"/>
              </w:rPr>
              <w:t>92%</w:t>
            </w:r>
          </w:p>
        </w:tc>
        <w:tc>
          <w:tcPr>
            <w:tcW w:w="1701" w:type="dxa"/>
            <w:tcBorders>
              <w:top w:val="nil"/>
              <w:left w:val="nil"/>
              <w:bottom w:val="nil"/>
              <w:right w:val="single" w:sz="4" w:space="0" w:color="auto"/>
            </w:tcBorders>
            <w:shd w:val="clear" w:color="auto" w:fill="auto"/>
            <w:noWrap/>
            <w:hideMark/>
          </w:tcPr>
          <w:p w14:paraId="491107A3" w14:textId="77777777" w:rsidR="005132ED" w:rsidRPr="00C441C3" w:rsidRDefault="005132ED" w:rsidP="0080718A">
            <w:pPr>
              <w:rPr>
                <w:rFonts w:eastAsia="Times New Roman"/>
                <w:color w:val="000000"/>
              </w:rPr>
            </w:pPr>
            <w:r w:rsidRPr="00C441C3">
              <w:rPr>
                <w:rFonts w:eastAsia="Times New Roman"/>
                <w:color w:val="000000"/>
              </w:rPr>
              <w:t>99%</w:t>
            </w:r>
          </w:p>
        </w:tc>
        <w:tc>
          <w:tcPr>
            <w:tcW w:w="1985" w:type="dxa"/>
            <w:tcBorders>
              <w:top w:val="nil"/>
              <w:left w:val="nil"/>
              <w:bottom w:val="nil"/>
              <w:right w:val="single" w:sz="4" w:space="0" w:color="auto"/>
            </w:tcBorders>
            <w:shd w:val="clear" w:color="auto" w:fill="auto"/>
            <w:noWrap/>
            <w:hideMark/>
          </w:tcPr>
          <w:p w14:paraId="2D5ED7FA" w14:textId="77777777" w:rsidR="005132ED" w:rsidRPr="00C441C3" w:rsidRDefault="005132ED" w:rsidP="0080718A">
            <w:pPr>
              <w:rPr>
                <w:rFonts w:eastAsia="Times New Roman"/>
                <w:color w:val="000000"/>
              </w:rPr>
            </w:pPr>
            <w:r w:rsidRPr="00C441C3">
              <w:rPr>
                <w:rFonts w:eastAsia="Times New Roman"/>
                <w:color w:val="000000"/>
              </w:rPr>
              <w:t>36%</w:t>
            </w:r>
          </w:p>
        </w:tc>
      </w:tr>
      <w:tr w:rsidR="005132ED" w:rsidRPr="00C441C3" w14:paraId="189F4469" w14:textId="77777777" w:rsidTr="000D5E64">
        <w:trPr>
          <w:trHeight w:val="300"/>
        </w:trPr>
        <w:tc>
          <w:tcPr>
            <w:tcW w:w="1271" w:type="dxa"/>
            <w:vMerge/>
            <w:tcBorders>
              <w:top w:val="nil"/>
              <w:left w:val="single" w:sz="4" w:space="0" w:color="auto"/>
              <w:bottom w:val="single" w:sz="4" w:space="0" w:color="000000"/>
              <w:right w:val="nil"/>
            </w:tcBorders>
            <w:hideMark/>
          </w:tcPr>
          <w:p w14:paraId="7C887D3A" w14:textId="77777777" w:rsidR="005132ED" w:rsidRPr="00C441C3" w:rsidRDefault="005132ED" w:rsidP="0080718A">
            <w:pPr>
              <w:rPr>
                <w:rFonts w:eastAsia="Times New Roman"/>
                <w:color w:val="000000"/>
              </w:rPr>
            </w:pPr>
          </w:p>
        </w:tc>
        <w:tc>
          <w:tcPr>
            <w:tcW w:w="1134" w:type="dxa"/>
            <w:tcBorders>
              <w:top w:val="nil"/>
              <w:left w:val="nil"/>
              <w:bottom w:val="nil"/>
              <w:right w:val="nil"/>
            </w:tcBorders>
            <w:shd w:val="clear" w:color="auto" w:fill="auto"/>
            <w:noWrap/>
            <w:hideMark/>
          </w:tcPr>
          <w:p w14:paraId="1B3905E5" w14:textId="77777777" w:rsidR="005132ED" w:rsidRPr="00C441C3" w:rsidRDefault="005132ED" w:rsidP="0080718A">
            <w:pPr>
              <w:rPr>
                <w:rFonts w:eastAsia="Times New Roman"/>
                <w:color w:val="000000"/>
              </w:rPr>
            </w:pPr>
            <w:r w:rsidRPr="00C441C3">
              <w:rPr>
                <w:rFonts w:eastAsia="Times New Roman"/>
                <w:color w:val="000000"/>
              </w:rPr>
              <w:t>Sandstone</w:t>
            </w:r>
          </w:p>
        </w:tc>
        <w:tc>
          <w:tcPr>
            <w:tcW w:w="1559" w:type="dxa"/>
            <w:tcBorders>
              <w:top w:val="nil"/>
              <w:left w:val="nil"/>
              <w:bottom w:val="nil"/>
              <w:right w:val="nil"/>
            </w:tcBorders>
            <w:shd w:val="clear" w:color="auto" w:fill="auto"/>
            <w:noWrap/>
            <w:hideMark/>
          </w:tcPr>
          <w:p w14:paraId="75A3E45A" w14:textId="77777777" w:rsidR="005132ED" w:rsidRPr="00C441C3" w:rsidRDefault="005132ED" w:rsidP="0080718A">
            <w:pPr>
              <w:rPr>
                <w:rFonts w:eastAsia="Times New Roman"/>
                <w:color w:val="000000"/>
              </w:rPr>
            </w:pPr>
            <w:r w:rsidRPr="00C441C3">
              <w:rPr>
                <w:rFonts w:eastAsia="Times New Roman"/>
                <w:color w:val="000000"/>
              </w:rPr>
              <w:t>2-Piece-Clear</w:t>
            </w:r>
          </w:p>
        </w:tc>
        <w:tc>
          <w:tcPr>
            <w:tcW w:w="1276" w:type="dxa"/>
            <w:tcBorders>
              <w:top w:val="nil"/>
              <w:left w:val="nil"/>
              <w:bottom w:val="nil"/>
              <w:right w:val="single" w:sz="4" w:space="0" w:color="auto"/>
            </w:tcBorders>
            <w:shd w:val="clear" w:color="auto" w:fill="auto"/>
            <w:noWrap/>
            <w:hideMark/>
          </w:tcPr>
          <w:p w14:paraId="2B7C3972" w14:textId="77777777" w:rsidR="005132ED" w:rsidRPr="00C441C3" w:rsidRDefault="005132ED" w:rsidP="0080718A">
            <w:pPr>
              <w:rPr>
                <w:rFonts w:eastAsia="Times New Roman"/>
                <w:color w:val="000000"/>
              </w:rPr>
            </w:pPr>
            <w:r w:rsidRPr="00C441C3">
              <w:rPr>
                <w:rFonts w:eastAsia="Times New Roman"/>
                <w:color w:val="000000"/>
              </w:rPr>
              <w:t>91%</w:t>
            </w:r>
          </w:p>
        </w:tc>
        <w:tc>
          <w:tcPr>
            <w:tcW w:w="1701" w:type="dxa"/>
            <w:tcBorders>
              <w:top w:val="nil"/>
              <w:left w:val="nil"/>
              <w:bottom w:val="nil"/>
              <w:right w:val="single" w:sz="4" w:space="0" w:color="auto"/>
            </w:tcBorders>
            <w:shd w:val="clear" w:color="auto" w:fill="auto"/>
            <w:noWrap/>
            <w:hideMark/>
          </w:tcPr>
          <w:p w14:paraId="57B4A1DB" w14:textId="77777777" w:rsidR="005132ED" w:rsidRPr="00C441C3" w:rsidRDefault="005132ED" w:rsidP="0080718A">
            <w:pPr>
              <w:rPr>
                <w:rFonts w:eastAsia="Times New Roman"/>
                <w:color w:val="000000"/>
              </w:rPr>
            </w:pPr>
            <w:r w:rsidRPr="00C441C3">
              <w:rPr>
                <w:rFonts w:eastAsia="Times New Roman"/>
                <w:color w:val="000000"/>
              </w:rPr>
              <w:t>98%</w:t>
            </w:r>
          </w:p>
        </w:tc>
        <w:tc>
          <w:tcPr>
            <w:tcW w:w="1985" w:type="dxa"/>
            <w:tcBorders>
              <w:top w:val="nil"/>
              <w:left w:val="nil"/>
              <w:bottom w:val="nil"/>
              <w:right w:val="single" w:sz="4" w:space="0" w:color="auto"/>
            </w:tcBorders>
            <w:shd w:val="clear" w:color="auto" w:fill="auto"/>
            <w:noWrap/>
            <w:hideMark/>
          </w:tcPr>
          <w:p w14:paraId="47B2276C" w14:textId="77777777" w:rsidR="005132ED" w:rsidRPr="00C441C3" w:rsidRDefault="005132ED" w:rsidP="0080718A">
            <w:pPr>
              <w:rPr>
                <w:rFonts w:eastAsia="Times New Roman"/>
                <w:color w:val="000000"/>
              </w:rPr>
            </w:pPr>
            <w:r w:rsidRPr="00C441C3">
              <w:rPr>
                <w:rFonts w:eastAsia="Times New Roman"/>
                <w:color w:val="000000"/>
              </w:rPr>
              <w:t>25%</w:t>
            </w:r>
          </w:p>
        </w:tc>
      </w:tr>
      <w:tr w:rsidR="005132ED" w:rsidRPr="00C441C3" w14:paraId="7FEA9146" w14:textId="77777777" w:rsidTr="000D5E64">
        <w:trPr>
          <w:trHeight w:val="300"/>
        </w:trPr>
        <w:tc>
          <w:tcPr>
            <w:tcW w:w="1271" w:type="dxa"/>
            <w:vMerge/>
            <w:tcBorders>
              <w:top w:val="nil"/>
              <w:left w:val="single" w:sz="4" w:space="0" w:color="auto"/>
              <w:bottom w:val="single" w:sz="4" w:space="0" w:color="000000"/>
              <w:right w:val="nil"/>
            </w:tcBorders>
            <w:hideMark/>
          </w:tcPr>
          <w:p w14:paraId="31103262" w14:textId="77777777" w:rsidR="005132ED" w:rsidRPr="00C441C3" w:rsidRDefault="005132ED" w:rsidP="0080718A">
            <w:pPr>
              <w:rPr>
                <w:rFonts w:eastAsia="Times New Roman"/>
                <w:color w:val="000000"/>
              </w:rPr>
            </w:pPr>
          </w:p>
        </w:tc>
        <w:tc>
          <w:tcPr>
            <w:tcW w:w="1134" w:type="dxa"/>
            <w:tcBorders>
              <w:top w:val="nil"/>
              <w:left w:val="nil"/>
              <w:bottom w:val="nil"/>
              <w:right w:val="nil"/>
            </w:tcBorders>
            <w:shd w:val="clear" w:color="auto" w:fill="auto"/>
            <w:noWrap/>
            <w:hideMark/>
          </w:tcPr>
          <w:p w14:paraId="5569A2F5" w14:textId="77777777" w:rsidR="005132ED" w:rsidRPr="00C441C3" w:rsidRDefault="005132ED" w:rsidP="0080718A">
            <w:pPr>
              <w:rPr>
                <w:rFonts w:eastAsia="Times New Roman"/>
                <w:color w:val="000000"/>
              </w:rPr>
            </w:pPr>
            <w:r w:rsidRPr="00C441C3">
              <w:rPr>
                <w:rFonts w:eastAsia="Times New Roman"/>
                <w:color w:val="000000"/>
              </w:rPr>
              <w:t>Coal</w:t>
            </w:r>
          </w:p>
        </w:tc>
        <w:tc>
          <w:tcPr>
            <w:tcW w:w="1559" w:type="dxa"/>
            <w:tcBorders>
              <w:top w:val="nil"/>
              <w:left w:val="nil"/>
              <w:bottom w:val="nil"/>
              <w:right w:val="nil"/>
            </w:tcBorders>
            <w:shd w:val="clear" w:color="auto" w:fill="auto"/>
            <w:noWrap/>
            <w:hideMark/>
          </w:tcPr>
          <w:p w14:paraId="509D642C" w14:textId="77777777" w:rsidR="005132ED" w:rsidRPr="00C441C3" w:rsidRDefault="005132ED" w:rsidP="0080718A">
            <w:pPr>
              <w:rPr>
                <w:rFonts w:eastAsia="Times New Roman"/>
                <w:color w:val="000000"/>
              </w:rPr>
            </w:pPr>
            <w:r w:rsidRPr="00C441C3">
              <w:rPr>
                <w:rFonts w:eastAsia="Times New Roman"/>
                <w:color w:val="000000"/>
              </w:rPr>
              <w:t>3-Piece</w:t>
            </w:r>
          </w:p>
        </w:tc>
        <w:tc>
          <w:tcPr>
            <w:tcW w:w="1276" w:type="dxa"/>
            <w:tcBorders>
              <w:top w:val="nil"/>
              <w:left w:val="nil"/>
              <w:bottom w:val="nil"/>
              <w:right w:val="single" w:sz="4" w:space="0" w:color="auto"/>
            </w:tcBorders>
            <w:shd w:val="clear" w:color="auto" w:fill="auto"/>
            <w:noWrap/>
            <w:hideMark/>
          </w:tcPr>
          <w:p w14:paraId="4118DDA7" w14:textId="77777777" w:rsidR="005132ED" w:rsidRPr="00C441C3" w:rsidRDefault="005132ED" w:rsidP="0080718A">
            <w:pPr>
              <w:rPr>
                <w:rFonts w:eastAsia="Times New Roman"/>
                <w:color w:val="000000"/>
              </w:rPr>
            </w:pPr>
            <w:r w:rsidRPr="00C441C3">
              <w:rPr>
                <w:rFonts w:eastAsia="Times New Roman"/>
                <w:color w:val="000000"/>
              </w:rPr>
              <w:t>90%</w:t>
            </w:r>
          </w:p>
        </w:tc>
        <w:tc>
          <w:tcPr>
            <w:tcW w:w="1701" w:type="dxa"/>
            <w:tcBorders>
              <w:top w:val="nil"/>
              <w:left w:val="nil"/>
              <w:bottom w:val="nil"/>
              <w:right w:val="single" w:sz="4" w:space="0" w:color="auto"/>
            </w:tcBorders>
            <w:shd w:val="clear" w:color="auto" w:fill="auto"/>
            <w:noWrap/>
            <w:hideMark/>
          </w:tcPr>
          <w:p w14:paraId="71FC1832" w14:textId="77777777" w:rsidR="005132ED" w:rsidRPr="00C441C3" w:rsidRDefault="005132ED" w:rsidP="0080718A">
            <w:pPr>
              <w:rPr>
                <w:rFonts w:eastAsia="Times New Roman"/>
                <w:color w:val="000000"/>
              </w:rPr>
            </w:pPr>
            <w:r w:rsidRPr="00C441C3">
              <w:rPr>
                <w:rFonts w:eastAsia="Times New Roman"/>
                <w:color w:val="000000"/>
              </w:rPr>
              <w:t>96%</w:t>
            </w:r>
          </w:p>
        </w:tc>
        <w:tc>
          <w:tcPr>
            <w:tcW w:w="1985" w:type="dxa"/>
            <w:tcBorders>
              <w:top w:val="nil"/>
              <w:left w:val="nil"/>
              <w:bottom w:val="nil"/>
              <w:right w:val="single" w:sz="4" w:space="0" w:color="auto"/>
            </w:tcBorders>
            <w:shd w:val="clear" w:color="auto" w:fill="auto"/>
            <w:noWrap/>
            <w:hideMark/>
          </w:tcPr>
          <w:p w14:paraId="6F392FC5" w14:textId="77777777" w:rsidR="005132ED" w:rsidRPr="00C441C3" w:rsidRDefault="005132ED" w:rsidP="0080718A">
            <w:pPr>
              <w:rPr>
                <w:rFonts w:eastAsia="Times New Roman"/>
                <w:color w:val="000000"/>
              </w:rPr>
            </w:pPr>
            <w:r w:rsidRPr="00C441C3">
              <w:rPr>
                <w:rFonts w:eastAsia="Times New Roman"/>
                <w:color w:val="000000"/>
              </w:rPr>
              <w:t>20%</w:t>
            </w:r>
          </w:p>
        </w:tc>
      </w:tr>
      <w:tr w:rsidR="005132ED" w:rsidRPr="00C441C3" w14:paraId="1E2EF752" w14:textId="77777777" w:rsidTr="000D5E64">
        <w:trPr>
          <w:trHeight w:val="300"/>
        </w:trPr>
        <w:tc>
          <w:tcPr>
            <w:tcW w:w="1271" w:type="dxa"/>
            <w:vMerge/>
            <w:tcBorders>
              <w:top w:val="nil"/>
              <w:left w:val="single" w:sz="4" w:space="0" w:color="auto"/>
              <w:bottom w:val="single" w:sz="4" w:space="0" w:color="000000"/>
              <w:right w:val="nil"/>
            </w:tcBorders>
            <w:hideMark/>
          </w:tcPr>
          <w:p w14:paraId="64D41C3E" w14:textId="77777777" w:rsidR="005132ED" w:rsidRPr="00C441C3" w:rsidRDefault="005132ED" w:rsidP="0080718A">
            <w:pPr>
              <w:rPr>
                <w:rFonts w:eastAsia="Times New Roman"/>
                <w:color w:val="000000"/>
              </w:rPr>
            </w:pPr>
          </w:p>
        </w:tc>
        <w:tc>
          <w:tcPr>
            <w:tcW w:w="1134" w:type="dxa"/>
            <w:tcBorders>
              <w:top w:val="nil"/>
              <w:left w:val="nil"/>
              <w:bottom w:val="nil"/>
              <w:right w:val="nil"/>
            </w:tcBorders>
            <w:shd w:val="clear" w:color="auto" w:fill="auto"/>
            <w:noWrap/>
            <w:hideMark/>
          </w:tcPr>
          <w:p w14:paraId="384C736E" w14:textId="77777777" w:rsidR="005132ED" w:rsidRPr="00C441C3" w:rsidRDefault="005132ED" w:rsidP="0080718A">
            <w:pPr>
              <w:rPr>
                <w:rFonts w:eastAsia="Times New Roman"/>
                <w:color w:val="000000"/>
              </w:rPr>
            </w:pPr>
            <w:r w:rsidRPr="00C441C3">
              <w:rPr>
                <w:rFonts w:eastAsia="Times New Roman"/>
                <w:color w:val="000000"/>
              </w:rPr>
              <w:t>Limestone</w:t>
            </w:r>
          </w:p>
        </w:tc>
        <w:tc>
          <w:tcPr>
            <w:tcW w:w="1559" w:type="dxa"/>
            <w:tcBorders>
              <w:top w:val="nil"/>
              <w:left w:val="nil"/>
              <w:bottom w:val="nil"/>
              <w:right w:val="nil"/>
            </w:tcBorders>
            <w:shd w:val="clear" w:color="auto" w:fill="auto"/>
            <w:noWrap/>
            <w:hideMark/>
          </w:tcPr>
          <w:p w14:paraId="67F514EE" w14:textId="77777777" w:rsidR="005132ED" w:rsidRPr="00C441C3" w:rsidRDefault="005132ED" w:rsidP="0080718A">
            <w:pPr>
              <w:rPr>
                <w:rFonts w:eastAsia="Times New Roman"/>
                <w:color w:val="000000"/>
              </w:rPr>
            </w:pPr>
            <w:r w:rsidRPr="00C441C3">
              <w:rPr>
                <w:rFonts w:eastAsia="Times New Roman"/>
                <w:color w:val="000000"/>
              </w:rPr>
              <w:t>2-Piece-Clear</w:t>
            </w:r>
          </w:p>
        </w:tc>
        <w:tc>
          <w:tcPr>
            <w:tcW w:w="1276" w:type="dxa"/>
            <w:tcBorders>
              <w:top w:val="nil"/>
              <w:left w:val="nil"/>
              <w:bottom w:val="nil"/>
              <w:right w:val="single" w:sz="4" w:space="0" w:color="auto"/>
            </w:tcBorders>
            <w:shd w:val="clear" w:color="auto" w:fill="auto"/>
            <w:noWrap/>
            <w:hideMark/>
          </w:tcPr>
          <w:p w14:paraId="4030E3B9" w14:textId="77777777" w:rsidR="005132ED" w:rsidRPr="00C441C3" w:rsidRDefault="005132ED" w:rsidP="0080718A">
            <w:pPr>
              <w:rPr>
                <w:rFonts w:eastAsia="Times New Roman"/>
                <w:color w:val="000000"/>
              </w:rPr>
            </w:pPr>
            <w:r w:rsidRPr="00C441C3">
              <w:rPr>
                <w:rFonts w:eastAsia="Times New Roman"/>
                <w:color w:val="000000"/>
              </w:rPr>
              <w:t>100%</w:t>
            </w:r>
          </w:p>
        </w:tc>
        <w:tc>
          <w:tcPr>
            <w:tcW w:w="1701" w:type="dxa"/>
            <w:tcBorders>
              <w:top w:val="nil"/>
              <w:left w:val="nil"/>
              <w:bottom w:val="nil"/>
              <w:right w:val="single" w:sz="4" w:space="0" w:color="auto"/>
            </w:tcBorders>
            <w:shd w:val="clear" w:color="auto" w:fill="auto"/>
            <w:noWrap/>
            <w:hideMark/>
          </w:tcPr>
          <w:p w14:paraId="2E9D1450" w14:textId="77777777" w:rsidR="005132ED" w:rsidRPr="00C441C3" w:rsidRDefault="005132ED" w:rsidP="0080718A">
            <w:pPr>
              <w:rPr>
                <w:rFonts w:eastAsia="Times New Roman"/>
                <w:color w:val="000000"/>
              </w:rPr>
            </w:pPr>
            <w:r w:rsidRPr="00C441C3">
              <w:rPr>
                <w:rFonts w:eastAsia="Times New Roman"/>
                <w:color w:val="000000"/>
              </w:rPr>
              <w:t>86%</w:t>
            </w:r>
          </w:p>
        </w:tc>
        <w:tc>
          <w:tcPr>
            <w:tcW w:w="1985" w:type="dxa"/>
            <w:tcBorders>
              <w:top w:val="nil"/>
              <w:left w:val="nil"/>
              <w:bottom w:val="nil"/>
              <w:right w:val="single" w:sz="4" w:space="0" w:color="auto"/>
            </w:tcBorders>
            <w:shd w:val="clear" w:color="auto" w:fill="auto"/>
            <w:noWrap/>
            <w:hideMark/>
          </w:tcPr>
          <w:p w14:paraId="5B210E50" w14:textId="77777777" w:rsidR="005132ED" w:rsidRPr="00C441C3" w:rsidRDefault="005132ED" w:rsidP="0080718A">
            <w:pPr>
              <w:rPr>
                <w:rFonts w:eastAsia="Times New Roman"/>
                <w:color w:val="000000"/>
              </w:rPr>
            </w:pPr>
            <w:r w:rsidRPr="00C441C3">
              <w:rPr>
                <w:rFonts w:eastAsia="Times New Roman"/>
                <w:color w:val="000000"/>
              </w:rPr>
              <w:t>3%</w:t>
            </w:r>
          </w:p>
        </w:tc>
      </w:tr>
      <w:tr w:rsidR="005132ED" w:rsidRPr="00C441C3" w14:paraId="5F777D51" w14:textId="77777777" w:rsidTr="000D5E64">
        <w:trPr>
          <w:trHeight w:val="300"/>
        </w:trPr>
        <w:tc>
          <w:tcPr>
            <w:tcW w:w="1271" w:type="dxa"/>
            <w:vMerge/>
            <w:tcBorders>
              <w:top w:val="nil"/>
              <w:left w:val="single" w:sz="4" w:space="0" w:color="auto"/>
              <w:bottom w:val="single" w:sz="4" w:space="0" w:color="000000"/>
              <w:right w:val="nil"/>
            </w:tcBorders>
            <w:hideMark/>
          </w:tcPr>
          <w:p w14:paraId="0AD2B99E" w14:textId="77777777" w:rsidR="005132ED" w:rsidRPr="00C441C3" w:rsidRDefault="005132ED" w:rsidP="0080718A">
            <w:pPr>
              <w:rPr>
                <w:rFonts w:eastAsia="Times New Roman"/>
                <w:color w:val="000000"/>
              </w:rPr>
            </w:pPr>
          </w:p>
        </w:tc>
        <w:tc>
          <w:tcPr>
            <w:tcW w:w="1134" w:type="dxa"/>
            <w:tcBorders>
              <w:top w:val="nil"/>
              <w:left w:val="nil"/>
              <w:bottom w:val="single" w:sz="4" w:space="0" w:color="auto"/>
              <w:right w:val="nil"/>
            </w:tcBorders>
            <w:shd w:val="clear" w:color="auto" w:fill="auto"/>
            <w:noWrap/>
            <w:hideMark/>
          </w:tcPr>
          <w:p w14:paraId="5127980C" w14:textId="77777777" w:rsidR="005132ED" w:rsidRPr="00C441C3" w:rsidRDefault="005132ED" w:rsidP="0080718A">
            <w:pPr>
              <w:rPr>
                <w:rFonts w:eastAsia="Times New Roman"/>
                <w:color w:val="000000"/>
              </w:rPr>
            </w:pPr>
            <w:r w:rsidRPr="00C441C3">
              <w:rPr>
                <w:rFonts w:eastAsia="Times New Roman"/>
                <w:color w:val="000000"/>
              </w:rPr>
              <w:t>Coal</w:t>
            </w:r>
          </w:p>
        </w:tc>
        <w:tc>
          <w:tcPr>
            <w:tcW w:w="1559" w:type="dxa"/>
            <w:tcBorders>
              <w:top w:val="nil"/>
              <w:left w:val="nil"/>
              <w:bottom w:val="single" w:sz="4" w:space="0" w:color="auto"/>
              <w:right w:val="nil"/>
            </w:tcBorders>
            <w:shd w:val="clear" w:color="auto" w:fill="auto"/>
            <w:noWrap/>
            <w:hideMark/>
          </w:tcPr>
          <w:p w14:paraId="7700E04B" w14:textId="77777777" w:rsidR="005132ED" w:rsidRPr="00C441C3" w:rsidRDefault="005132ED" w:rsidP="0080718A">
            <w:pPr>
              <w:rPr>
                <w:rFonts w:eastAsia="Times New Roman"/>
                <w:color w:val="000000"/>
              </w:rPr>
            </w:pPr>
            <w:r w:rsidRPr="00C441C3">
              <w:rPr>
                <w:rFonts w:eastAsia="Times New Roman"/>
                <w:color w:val="000000"/>
              </w:rPr>
              <w:t>3-Piece</w:t>
            </w:r>
          </w:p>
        </w:tc>
        <w:tc>
          <w:tcPr>
            <w:tcW w:w="1276" w:type="dxa"/>
            <w:tcBorders>
              <w:top w:val="nil"/>
              <w:left w:val="nil"/>
              <w:bottom w:val="single" w:sz="4" w:space="0" w:color="auto"/>
              <w:right w:val="single" w:sz="4" w:space="0" w:color="auto"/>
            </w:tcBorders>
            <w:shd w:val="clear" w:color="auto" w:fill="auto"/>
            <w:noWrap/>
            <w:hideMark/>
          </w:tcPr>
          <w:p w14:paraId="77A99893" w14:textId="77777777" w:rsidR="005132ED" w:rsidRPr="00C441C3" w:rsidRDefault="005132ED" w:rsidP="0080718A">
            <w:pPr>
              <w:rPr>
                <w:rFonts w:eastAsia="Times New Roman"/>
                <w:color w:val="000000"/>
              </w:rPr>
            </w:pPr>
            <w:r w:rsidRPr="00C441C3">
              <w:rPr>
                <w:rFonts w:eastAsia="Times New Roman"/>
                <w:color w:val="000000"/>
              </w:rPr>
              <w:t>72%</w:t>
            </w:r>
          </w:p>
        </w:tc>
        <w:tc>
          <w:tcPr>
            <w:tcW w:w="1701" w:type="dxa"/>
            <w:tcBorders>
              <w:top w:val="nil"/>
              <w:left w:val="nil"/>
              <w:bottom w:val="single" w:sz="4" w:space="0" w:color="auto"/>
              <w:right w:val="single" w:sz="4" w:space="0" w:color="auto"/>
            </w:tcBorders>
            <w:shd w:val="clear" w:color="auto" w:fill="auto"/>
            <w:noWrap/>
            <w:hideMark/>
          </w:tcPr>
          <w:p w14:paraId="404F3F01" w14:textId="77777777" w:rsidR="005132ED" w:rsidRPr="00C441C3" w:rsidRDefault="005132ED" w:rsidP="0080718A">
            <w:pPr>
              <w:rPr>
                <w:rFonts w:eastAsia="Times New Roman"/>
                <w:color w:val="000000"/>
              </w:rPr>
            </w:pPr>
            <w:r w:rsidRPr="00C441C3">
              <w:rPr>
                <w:rFonts w:eastAsia="Times New Roman"/>
                <w:color w:val="000000"/>
              </w:rPr>
              <w:t>9%</w:t>
            </w:r>
          </w:p>
        </w:tc>
        <w:tc>
          <w:tcPr>
            <w:tcW w:w="1985" w:type="dxa"/>
            <w:tcBorders>
              <w:top w:val="nil"/>
              <w:left w:val="nil"/>
              <w:bottom w:val="single" w:sz="4" w:space="0" w:color="auto"/>
              <w:right w:val="single" w:sz="4" w:space="0" w:color="auto"/>
            </w:tcBorders>
            <w:shd w:val="clear" w:color="auto" w:fill="auto"/>
            <w:noWrap/>
            <w:hideMark/>
          </w:tcPr>
          <w:p w14:paraId="3B30F017" w14:textId="77777777" w:rsidR="005132ED" w:rsidRPr="00C441C3" w:rsidRDefault="005132ED" w:rsidP="0080718A">
            <w:pPr>
              <w:rPr>
                <w:rFonts w:eastAsia="Times New Roman"/>
                <w:color w:val="000000"/>
              </w:rPr>
            </w:pPr>
            <w:r w:rsidRPr="00C441C3">
              <w:rPr>
                <w:rFonts w:eastAsia="Times New Roman"/>
                <w:color w:val="000000"/>
              </w:rPr>
              <w:t>1%</w:t>
            </w:r>
          </w:p>
        </w:tc>
      </w:tr>
      <w:tr w:rsidR="005132ED" w:rsidRPr="00C441C3" w14:paraId="6B88C122" w14:textId="77777777" w:rsidTr="000D5E64">
        <w:trPr>
          <w:trHeight w:val="300"/>
        </w:trPr>
        <w:tc>
          <w:tcPr>
            <w:tcW w:w="1271" w:type="dxa"/>
            <w:vMerge w:val="restart"/>
            <w:tcBorders>
              <w:top w:val="nil"/>
              <w:left w:val="single" w:sz="4" w:space="0" w:color="auto"/>
              <w:bottom w:val="single" w:sz="4" w:space="0" w:color="000000"/>
              <w:right w:val="nil"/>
            </w:tcBorders>
            <w:shd w:val="clear" w:color="auto" w:fill="auto"/>
            <w:hideMark/>
          </w:tcPr>
          <w:p w14:paraId="060F79E6" w14:textId="77777777" w:rsidR="005132ED" w:rsidRPr="00C441C3" w:rsidRDefault="005132ED" w:rsidP="0080718A">
            <w:pPr>
              <w:rPr>
                <w:rFonts w:eastAsia="Times New Roman"/>
                <w:color w:val="000000"/>
              </w:rPr>
            </w:pPr>
            <w:r w:rsidRPr="00C441C3">
              <w:rPr>
                <w:rFonts w:eastAsia="Times New Roman"/>
                <w:color w:val="000000"/>
              </w:rPr>
              <w:t>Gate Only</w:t>
            </w:r>
          </w:p>
        </w:tc>
        <w:tc>
          <w:tcPr>
            <w:tcW w:w="1134" w:type="dxa"/>
            <w:tcBorders>
              <w:top w:val="nil"/>
              <w:left w:val="nil"/>
              <w:bottom w:val="nil"/>
              <w:right w:val="nil"/>
            </w:tcBorders>
            <w:shd w:val="clear" w:color="auto" w:fill="auto"/>
            <w:noWrap/>
            <w:hideMark/>
          </w:tcPr>
          <w:p w14:paraId="1AC42E7F" w14:textId="77777777" w:rsidR="005132ED" w:rsidRPr="00C441C3" w:rsidRDefault="005132ED" w:rsidP="0080718A">
            <w:pPr>
              <w:rPr>
                <w:rFonts w:eastAsia="Times New Roman"/>
                <w:color w:val="000000"/>
              </w:rPr>
            </w:pPr>
            <w:r w:rsidRPr="00C441C3">
              <w:rPr>
                <w:rFonts w:eastAsia="Times New Roman"/>
                <w:color w:val="000000"/>
              </w:rPr>
              <w:t>Sandstone</w:t>
            </w:r>
          </w:p>
        </w:tc>
        <w:tc>
          <w:tcPr>
            <w:tcW w:w="1559" w:type="dxa"/>
            <w:tcBorders>
              <w:top w:val="nil"/>
              <w:left w:val="nil"/>
              <w:bottom w:val="nil"/>
              <w:right w:val="nil"/>
            </w:tcBorders>
            <w:shd w:val="clear" w:color="auto" w:fill="auto"/>
            <w:noWrap/>
            <w:hideMark/>
          </w:tcPr>
          <w:p w14:paraId="73386B9E" w14:textId="77777777" w:rsidR="005132ED" w:rsidRPr="00C441C3" w:rsidRDefault="005132ED" w:rsidP="0080718A">
            <w:pPr>
              <w:rPr>
                <w:rFonts w:eastAsia="Times New Roman"/>
                <w:color w:val="000000"/>
              </w:rPr>
            </w:pPr>
            <w:r w:rsidRPr="00C441C3">
              <w:rPr>
                <w:rFonts w:eastAsia="Times New Roman"/>
                <w:color w:val="000000"/>
              </w:rPr>
              <w:t>2-Piece-Clear</w:t>
            </w:r>
          </w:p>
        </w:tc>
        <w:tc>
          <w:tcPr>
            <w:tcW w:w="1276" w:type="dxa"/>
            <w:tcBorders>
              <w:top w:val="nil"/>
              <w:left w:val="nil"/>
              <w:bottom w:val="nil"/>
              <w:right w:val="single" w:sz="4" w:space="0" w:color="auto"/>
            </w:tcBorders>
            <w:shd w:val="clear" w:color="auto" w:fill="auto"/>
            <w:noWrap/>
            <w:hideMark/>
          </w:tcPr>
          <w:p w14:paraId="5685700D" w14:textId="77777777" w:rsidR="005132ED" w:rsidRPr="00C441C3" w:rsidRDefault="005132ED" w:rsidP="0080718A">
            <w:pPr>
              <w:rPr>
                <w:rFonts w:eastAsia="Times New Roman"/>
                <w:color w:val="000000"/>
              </w:rPr>
            </w:pPr>
            <w:r w:rsidRPr="00C441C3">
              <w:rPr>
                <w:rFonts w:eastAsia="Times New Roman"/>
                <w:color w:val="000000"/>
              </w:rPr>
              <w:t>67%</w:t>
            </w:r>
          </w:p>
        </w:tc>
        <w:tc>
          <w:tcPr>
            <w:tcW w:w="1701" w:type="dxa"/>
            <w:tcBorders>
              <w:top w:val="nil"/>
              <w:left w:val="nil"/>
              <w:bottom w:val="nil"/>
              <w:right w:val="single" w:sz="4" w:space="0" w:color="auto"/>
            </w:tcBorders>
            <w:shd w:val="clear" w:color="auto" w:fill="auto"/>
            <w:noWrap/>
            <w:hideMark/>
          </w:tcPr>
          <w:p w14:paraId="5828930A" w14:textId="77777777" w:rsidR="005132ED" w:rsidRPr="00C441C3" w:rsidRDefault="005132ED" w:rsidP="0080718A">
            <w:pPr>
              <w:rPr>
                <w:rFonts w:eastAsia="Times New Roman"/>
                <w:color w:val="000000"/>
              </w:rPr>
            </w:pPr>
            <w:r w:rsidRPr="00C441C3">
              <w:rPr>
                <w:rFonts w:eastAsia="Times New Roman"/>
                <w:color w:val="000000"/>
              </w:rPr>
              <w:t>99%</w:t>
            </w:r>
          </w:p>
        </w:tc>
        <w:tc>
          <w:tcPr>
            <w:tcW w:w="1985" w:type="dxa"/>
            <w:tcBorders>
              <w:top w:val="nil"/>
              <w:left w:val="nil"/>
              <w:bottom w:val="nil"/>
              <w:right w:val="single" w:sz="4" w:space="0" w:color="auto"/>
            </w:tcBorders>
            <w:shd w:val="clear" w:color="auto" w:fill="auto"/>
            <w:noWrap/>
            <w:hideMark/>
          </w:tcPr>
          <w:p w14:paraId="279DCB30" w14:textId="77777777" w:rsidR="005132ED" w:rsidRPr="00C441C3" w:rsidRDefault="005132ED" w:rsidP="0080718A">
            <w:pPr>
              <w:rPr>
                <w:rFonts w:eastAsia="Times New Roman"/>
                <w:color w:val="000000"/>
              </w:rPr>
            </w:pPr>
            <w:r w:rsidRPr="00C441C3">
              <w:rPr>
                <w:rFonts w:eastAsia="Times New Roman"/>
                <w:color w:val="000000"/>
              </w:rPr>
              <w:t>74%</w:t>
            </w:r>
          </w:p>
        </w:tc>
      </w:tr>
      <w:tr w:rsidR="005132ED" w:rsidRPr="00C441C3" w14:paraId="64AE196A" w14:textId="77777777" w:rsidTr="000D5E64">
        <w:trPr>
          <w:trHeight w:val="300"/>
        </w:trPr>
        <w:tc>
          <w:tcPr>
            <w:tcW w:w="1271" w:type="dxa"/>
            <w:vMerge/>
            <w:tcBorders>
              <w:top w:val="nil"/>
              <w:left w:val="single" w:sz="4" w:space="0" w:color="auto"/>
              <w:bottom w:val="single" w:sz="4" w:space="0" w:color="000000"/>
              <w:right w:val="nil"/>
            </w:tcBorders>
            <w:hideMark/>
          </w:tcPr>
          <w:p w14:paraId="7866273D" w14:textId="77777777" w:rsidR="005132ED" w:rsidRPr="00C441C3" w:rsidRDefault="005132ED" w:rsidP="0080718A">
            <w:pPr>
              <w:rPr>
                <w:rFonts w:eastAsia="Times New Roman"/>
                <w:color w:val="000000"/>
              </w:rPr>
            </w:pPr>
          </w:p>
        </w:tc>
        <w:tc>
          <w:tcPr>
            <w:tcW w:w="1134" w:type="dxa"/>
            <w:tcBorders>
              <w:top w:val="nil"/>
              <w:left w:val="nil"/>
              <w:bottom w:val="single" w:sz="4" w:space="0" w:color="auto"/>
              <w:right w:val="nil"/>
            </w:tcBorders>
            <w:shd w:val="clear" w:color="auto" w:fill="auto"/>
            <w:noWrap/>
            <w:hideMark/>
          </w:tcPr>
          <w:p w14:paraId="01FC52F7" w14:textId="77777777" w:rsidR="005132ED" w:rsidRPr="00C441C3" w:rsidRDefault="005132ED" w:rsidP="0080718A">
            <w:pPr>
              <w:rPr>
                <w:rFonts w:eastAsia="Times New Roman"/>
                <w:color w:val="000000"/>
              </w:rPr>
            </w:pPr>
            <w:r w:rsidRPr="00C441C3">
              <w:rPr>
                <w:rFonts w:eastAsia="Times New Roman"/>
                <w:color w:val="000000"/>
              </w:rPr>
              <w:t>Sandstone</w:t>
            </w:r>
          </w:p>
        </w:tc>
        <w:tc>
          <w:tcPr>
            <w:tcW w:w="1559" w:type="dxa"/>
            <w:tcBorders>
              <w:top w:val="nil"/>
              <w:left w:val="nil"/>
              <w:bottom w:val="single" w:sz="4" w:space="0" w:color="auto"/>
              <w:right w:val="nil"/>
            </w:tcBorders>
            <w:shd w:val="clear" w:color="auto" w:fill="auto"/>
            <w:noWrap/>
            <w:hideMark/>
          </w:tcPr>
          <w:p w14:paraId="48076E53" w14:textId="77777777" w:rsidR="005132ED" w:rsidRPr="00C441C3" w:rsidRDefault="005132ED" w:rsidP="0080718A">
            <w:pPr>
              <w:rPr>
                <w:rFonts w:eastAsia="Times New Roman"/>
                <w:color w:val="000000"/>
              </w:rPr>
            </w:pPr>
            <w:r w:rsidRPr="00C441C3">
              <w:rPr>
                <w:rFonts w:eastAsia="Times New Roman"/>
                <w:color w:val="000000"/>
              </w:rPr>
              <w:t>2-Piece-Clear</w:t>
            </w:r>
          </w:p>
        </w:tc>
        <w:tc>
          <w:tcPr>
            <w:tcW w:w="1276" w:type="dxa"/>
            <w:tcBorders>
              <w:top w:val="nil"/>
              <w:left w:val="nil"/>
              <w:bottom w:val="single" w:sz="4" w:space="0" w:color="auto"/>
              <w:right w:val="single" w:sz="4" w:space="0" w:color="auto"/>
            </w:tcBorders>
            <w:shd w:val="clear" w:color="auto" w:fill="auto"/>
            <w:noWrap/>
            <w:hideMark/>
          </w:tcPr>
          <w:p w14:paraId="60204084" w14:textId="77777777" w:rsidR="005132ED" w:rsidRPr="00C441C3" w:rsidRDefault="005132ED" w:rsidP="0080718A">
            <w:pPr>
              <w:rPr>
                <w:rFonts w:eastAsia="Times New Roman"/>
                <w:color w:val="000000"/>
              </w:rPr>
            </w:pPr>
            <w:r w:rsidRPr="00C441C3">
              <w:rPr>
                <w:rFonts w:eastAsia="Times New Roman"/>
                <w:color w:val="000000"/>
              </w:rPr>
              <w:t>63%</w:t>
            </w:r>
          </w:p>
        </w:tc>
        <w:tc>
          <w:tcPr>
            <w:tcW w:w="1701" w:type="dxa"/>
            <w:tcBorders>
              <w:top w:val="nil"/>
              <w:left w:val="nil"/>
              <w:bottom w:val="single" w:sz="4" w:space="0" w:color="auto"/>
              <w:right w:val="single" w:sz="4" w:space="0" w:color="auto"/>
            </w:tcBorders>
            <w:shd w:val="clear" w:color="auto" w:fill="auto"/>
            <w:noWrap/>
            <w:hideMark/>
          </w:tcPr>
          <w:p w14:paraId="5057FB0B" w14:textId="77777777" w:rsidR="005132ED" w:rsidRPr="00C441C3" w:rsidRDefault="005132ED" w:rsidP="0080718A">
            <w:pPr>
              <w:rPr>
                <w:rFonts w:eastAsia="Times New Roman"/>
                <w:color w:val="000000"/>
              </w:rPr>
            </w:pPr>
            <w:r w:rsidRPr="00C441C3">
              <w:rPr>
                <w:rFonts w:eastAsia="Times New Roman"/>
                <w:color w:val="000000"/>
              </w:rPr>
              <w:t>97%</w:t>
            </w:r>
          </w:p>
        </w:tc>
        <w:tc>
          <w:tcPr>
            <w:tcW w:w="1985" w:type="dxa"/>
            <w:tcBorders>
              <w:top w:val="nil"/>
              <w:left w:val="nil"/>
              <w:bottom w:val="single" w:sz="4" w:space="0" w:color="auto"/>
              <w:right w:val="single" w:sz="4" w:space="0" w:color="auto"/>
            </w:tcBorders>
            <w:shd w:val="clear" w:color="auto" w:fill="auto"/>
            <w:noWrap/>
            <w:hideMark/>
          </w:tcPr>
          <w:p w14:paraId="5A46AED5" w14:textId="77777777" w:rsidR="005132ED" w:rsidRPr="00C441C3" w:rsidRDefault="005132ED" w:rsidP="0080718A">
            <w:pPr>
              <w:rPr>
                <w:rFonts w:eastAsia="Times New Roman"/>
                <w:color w:val="000000"/>
              </w:rPr>
            </w:pPr>
            <w:r w:rsidRPr="00C441C3">
              <w:rPr>
                <w:rFonts w:eastAsia="Times New Roman"/>
                <w:color w:val="000000"/>
              </w:rPr>
              <w:t>71%</w:t>
            </w:r>
          </w:p>
        </w:tc>
      </w:tr>
      <w:tr w:rsidR="005132ED" w:rsidRPr="00C441C3" w14:paraId="0DB59937" w14:textId="77777777" w:rsidTr="000D5E64">
        <w:trPr>
          <w:trHeight w:val="300"/>
        </w:trPr>
        <w:tc>
          <w:tcPr>
            <w:tcW w:w="1271" w:type="dxa"/>
            <w:vMerge w:val="restart"/>
            <w:tcBorders>
              <w:top w:val="nil"/>
              <w:left w:val="single" w:sz="4" w:space="0" w:color="auto"/>
              <w:bottom w:val="single" w:sz="4" w:space="0" w:color="000000"/>
              <w:right w:val="nil"/>
            </w:tcBorders>
            <w:shd w:val="clear" w:color="auto" w:fill="auto"/>
            <w:hideMark/>
          </w:tcPr>
          <w:p w14:paraId="0611D0E7" w14:textId="77777777" w:rsidR="005132ED" w:rsidRPr="00C441C3" w:rsidRDefault="005132ED" w:rsidP="0080718A">
            <w:pPr>
              <w:rPr>
                <w:rFonts w:eastAsia="Times New Roman"/>
                <w:color w:val="000000"/>
              </w:rPr>
            </w:pPr>
            <w:r w:rsidRPr="00C441C3">
              <w:rPr>
                <w:rFonts w:eastAsia="Times New Roman"/>
                <w:color w:val="000000"/>
              </w:rPr>
              <w:t>"Mine and Cassette" Only</w:t>
            </w:r>
          </w:p>
        </w:tc>
        <w:tc>
          <w:tcPr>
            <w:tcW w:w="1134" w:type="dxa"/>
            <w:tcBorders>
              <w:top w:val="nil"/>
              <w:left w:val="nil"/>
              <w:bottom w:val="nil"/>
              <w:right w:val="nil"/>
            </w:tcBorders>
            <w:shd w:val="clear" w:color="auto" w:fill="auto"/>
            <w:noWrap/>
            <w:hideMark/>
          </w:tcPr>
          <w:p w14:paraId="7487D5C7" w14:textId="77777777" w:rsidR="005132ED" w:rsidRPr="00C441C3" w:rsidRDefault="005132ED" w:rsidP="0080718A">
            <w:pPr>
              <w:rPr>
                <w:rFonts w:eastAsia="Times New Roman"/>
                <w:color w:val="000000"/>
              </w:rPr>
            </w:pPr>
            <w:r w:rsidRPr="00C441C3">
              <w:rPr>
                <w:rFonts w:eastAsia="Times New Roman"/>
                <w:color w:val="000000"/>
              </w:rPr>
              <w:t>Coal</w:t>
            </w:r>
          </w:p>
        </w:tc>
        <w:tc>
          <w:tcPr>
            <w:tcW w:w="1559" w:type="dxa"/>
            <w:tcBorders>
              <w:top w:val="nil"/>
              <w:left w:val="nil"/>
              <w:bottom w:val="nil"/>
              <w:right w:val="nil"/>
            </w:tcBorders>
            <w:shd w:val="clear" w:color="auto" w:fill="auto"/>
            <w:noWrap/>
            <w:hideMark/>
          </w:tcPr>
          <w:p w14:paraId="1A212569" w14:textId="77777777" w:rsidR="005132ED" w:rsidRPr="00C441C3" w:rsidRDefault="005132ED" w:rsidP="0080718A">
            <w:pPr>
              <w:rPr>
                <w:rFonts w:eastAsia="Times New Roman"/>
                <w:color w:val="000000"/>
              </w:rPr>
            </w:pPr>
            <w:r w:rsidRPr="00C441C3">
              <w:rPr>
                <w:rFonts w:eastAsia="Times New Roman"/>
                <w:color w:val="000000"/>
              </w:rPr>
              <w:t>MSA</w:t>
            </w:r>
          </w:p>
        </w:tc>
        <w:tc>
          <w:tcPr>
            <w:tcW w:w="1276" w:type="dxa"/>
            <w:tcBorders>
              <w:top w:val="nil"/>
              <w:left w:val="nil"/>
              <w:bottom w:val="nil"/>
              <w:right w:val="single" w:sz="4" w:space="0" w:color="auto"/>
            </w:tcBorders>
            <w:shd w:val="clear" w:color="auto" w:fill="auto"/>
            <w:noWrap/>
            <w:hideMark/>
          </w:tcPr>
          <w:p w14:paraId="04A4F933" w14:textId="77777777" w:rsidR="005132ED" w:rsidRPr="00C441C3" w:rsidRDefault="005132ED" w:rsidP="0080718A">
            <w:pPr>
              <w:rPr>
                <w:rFonts w:eastAsia="Times New Roman"/>
                <w:color w:val="000000"/>
              </w:rPr>
            </w:pPr>
            <w:r w:rsidRPr="00C441C3">
              <w:rPr>
                <w:rFonts w:eastAsia="Times New Roman"/>
                <w:color w:val="000000"/>
              </w:rPr>
              <w:t>74%</w:t>
            </w:r>
          </w:p>
        </w:tc>
        <w:tc>
          <w:tcPr>
            <w:tcW w:w="1701" w:type="dxa"/>
            <w:tcBorders>
              <w:top w:val="nil"/>
              <w:left w:val="nil"/>
              <w:bottom w:val="nil"/>
              <w:right w:val="single" w:sz="4" w:space="0" w:color="auto"/>
            </w:tcBorders>
            <w:shd w:val="clear" w:color="auto" w:fill="auto"/>
            <w:noWrap/>
            <w:hideMark/>
          </w:tcPr>
          <w:p w14:paraId="47F8DB04" w14:textId="77777777" w:rsidR="005132ED" w:rsidRPr="00C441C3" w:rsidRDefault="005132ED" w:rsidP="0080718A">
            <w:pPr>
              <w:rPr>
                <w:rFonts w:eastAsia="Times New Roman"/>
                <w:color w:val="000000"/>
              </w:rPr>
            </w:pPr>
            <w:r w:rsidRPr="00C441C3">
              <w:rPr>
                <w:rFonts w:eastAsia="Times New Roman"/>
                <w:color w:val="000000"/>
              </w:rPr>
              <w:t>73%</w:t>
            </w:r>
          </w:p>
        </w:tc>
        <w:tc>
          <w:tcPr>
            <w:tcW w:w="1985" w:type="dxa"/>
            <w:tcBorders>
              <w:top w:val="nil"/>
              <w:left w:val="nil"/>
              <w:bottom w:val="nil"/>
              <w:right w:val="single" w:sz="4" w:space="0" w:color="auto"/>
            </w:tcBorders>
            <w:shd w:val="clear" w:color="auto" w:fill="auto"/>
            <w:noWrap/>
            <w:hideMark/>
          </w:tcPr>
          <w:p w14:paraId="30F6F8DA" w14:textId="77777777" w:rsidR="005132ED" w:rsidRPr="00C441C3" w:rsidRDefault="005132ED" w:rsidP="0080718A">
            <w:pPr>
              <w:rPr>
                <w:rFonts w:eastAsia="Times New Roman"/>
                <w:color w:val="000000"/>
              </w:rPr>
            </w:pPr>
            <w:r w:rsidRPr="00C441C3">
              <w:rPr>
                <w:rFonts w:eastAsia="Times New Roman"/>
                <w:color w:val="000000"/>
              </w:rPr>
              <w:t>9%</w:t>
            </w:r>
          </w:p>
        </w:tc>
      </w:tr>
      <w:tr w:rsidR="005132ED" w:rsidRPr="00C441C3" w14:paraId="06AC6312" w14:textId="77777777" w:rsidTr="000D5E64">
        <w:trPr>
          <w:trHeight w:val="300"/>
        </w:trPr>
        <w:tc>
          <w:tcPr>
            <w:tcW w:w="1271" w:type="dxa"/>
            <w:vMerge/>
            <w:tcBorders>
              <w:top w:val="nil"/>
              <w:left w:val="single" w:sz="4" w:space="0" w:color="auto"/>
              <w:bottom w:val="single" w:sz="4" w:space="0" w:color="000000"/>
              <w:right w:val="nil"/>
            </w:tcBorders>
            <w:hideMark/>
          </w:tcPr>
          <w:p w14:paraId="0AC39A8A" w14:textId="77777777" w:rsidR="005132ED" w:rsidRPr="00C441C3" w:rsidRDefault="005132ED" w:rsidP="0080718A">
            <w:pPr>
              <w:rPr>
                <w:rFonts w:eastAsia="Times New Roman"/>
                <w:color w:val="000000"/>
              </w:rPr>
            </w:pPr>
          </w:p>
        </w:tc>
        <w:tc>
          <w:tcPr>
            <w:tcW w:w="1134" w:type="dxa"/>
            <w:tcBorders>
              <w:top w:val="nil"/>
              <w:left w:val="nil"/>
              <w:bottom w:val="nil"/>
              <w:right w:val="nil"/>
            </w:tcBorders>
            <w:shd w:val="clear" w:color="auto" w:fill="auto"/>
            <w:noWrap/>
            <w:hideMark/>
          </w:tcPr>
          <w:p w14:paraId="0D0C6585" w14:textId="77777777" w:rsidR="005132ED" w:rsidRPr="00C441C3" w:rsidRDefault="005132ED" w:rsidP="0080718A">
            <w:pPr>
              <w:rPr>
                <w:rFonts w:eastAsia="Times New Roman"/>
                <w:color w:val="000000"/>
              </w:rPr>
            </w:pPr>
            <w:r w:rsidRPr="00C441C3">
              <w:rPr>
                <w:rFonts w:eastAsia="Times New Roman"/>
                <w:color w:val="000000"/>
              </w:rPr>
              <w:t>Coal</w:t>
            </w:r>
          </w:p>
        </w:tc>
        <w:tc>
          <w:tcPr>
            <w:tcW w:w="1559" w:type="dxa"/>
            <w:tcBorders>
              <w:top w:val="nil"/>
              <w:left w:val="nil"/>
              <w:bottom w:val="nil"/>
              <w:right w:val="nil"/>
            </w:tcBorders>
            <w:shd w:val="clear" w:color="auto" w:fill="auto"/>
            <w:noWrap/>
            <w:hideMark/>
          </w:tcPr>
          <w:p w14:paraId="2F9F5A70" w14:textId="77777777" w:rsidR="005132ED" w:rsidRPr="00C441C3" w:rsidRDefault="005132ED" w:rsidP="0080718A">
            <w:pPr>
              <w:rPr>
                <w:rFonts w:eastAsia="Times New Roman"/>
                <w:color w:val="000000"/>
              </w:rPr>
            </w:pPr>
            <w:r w:rsidRPr="00C441C3">
              <w:rPr>
                <w:rFonts w:eastAsia="Times New Roman"/>
                <w:color w:val="000000"/>
              </w:rPr>
              <w:t>MSA</w:t>
            </w:r>
          </w:p>
        </w:tc>
        <w:tc>
          <w:tcPr>
            <w:tcW w:w="1276" w:type="dxa"/>
            <w:tcBorders>
              <w:top w:val="nil"/>
              <w:left w:val="nil"/>
              <w:bottom w:val="nil"/>
              <w:right w:val="single" w:sz="4" w:space="0" w:color="auto"/>
            </w:tcBorders>
            <w:shd w:val="clear" w:color="auto" w:fill="auto"/>
            <w:noWrap/>
            <w:hideMark/>
          </w:tcPr>
          <w:p w14:paraId="0F5D3A3B" w14:textId="77777777" w:rsidR="005132ED" w:rsidRPr="00C441C3" w:rsidRDefault="005132ED" w:rsidP="0080718A">
            <w:pPr>
              <w:rPr>
                <w:rFonts w:eastAsia="Times New Roman"/>
                <w:color w:val="000000"/>
              </w:rPr>
            </w:pPr>
            <w:r w:rsidRPr="00C441C3">
              <w:rPr>
                <w:rFonts w:eastAsia="Times New Roman"/>
                <w:color w:val="000000"/>
              </w:rPr>
              <w:t>60%</w:t>
            </w:r>
          </w:p>
        </w:tc>
        <w:tc>
          <w:tcPr>
            <w:tcW w:w="1701" w:type="dxa"/>
            <w:tcBorders>
              <w:top w:val="nil"/>
              <w:left w:val="nil"/>
              <w:bottom w:val="nil"/>
              <w:right w:val="single" w:sz="4" w:space="0" w:color="auto"/>
            </w:tcBorders>
            <w:shd w:val="clear" w:color="auto" w:fill="auto"/>
            <w:noWrap/>
            <w:hideMark/>
          </w:tcPr>
          <w:p w14:paraId="068F9E1D" w14:textId="77777777" w:rsidR="005132ED" w:rsidRPr="00C441C3" w:rsidRDefault="005132ED" w:rsidP="0080718A">
            <w:pPr>
              <w:rPr>
                <w:rFonts w:eastAsia="Times New Roman"/>
                <w:color w:val="000000"/>
              </w:rPr>
            </w:pPr>
            <w:r w:rsidRPr="00C441C3">
              <w:rPr>
                <w:rFonts w:eastAsia="Times New Roman"/>
                <w:color w:val="000000"/>
              </w:rPr>
              <w:t>2%</w:t>
            </w:r>
          </w:p>
        </w:tc>
        <w:tc>
          <w:tcPr>
            <w:tcW w:w="1985" w:type="dxa"/>
            <w:tcBorders>
              <w:top w:val="nil"/>
              <w:left w:val="nil"/>
              <w:bottom w:val="nil"/>
              <w:right w:val="single" w:sz="4" w:space="0" w:color="auto"/>
            </w:tcBorders>
            <w:shd w:val="clear" w:color="auto" w:fill="auto"/>
            <w:noWrap/>
            <w:hideMark/>
          </w:tcPr>
          <w:p w14:paraId="4EB1663F" w14:textId="77777777" w:rsidR="005132ED" w:rsidRPr="00C441C3" w:rsidRDefault="005132ED" w:rsidP="0080718A">
            <w:pPr>
              <w:rPr>
                <w:rFonts w:eastAsia="Times New Roman"/>
                <w:color w:val="000000"/>
              </w:rPr>
            </w:pPr>
            <w:r w:rsidRPr="00C441C3">
              <w:rPr>
                <w:rFonts w:eastAsia="Times New Roman"/>
                <w:color w:val="000000"/>
              </w:rPr>
              <w:t>0%</w:t>
            </w:r>
          </w:p>
        </w:tc>
      </w:tr>
      <w:tr w:rsidR="005132ED" w:rsidRPr="00C441C3" w14:paraId="32E8120E" w14:textId="77777777" w:rsidTr="000D5E64">
        <w:trPr>
          <w:trHeight w:val="300"/>
        </w:trPr>
        <w:tc>
          <w:tcPr>
            <w:tcW w:w="1271" w:type="dxa"/>
            <w:vMerge/>
            <w:tcBorders>
              <w:top w:val="nil"/>
              <w:left w:val="single" w:sz="4" w:space="0" w:color="auto"/>
              <w:bottom w:val="single" w:sz="4" w:space="0" w:color="000000"/>
              <w:right w:val="nil"/>
            </w:tcBorders>
            <w:hideMark/>
          </w:tcPr>
          <w:p w14:paraId="1E615766" w14:textId="77777777" w:rsidR="005132ED" w:rsidRPr="00C441C3" w:rsidRDefault="005132ED" w:rsidP="0080718A">
            <w:pPr>
              <w:rPr>
                <w:rFonts w:eastAsia="Times New Roman"/>
                <w:color w:val="000000"/>
              </w:rPr>
            </w:pPr>
          </w:p>
        </w:tc>
        <w:tc>
          <w:tcPr>
            <w:tcW w:w="1134" w:type="dxa"/>
            <w:tcBorders>
              <w:top w:val="nil"/>
              <w:left w:val="nil"/>
              <w:bottom w:val="nil"/>
              <w:right w:val="nil"/>
            </w:tcBorders>
            <w:shd w:val="clear" w:color="auto" w:fill="auto"/>
            <w:noWrap/>
            <w:hideMark/>
          </w:tcPr>
          <w:p w14:paraId="17629DD4" w14:textId="77777777" w:rsidR="005132ED" w:rsidRPr="00C441C3" w:rsidRDefault="005132ED" w:rsidP="0080718A">
            <w:pPr>
              <w:rPr>
                <w:rFonts w:eastAsia="Times New Roman"/>
                <w:color w:val="000000"/>
              </w:rPr>
            </w:pPr>
            <w:r w:rsidRPr="00C441C3">
              <w:rPr>
                <w:rFonts w:eastAsia="Times New Roman"/>
                <w:color w:val="000000"/>
              </w:rPr>
              <w:t>Coal</w:t>
            </w:r>
          </w:p>
        </w:tc>
        <w:tc>
          <w:tcPr>
            <w:tcW w:w="1559" w:type="dxa"/>
            <w:tcBorders>
              <w:top w:val="nil"/>
              <w:left w:val="nil"/>
              <w:bottom w:val="nil"/>
              <w:right w:val="nil"/>
            </w:tcBorders>
            <w:shd w:val="clear" w:color="auto" w:fill="auto"/>
            <w:noWrap/>
            <w:hideMark/>
          </w:tcPr>
          <w:p w14:paraId="3D4D8337" w14:textId="77777777" w:rsidR="005132ED" w:rsidRPr="00C441C3" w:rsidRDefault="005132ED" w:rsidP="0080718A">
            <w:pPr>
              <w:rPr>
                <w:rFonts w:eastAsia="Times New Roman"/>
                <w:color w:val="000000"/>
              </w:rPr>
            </w:pPr>
            <w:r w:rsidRPr="00C441C3">
              <w:rPr>
                <w:rFonts w:eastAsia="Times New Roman"/>
                <w:color w:val="000000"/>
              </w:rPr>
              <w:t>3-Piece</w:t>
            </w:r>
          </w:p>
        </w:tc>
        <w:tc>
          <w:tcPr>
            <w:tcW w:w="1276" w:type="dxa"/>
            <w:tcBorders>
              <w:top w:val="nil"/>
              <w:left w:val="nil"/>
              <w:bottom w:val="nil"/>
              <w:right w:val="single" w:sz="4" w:space="0" w:color="auto"/>
            </w:tcBorders>
            <w:shd w:val="clear" w:color="auto" w:fill="auto"/>
            <w:noWrap/>
            <w:hideMark/>
          </w:tcPr>
          <w:p w14:paraId="61AFAD78" w14:textId="77777777" w:rsidR="005132ED" w:rsidRPr="00C441C3" w:rsidRDefault="005132ED" w:rsidP="0080718A">
            <w:pPr>
              <w:rPr>
                <w:rFonts w:eastAsia="Times New Roman"/>
                <w:color w:val="000000"/>
              </w:rPr>
            </w:pPr>
            <w:r w:rsidRPr="00C441C3">
              <w:rPr>
                <w:rFonts w:eastAsia="Times New Roman"/>
                <w:color w:val="000000"/>
              </w:rPr>
              <w:t>64%</w:t>
            </w:r>
          </w:p>
        </w:tc>
        <w:tc>
          <w:tcPr>
            <w:tcW w:w="1701" w:type="dxa"/>
            <w:tcBorders>
              <w:top w:val="nil"/>
              <w:left w:val="nil"/>
              <w:bottom w:val="nil"/>
              <w:right w:val="single" w:sz="4" w:space="0" w:color="auto"/>
            </w:tcBorders>
            <w:shd w:val="clear" w:color="auto" w:fill="auto"/>
            <w:noWrap/>
            <w:hideMark/>
          </w:tcPr>
          <w:p w14:paraId="2B9EC24A" w14:textId="77777777" w:rsidR="005132ED" w:rsidRPr="00C441C3" w:rsidRDefault="005132ED" w:rsidP="0080718A">
            <w:pPr>
              <w:rPr>
                <w:rFonts w:eastAsia="Times New Roman"/>
                <w:color w:val="000000"/>
              </w:rPr>
            </w:pPr>
            <w:r w:rsidRPr="00C441C3">
              <w:rPr>
                <w:rFonts w:eastAsia="Times New Roman"/>
                <w:color w:val="000000"/>
              </w:rPr>
              <w:t>8%</w:t>
            </w:r>
          </w:p>
        </w:tc>
        <w:tc>
          <w:tcPr>
            <w:tcW w:w="1985" w:type="dxa"/>
            <w:tcBorders>
              <w:top w:val="nil"/>
              <w:left w:val="nil"/>
              <w:bottom w:val="nil"/>
              <w:right w:val="single" w:sz="4" w:space="0" w:color="auto"/>
            </w:tcBorders>
            <w:shd w:val="clear" w:color="auto" w:fill="auto"/>
            <w:noWrap/>
            <w:hideMark/>
          </w:tcPr>
          <w:p w14:paraId="049067BB" w14:textId="77777777" w:rsidR="005132ED" w:rsidRPr="00C441C3" w:rsidRDefault="005132ED" w:rsidP="0080718A">
            <w:pPr>
              <w:rPr>
                <w:rFonts w:eastAsia="Times New Roman"/>
                <w:color w:val="000000"/>
              </w:rPr>
            </w:pPr>
            <w:r w:rsidRPr="00C441C3">
              <w:rPr>
                <w:rFonts w:eastAsia="Times New Roman"/>
                <w:color w:val="000000"/>
              </w:rPr>
              <w:t>1%</w:t>
            </w:r>
          </w:p>
        </w:tc>
      </w:tr>
      <w:tr w:rsidR="005132ED" w:rsidRPr="00C441C3" w14:paraId="3643E6A4" w14:textId="77777777" w:rsidTr="000D5E64">
        <w:trPr>
          <w:trHeight w:val="300"/>
        </w:trPr>
        <w:tc>
          <w:tcPr>
            <w:tcW w:w="1271" w:type="dxa"/>
            <w:vMerge/>
            <w:tcBorders>
              <w:top w:val="nil"/>
              <w:left w:val="single" w:sz="4" w:space="0" w:color="auto"/>
              <w:bottom w:val="single" w:sz="4" w:space="0" w:color="000000"/>
              <w:right w:val="nil"/>
            </w:tcBorders>
            <w:hideMark/>
          </w:tcPr>
          <w:p w14:paraId="0C096181" w14:textId="77777777" w:rsidR="005132ED" w:rsidRPr="00C441C3" w:rsidRDefault="005132ED" w:rsidP="0080718A">
            <w:pPr>
              <w:rPr>
                <w:rFonts w:eastAsia="Times New Roman"/>
                <w:color w:val="000000"/>
              </w:rPr>
            </w:pPr>
          </w:p>
        </w:tc>
        <w:tc>
          <w:tcPr>
            <w:tcW w:w="1134" w:type="dxa"/>
            <w:tcBorders>
              <w:top w:val="nil"/>
              <w:left w:val="nil"/>
              <w:bottom w:val="nil"/>
              <w:right w:val="nil"/>
            </w:tcBorders>
            <w:shd w:val="clear" w:color="auto" w:fill="auto"/>
            <w:noWrap/>
            <w:hideMark/>
          </w:tcPr>
          <w:p w14:paraId="5EEE511A" w14:textId="77777777" w:rsidR="005132ED" w:rsidRPr="00C441C3" w:rsidRDefault="005132ED" w:rsidP="0080718A">
            <w:pPr>
              <w:rPr>
                <w:rFonts w:eastAsia="Times New Roman"/>
                <w:color w:val="000000"/>
              </w:rPr>
            </w:pPr>
            <w:r w:rsidRPr="00C441C3">
              <w:rPr>
                <w:rFonts w:eastAsia="Times New Roman"/>
                <w:color w:val="000000"/>
              </w:rPr>
              <w:t>Coal</w:t>
            </w:r>
          </w:p>
        </w:tc>
        <w:tc>
          <w:tcPr>
            <w:tcW w:w="1559" w:type="dxa"/>
            <w:tcBorders>
              <w:top w:val="nil"/>
              <w:left w:val="nil"/>
              <w:bottom w:val="nil"/>
              <w:right w:val="nil"/>
            </w:tcBorders>
            <w:shd w:val="clear" w:color="auto" w:fill="auto"/>
            <w:noWrap/>
            <w:hideMark/>
          </w:tcPr>
          <w:p w14:paraId="77AA37F8" w14:textId="77777777" w:rsidR="005132ED" w:rsidRPr="00C441C3" w:rsidRDefault="005132ED" w:rsidP="0080718A">
            <w:pPr>
              <w:rPr>
                <w:rFonts w:eastAsia="Times New Roman"/>
                <w:color w:val="000000"/>
              </w:rPr>
            </w:pPr>
            <w:r w:rsidRPr="00C441C3">
              <w:rPr>
                <w:rFonts w:eastAsia="Times New Roman"/>
                <w:color w:val="000000"/>
              </w:rPr>
              <w:t>3-Piece</w:t>
            </w:r>
          </w:p>
        </w:tc>
        <w:tc>
          <w:tcPr>
            <w:tcW w:w="1276" w:type="dxa"/>
            <w:tcBorders>
              <w:top w:val="nil"/>
              <w:left w:val="nil"/>
              <w:bottom w:val="nil"/>
              <w:right w:val="single" w:sz="4" w:space="0" w:color="auto"/>
            </w:tcBorders>
            <w:shd w:val="clear" w:color="auto" w:fill="auto"/>
            <w:noWrap/>
            <w:hideMark/>
          </w:tcPr>
          <w:p w14:paraId="58322A04" w14:textId="77777777" w:rsidR="005132ED" w:rsidRPr="00C441C3" w:rsidRDefault="005132ED" w:rsidP="0080718A">
            <w:pPr>
              <w:rPr>
                <w:rFonts w:eastAsia="Times New Roman"/>
                <w:color w:val="000000"/>
              </w:rPr>
            </w:pPr>
            <w:r w:rsidRPr="00C441C3">
              <w:rPr>
                <w:rFonts w:eastAsia="Times New Roman"/>
                <w:color w:val="000000"/>
              </w:rPr>
              <w:t>62%</w:t>
            </w:r>
          </w:p>
        </w:tc>
        <w:tc>
          <w:tcPr>
            <w:tcW w:w="1701" w:type="dxa"/>
            <w:tcBorders>
              <w:top w:val="nil"/>
              <w:left w:val="nil"/>
              <w:bottom w:val="nil"/>
              <w:right w:val="single" w:sz="4" w:space="0" w:color="auto"/>
            </w:tcBorders>
            <w:shd w:val="clear" w:color="auto" w:fill="auto"/>
            <w:noWrap/>
            <w:hideMark/>
          </w:tcPr>
          <w:p w14:paraId="1782BE49" w14:textId="77777777" w:rsidR="005132ED" w:rsidRPr="00C441C3" w:rsidRDefault="005132ED" w:rsidP="0080718A">
            <w:pPr>
              <w:rPr>
                <w:rFonts w:eastAsia="Times New Roman"/>
                <w:color w:val="000000"/>
              </w:rPr>
            </w:pPr>
            <w:r w:rsidRPr="00C441C3">
              <w:rPr>
                <w:rFonts w:eastAsia="Times New Roman"/>
                <w:color w:val="000000"/>
              </w:rPr>
              <w:t>5%</w:t>
            </w:r>
          </w:p>
        </w:tc>
        <w:tc>
          <w:tcPr>
            <w:tcW w:w="1985" w:type="dxa"/>
            <w:tcBorders>
              <w:top w:val="nil"/>
              <w:left w:val="nil"/>
              <w:bottom w:val="nil"/>
              <w:right w:val="single" w:sz="4" w:space="0" w:color="auto"/>
            </w:tcBorders>
            <w:shd w:val="clear" w:color="auto" w:fill="auto"/>
            <w:noWrap/>
            <w:hideMark/>
          </w:tcPr>
          <w:p w14:paraId="0DCAC067" w14:textId="77777777" w:rsidR="005132ED" w:rsidRPr="00C441C3" w:rsidRDefault="005132ED" w:rsidP="0080718A">
            <w:pPr>
              <w:rPr>
                <w:rFonts w:eastAsia="Times New Roman"/>
                <w:color w:val="000000"/>
              </w:rPr>
            </w:pPr>
            <w:r w:rsidRPr="00C441C3">
              <w:rPr>
                <w:rFonts w:eastAsia="Times New Roman"/>
                <w:color w:val="000000"/>
              </w:rPr>
              <w:t>0%</w:t>
            </w:r>
          </w:p>
        </w:tc>
      </w:tr>
      <w:tr w:rsidR="005132ED" w:rsidRPr="00C441C3" w14:paraId="09163B6D" w14:textId="77777777" w:rsidTr="000D5E64">
        <w:trPr>
          <w:trHeight w:val="300"/>
        </w:trPr>
        <w:tc>
          <w:tcPr>
            <w:tcW w:w="1271" w:type="dxa"/>
            <w:vMerge/>
            <w:tcBorders>
              <w:top w:val="nil"/>
              <w:left w:val="single" w:sz="4" w:space="0" w:color="auto"/>
              <w:bottom w:val="single" w:sz="4" w:space="0" w:color="000000"/>
              <w:right w:val="nil"/>
            </w:tcBorders>
            <w:hideMark/>
          </w:tcPr>
          <w:p w14:paraId="65F3F665" w14:textId="77777777" w:rsidR="005132ED" w:rsidRPr="00C441C3" w:rsidRDefault="005132ED" w:rsidP="0080718A">
            <w:pPr>
              <w:rPr>
                <w:rFonts w:eastAsia="Times New Roman"/>
                <w:color w:val="000000"/>
              </w:rPr>
            </w:pPr>
          </w:p>
        </w:tc>
        <w:tc>
          <w:tcPr>
            <w:tcW w:w="1134" w:type="dxa"/>
            <w:tcBorders>
              <w:top w:val="nil"/>
              <w:left w:val="nil"/>
              <w:bottom w:val="nil"/>
              <w:right w:val="nil"/>
            </w:tcBorders>
            <w:shd w:val="clear" w:color="auto" w:fill="auto"/>
            <w:noWrap/>
            <w:hideMark/>
          </w:tcPr>
          <w:p w14:paraId="5B407235" w14:textId="77777777" w:rsidR="005132ED" w:rsidRPr="00C441C3" w:rsidRDefault="005132ED" w:rsidP="0080718A">
            <w:pPr>
              <w:rPr>
                <w:rFonts w:eastAsia="Times New Roman"/>
                <w:color w:val="000000"/>
              </w:rPr>
            </w:pPr>
            <w:r w:rsidRPr="00C441C3">
              <w:rPr>
                <w:rFonts w:eastAsia="Times New Roman"/>
                <w:color w:val="000000"/>
              </w:rPr>
              <w:t>Coal</w:t>
            </w:r>
          </w:p>
        </w:tc>
        <w:tc>
          <w:tcPr>
            <w:tcW w:w="1559" w:type="dxa"/>
            <w:tcBorders>
              <w:top w:val="nil"/>
              <w:left w:val="nil"/>
              <w:bottom w:val="nil"/>
              <w:right w:val="nil"/>
            </w:tcBorders>
            <w:shd w:val="clear" w:color="auto" w:fill="auto"/>
            <w:noWrap/>
            <w:hideMark/>
          </w:tcPr>
          <w:p w14:paraId="526A3C36" w14:textId="77777777" w:rsidR="005132ED" w:rsidRPr="00C441C3" w:rsidRDefault="005132ED" w:rsidP="0080718A">
            <w:pPr>
              <w:rPr>
                <w:rFonts w:eastAsia="Times New Roman"/>
                <w:color w:val="000000"/>
              </w:rPr>
            </w:pPr>
            <w:r w:rsidRPr="00C441C3">
              <w:rPr>
                <w:rFonts w:eastAsia="Times New Roman"/>
                <w:color w:val="000000"/>
              </w:rPr>
              <w:t>3-Piece</w:t>
            </w:r>
          </w:p>
        </w:tc>
        <w:tc>
          <w:tcPr>
            <w:tcW w:w="1276" w:type="dxa"/>
            <w:tcBorders>
              <w:top w:val="nil"/>
              <w:left w:val="nil"/>
              <w:bottom w:val="nil"/>
              <w:right w:val="single" w:sz="4" w:space="0" w:color="auto"/>
            </w:tcBorders>
            <w:shd w:val="clear" w:color="auto" w:fill="auto"/>
            <w:noWrap/>
            <w:hideMark/>
          </w:tcPr>
          <w:p w14:paraId="5094BF1B" w14:textId="77777777" w:rsidR="005132ED" w:rsidRPr="00C441C3" w:rsidRDefault="005132ED" w:rsidP="0080718A">
            <w:pPr>
              <w:rPr>
                <w:rFonts w:eastAsia="Times New Roman"/>
                <w:color w:val="000000"/>
              </w:rPr>
            </w:pPr>
            <w:r w:rsidRPr="00C441C3">
              <w:rPr>
                <w:rFonts w:eastAsia="Times New Roman"/>
                <w:color w:val="000000"/>
              </w:rPr>
              <w:t>62%</w:t>
            </w:r>
          </w:p>
        </w:tc>
        <w:tc>
          <w:tcPr>
            <w:tcW w:w="1701" w:type="dxa"/>
            <w:tcBorders>
              <w:top w:val="nil"/>
              <w:left w:val="nil"/>
              <w:bottom w:val="nil"/>
              <w:right w:val="single" w:sz="4" w:space="0" w:color="auto"/>
            </w:tcBorders>
            <w:shd w:val="clear" w:color="auto" w:fill="auto"/>
            <w:noWrap/>
            <w:hideMark/>
          </w:tcPr>
          <w:p w14:paraId="75744054" w14:textId="77777777" w:rsidR="005132ED" w:rsidRPr="00C441C3" w:rsidRDefault="005132ED" w:rsidP="0080718A">
            <w:pPr>
              <w:rPr>
                <w:rFonts w:eastAsia="Times New Roman"/>
                <w:color w:val="000000"/>
              </w:rPr>
            </w:pPr>
            <w:r w:rsidRPr="00C441C3">
              <w:rPr>
                <w:rFonts w:eastAsia="Times New Roman"/>
                <w:color w:val="000000"/>
              </w:rPr>
              <w:t>4%</w:t>
            </w:r>
          </w:p>
        </w:tc>
        <w:tc>
          <w:tcPr>
            <w:tcW w:w="1985" w:type="dxa"/>
            <w:tcBorders>
              <w:top w:val="nil"/>
              <w:left w:val="nil"/>
              <w:bottom w:val="nil"/>
              <w:right w:val="single" w:sz="4" w:space="0" w:color="auto"/>
            </w:tcBorders>
            <w:shd w:val="clear" w:color="auto" w:fill="auto"/>
            <w:noWrap/>
            <w:hideMark/>
          </w:tcPr>
          <w:p w14:paraId="07D4C856" w14:textId="77777777" w:rsidR="005132ED" w:rsidRPr="00C441C3" w:rsidRDefault="005132ED" w:rsidP="0080718A">
            <w:pPr>
              <w:rPr>
                <w:rFonts w:eastAsia="Times New Roman"/>
                <w:color w:val="000000"/>
              </w:rPr>
            </w:pPr>
            <w:r w:rsidRPr="00C441C3">
              <w:rPr>
                <w:rFonts w:eastAsia="Times New Roman"/>
                <w:color w:val="000000"/>
              </w:rPr>
              <w:t>0%</w:t>
            </w:r>
          </w:p>
        </w:tc>
      </w:tr>
      <w:tr w:rsidR="005132ED" w:rsidRPr="00C441C3" w14:paraId="636C61E2" w14:textId="77777777" w:rsidTr="000D5E64">
        <w:trPr>
          <w:trHeight w:val="300"/>
        </w:trPr>
        <w:tc>
          <w:tcPr>
            <w:tcW w:w="1271" w:type="dxa"/>
            <w:vMerge/>
            <w:tcBorders>
              <w:top w:val="nil"/>
              <w:left w:val="single" w:sz="4" w:space="0" w:color="auto"/>
              <w:bottom w:val="single" w:sz="4" w:space="0" w:color="000000"/>
              <w:right w:val="nil"/>
            </w:tcBorders>
            <w:hideMark/>
          </w:tcPr>
          <w:p w14:paraId="34F27035" w14:textId="77777777" w:rsidR="005132ED" w:rsidRPr="00C441C3" w:rsidRDefault="005132ED" w:rsidP="0080718A">
            <w:pPr>
              <w:rPr>
                <w:rFonts w:eastAsia="Times New Roman"/>
                <w:color w:val="000000"/>
              </w:rPr>
            </w:pPr>
          </w:p>
        </w:tc>
        <w:tc>
          <w:tcPr>
            <w:tcW w:w="1134" w:type="dxa"/>
            <w:tcBorders>
              <w:top w:val="nil"/>
              <w:left w:val="nil"/>
              <w:bottom w:val="single" w:sz="4" w:space="0" w:color="auto"/>
              <w:right w:val="nil"/>
            </w:tcBorders>
            <w:shd w:val="clear" w:color="auto" w:fill="auto"/>
            <w:noWrap/>
            <w:hideMark/>
          </w:tcPr>
          <w:p w14:paraId="53C77027" w14:textId="77777777" w:rsidR="005132ED" w:rsidRPr="00C441C3" w:rsidRDefault="005132ED" w:rsidP="0080718A">
            <w:pPr>
              <w:rPr>
                <w:rFonts w:eastAsia="Times New Roman"/>
                <w:color w:val="000000"/>
              </w:rPr>
            </w:pPr>
            <w:r w:rsidRPr="00C441C3">
              <w:rPr>
                <w:rFonts w:eastAsia="Times New Roman"/>
                <w:color w:val="000000"/>
              </w:rPr>
              <w:t>Coal</w:t>
            </w:r>
          </w:p>
        </w:tc>
        <w:tc>
          <w:tcPr>
            <w:tcW w:w="1559" w:type="dxa"/>
            <w:tcBorders>
              <w:top w:val="nil"/>
              <w:left w:val="nil"/>
              <w:bottom w:val="single" w:sz="4" w:space="0" w:color="auto"/>
              <w:right w:val="nil"/>
            </w:tcBorders>
            <w:shd w:val="clear" w:color="auto" w:fill="auto"/>
            <w:noWrap/>
            <w:hideMark/>
          </w:tcPr>
          <w:p w14:paraId="25266C46" w14:textId="77777777" w:rsidR="005132ED" w:rsidRPr="00C441C3" w:rsidRDefault="005132ED" w:rsidP="0080718A">
            <w:pPr>
              <w:rPr>
                <w:rFonts w:eastAsia="Times New Roman"/>
                <w:color w:val="000000"/>
              </w:rPr>
            </w:pPr>
            <w:r w:rsidRPr="00C441C3">
              <w:rPr>
                <w:rFonts w:eastAsia="Times New Roman"/>
                <w:color w:val="000000"/>
              </w:rPr>
              <w:t>3-Piece</w:t>
            </w:r>
          </w:p>
        </w:tc>
        <w:tc>
          <w:tcPr>
            <w:tcW w:w="1276" w:type="dxa"/>
            <w:tcBorders>
              <w:top w:val="nil"/>
              <w:left w:val="nil"/>
              <w:bottom w:val="single" w:sz="4" w:space="0" w:color="auto"/>
              <w:right w:val="single" w:sz="4" w:space="0" w:color="auto"/>
            </w:tcBorders>
            <w:shd w:val="clear" w:color="auto" w:fill="auto"/>
            <w:noWrap/>
            <w:hideMark/>
          </w:tcPr>
          <w:p w14:paraId="4E1486AE" w14:textId="77777777" w:rsidR="005132ED" w:rsidRPr="00C441C3" w:rsidRDefault="005132ED" w:rsidP="0080718A">
            <w:pPr>
              <w:rPr>
                <w:rFonts w:eastAsia="Times New Roman"/>
                <w:color w:val="000000"/>
              </w:rPr>
            </w:pPr>
            <w:r w:rsidRPr="00C441C3">
              <w:rPr>
                <w:rFonts w:eastAsia="Times New Roman"/>
                <w:color w:val="000000"/>
              </w:rPr>
              <w:t>59%</w:t>
            </w:r>
          </w:p>
        </w:tc>
        <w:tc>
          <w:tcPr>
            <w:tcW w:w="1701" w:type="dxa"/>
            <w:tcBorders>
              <w:top w:val="nil"/>
              <w:left w:val="nil"/>
              <w:bottom w:val="single" w:sz="4" w:space="0" w:color="auto"/>
              <w:right w:val="single" w:sz="4" w:space="0" w:color="auto"/>
            </w:tcBorders>
            <w:shd w:val="clear" w:color="auto" w:fill="auto"/>
            <w:noWrap/>
            <w:hideMark/>
          </w:tcPr>
          <w:p w14:paraId="047FA578" w14:textId="77777777" w:rsidR="005132ED" w:rsidRPr="00C441C3" w:rsidRDefault="005132ED" w:rsidP="0080718A">
            <w:pPr>
              <w:rPr>
                <w:rFonts w:eastAsia="Times New Roman"/>
                <w:color w:val="000000"/>
              </w:rPr>
            </w:pPr>
            <w:r w:rsidRPr="00C441C3">
              <w:rPr>
                <w:rFonts w:eastAsia="Times New Roman"/>
                <w:color w:val="000000"/>
              </w:rPr>
              <w:t>6%</w:t>
            </w:r>
          </w:p>
        </w:tc>
        <w:tc>
          <w:tcPr>
            <w:tcW w:w="1985" w:type="dxa"/>
            <w:tcBorders>
              <w:top w:val="nil"/>
              <w:left w:val="nil"/>
              <w:bottom w:val="single" w:sz="4" w:space="0" w:color="auto"/>
              <w:right w:val="single" w:sz="4" w:space="0" w:color="auto"/>
            </w:tcBorders>
            <w:shd w:val="clear" w:color="auto" w:fill="auto"/>
            <w:noWrap/>
            <w:hideMark/>
          </w:tcPr>
          <w:p w14:paraId="2FFBA16B" w14:textId="77777777" w:rsidR="005132ED" w:rsidRPr="00C441C3" w:rsidRDefault="005132ED" w:rsidP="0080718A">
            <w:pPr>
              <w:rPr>
                <w:rFonts w:eastAsia="Times New Roman"/>
                <w:color w:val="000000"/>
              </w:rPr>
            </w:pPr>
            <w:r w:rsidRPr="00C441C3">
              <w:rPr>
                <w:rFonts w:eastAsia="Times New Roman"/>
                <w:color w:val="000000"/>
              </w:rPr>
              <w:t>1%</w:t>
            </w:r>
          </w:p>
        </w:tc>
      </w:tr>
    </w:tbl>
    <w:p w14:paraId="4FF3F70A" w14:textId="77777777" w:rsidR="005132ED" w:rsidRPr="00232E89" w:rsidRDefault="005132ED" w:rsidP="0080718A">
      <w:pPr>
        <w:rPr>
          <w:szCs w:val="24"/>
        </w:rPr>
      </w:pPr>
    </w:p>
    <w:p w14:paraId="5D590F9A" w14:textId="77777777" w:rsidR="005132ED" w:rsidRPr="00884925" w:rsidRDefault="005132ED" w:rsidP="0080718A">
      <w:pPr>
        <w:rPr>
          <w:szCs w:val="24"/>
        </w:rPr>
      </w:pPr>
    </w:p>
    <w:sectPr w:rsidR="005132ED" w:rsidRPr="00884925" w:rsidSect="00A2645C">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1152AD" w14:textId="77777777" w:rsidR="00EA0CEE" w:rsidRDefault="00EA0CEE" w:rsidP="00A810DC">
      <w:pPr>
        <w:spacing w:line="240" w:lineRule="auto"/>
      </w:pPr>
      <w:r>
        <w:separator/>
      </w:r>
    </w:p>
  </w:endnote>
  <w:endnote w:type="continuationSeparator" w:id="0">
    <w:p w14:paraId="0209D588" w14:textId="77777777" w:rsidR="00EA0CEE" w:rsidRDefault="00EA0CEE" w:rsidP="00A810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560348"/>
      <w:docPartObj>
        <w:docPartGallery w:val="Page Numbers (Bottom of Page)"/>
        <w:docPartUnique/>
      </w:docPartObj>
    </w:sdtPr>
    <w:sdtEndPr/>
    <w:sdtContent>
      <w:p w14:paraId="23724FD1" w14:textId="77777777" w:rsidR="00A810DC" w:rsidRDefault="00195785">
        <w:pPr>
          <w:pStyle w:val="Footer"/>
          <w:jc w:val="center"/>
        </w:pPr>
        <w:r>
          <w:t>S</w:t>
        </w:r>
        <w:r w:rsidR="000674CB">
          <w:fldChar w:fldCharType="begin"/>
        </w:r>
        <w:r w:rsidR="000674CB">
          <w:instrText xml:space="preserve"> PAGE   \* MERGEFORMAT </w:instrText>
        </w:r>
        <w:r w:rsidR="000674CB">
          <w:fldChar w:fldCharType="separate"/>
        </w:r>
        <w:r w:rsidR="002E51F4">
          <w:rPr>
            <w:noProof/>
          </w:rPr>
          <w:t>9</w:t>
        </w:r>
        <w:r w:rsidR="000674CB">
          <w:rPr>
            <w:noProof/>
          </w:rPr>
          <w:fldChar w:fldCharType="end"/>
        </w:r>
      </w:p>
    </w:sdtContent>
  </w:sdt>
  <w:p w14:paraId="736CC68F" w14:textId="77777777" w:rsidR="00A810DC" w:rsidRDefault="00A810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A1A1AE" w14:textId="77777777" w:rsidR="00EA0CEE" w:rsidRDefault="00EA0CEE" w:rsidP="00A810DC">
      <w:pPr>
        <w:spacing w:line="240" w:lineRule="auto"/>
      </w:pPr>
      <w:r>
        <w:separator/>
      </w:r>
    </w:p>
  </w:footnote>
  <w:footnote w:type="continuationSeparator" w:id="0">
    <w:p w14:paraId="3C48075B" w14:textId="77777777" w:rsidR="00EA0CEE" w:rsidRDefault="00EA0CEE" w:rsidP="00A810D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611306"/>
    <w:multiLevelType w:val="multilevel"/>
    <w:tmpl w:val="87AAE5A6"/>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305666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F99"/>
    <w:rsid w:val="000135B6"/>
    <w:rsid w:val="000674CB"/>
    <w:rsid w:val="00084CCF"/>
    <w:rsid w:val="0009265C"/>
    <w:rsid w:val="000B39E3"/>
    <w:rsid w:val="000B4AA1"/>
    <w:rsid w:val="000D5118"/>
    <w:rsid w:val="000D5E64"/>
    <w:rsid w:val="000E4642"/>
    <w:rsid w:val="0013284E"/>
    <w:rsid w:val="00170DB7"/>
    <w:rsid w:val="00195785"/>
    <w:rsid w:val="001A7684"/>
    <w:rsid w:val="001B623F"/>
    <w:rsid w:val="001D6491"/>
    <w:rsid w:val="001F3228"/>
    <w:rsid w:val="00204682"/>
    <w:rsid w:val="0023436D"/>
    <w:rsid w:val="002705F9"/>
    <w:rsid w:val="00276505"/>
    <w:rsid w:val="002A4590"/>
    <w:rsid w:val="002B2341"/>
    <w:rsid w:val="002E51F4"/>
    <w:rsid w:val="003118CC"/>
    <w:rsid w:val="0033444D"/>
    <w:rsid w:val="00342188"/>
    <w:rsid w:val="003A0C44"/>
    <w:rsid w:val="004206AF"/>
    <w:rsid w:val="00431E6D"/>
    <w:rsid w:val="00453257"/>
    <w:rsid w:val="00481778"/>
    <w:rsid w:val="0049248C"/>
    <w:rsid w:val="004C3718"/>
    <w:rsid w:val="004E569F"/>
    <w:rsid w:val="005132ED"/>
    <w:rsid w:val="005B2244"/>
    <w:rsid w:val="005B37D9"/>
    <w:rsid w:val="006216C9"/>
    <w:rsid w:val="006256FD"/>
    <w:rsid w:val="006317D7"/>
    <w:rsid w:val="00641D31"/>
    <w:rsid w:val="006448BD"/>
    <w:rsid w:val="00662417"/>
    <w:rsid w:val="006D41E4"/>
    <w:rsid w:val="006E2E8D"/>
    <w:rsid w:val="006E448E"/>
    <w:rsid w:val="007270B0"/>
    <w:rsid w:val="00755FC6"/>
    <w:rsid w:val="00790900"/>
    <w:rsid w:val="007D0C2E"/>
    <w:rsid w:val="007F22FC"/>
    <w:rsid w:val="0080718A"/>
    <w:rsid w:val="0082732E"/>
    <w:rsid w:val="00884925"/>
    <w:rsid w:val="008C5AB4"/>
    <w:rsid w:val="008D1B76"/>
    <w:rsid w:val="00931E1B"/>
    <w:rsid w:val="00973DC6"/>
    <w:rsid w:val="009B47AD"/>
    <w:rsid w:val="009C3D1F"/>
    <w:rsid w:val="009D5243"/>
    <w:rsid w:val="00A2645C"/>
    <w:rsid w:val="00A61A67"/>
    <w:rsid w:val="00A810DC"/>
    <w:rsid w:val="00AC6DCB"/>
    <w:rsid w:val="00B02066"/>
    <w:rsid w:val="00B7277E"/>
    <w:rsid w:val="00B762AE"/>
    <w:rsid w:val="00B84F81"/>
    <w:rsid w:val="00BC0228"/>
    <w:rsid w:val="00BC4094"/>
    <w:rsid w:val="00BD4F2B"/>
    <w:rsid w:val="00BE3458"/>
    <w:rsid w:val="00BF7CB8"/>
    <w:rsid w:val="00C14B35"/>
    <w:rsid w:val="00C44C5E"/>
    <w:rsid w:val="00C568FE"/>
    <w:rsid w:val="00C941C5"/>
    <w:rsid w:val="00CB006A"/>
    <w:rsid w:val="00CB7A20"/>
    <w:rsid w:val="00D14C17"/>
    <w:rsid w:val="00D42C32"/>
    <w:rsid w:val="00D524CF"/>
    <w:rsid w:val="00DA0A87"/>
    <w:rsid w:val="00DD23BB"/>
    <w:rsid w:val="00E061C0"/>
    <w:rsid w:val="00E21559"/>
    <w:rsid w:val="00E35EBB"/>
    <w:rsid w:val="00EA0CEE"/>
    <w:rsid w:val="00EA581E"/>
    <w:rsid w:val="00F2438D"/>
    <w:rsid w:val="00F401E5"/>
    <w:rsid w:val="00FA6462"/>
    <w:rsid w:val="00FC4F99"/>
    <w:rsid w:val="00FF0242"/>
    <w:rsid w:val="00FF51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DB66B"/>
  <w15:docId w15:val="{8D81A898-6D52-794D-8B04-A1EAEB42F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18A"/>
    <w:pPr>
      <w:tabs>
        <w:tab w:val="left" w:pos="720"/>
      </w:tabs>
      <w:spacing w:after="0" w:line="360" w:lineRule="auto"/>
    </w:pPr>
    <w:rPr>
      <w:rFonts w:ascii="Times New Roman" w:hAnsi="Times New Roman"/>
      <w:sz w:val="24"/>
    </w:rPr>
  </w:style>
  <w:style w:type="paragraph" w:styleId="Heading1">
    <w:name w:val="heading 1"/>
    <w:basedOn w:val="ListParagraph"/>
    <w:next w:val="Normal"/>
    <w:link w:val="Heading1Char"/>
    <w:uiPriority w:val="9"/>
    <w:qFormat/>
    <w:rsid w:val="00FC4F99"/>
    <w:pPr>
      <w:numPr>
        <w:numId w:val="1"/>
      </w:numPr>
      <w:outlineLvl w:val="0"/>
    </w:pPr>
    <w:rPr>
      <w:rFonts w:cs="Times New Roman"/>
      <w:sz w:val="32"/>
      <w:szCs w:val="32"/>
    </w:rPr>
  </w:style>
  <w:style w:type="paragraph" w:styleId="Heading2">
    <w:name w:val="heading 2"/>
    <w:basedOn w:val="ListParagraph"/>
    <w:next w:val="Normal"/>
    <w:link w:val="Heading2Char"/>
    <w:uiPriority w:val="9"/>
    <w:unhideWhenUsed/>
    <w:qFormat/>
    <w:rsid w:val="00FC4F99"/>
    <w:pPr>
      <w:numPr>
        <w:ilvl w:val="1"/>
        <w:numId w:val="1"/>
      </w:numPr>
      <w:tabs>
        <w:tab w:val="num" w:pos="360"/>
      </w:tabs>
      <w:ind w:left="720" w:firstLine="0"/>
      <w:outlineLvl w:val="1"/>
    </w:pPr>
    <w:rPr>
      <w:rFonts w:cs="Times New Roman"/>
      <w:b/>
      <w:i/>
      <w:szCs w:val="32"/>
    </w:rPr>
  </w:style>
  <w:style w:type="paragraph" w:styleId="Heading3">
    <w:name w:val="heading 3"/>
    <w:basedOn w:val="Heading2"/>
    <w:next w:val="Normal"/>
    <w:link w:val="Heading3Char"/>
    <w:uiPriority w:val="9"/>
    <w:unhideWhenUsed/>
    <w:qFormat/>
    <w:rsid w:val="00FC4F99"/>
    <w:pPr>
      <w:numPr>
        <w:ilvl w:val="2"/>
      </w:numPr>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4F99"/>
    <w:rPr>
      <w:rFonts w:ascii="Times New Roman" w:hAnsi="Times New Roman" w:cs="Times New Roman"/>
      <w:sz w:val="32"/>
      <w:szCs w:val="32"/>
    </w:rPr>
  </w:style>
  <w:style w:type="character" w:customStyle="1" w:styleId="Heading2Char">
    <w:name w:val="Heading 2 Char"/>
    <w:basedOn w:val="DefaultParagraphFont"/>
    <w:link w:val="Heading2"/>
    <w:uiPriority w:val="9"/>
    <w:rsid w:val="00FC4F99"/>
    <w:rPr>
      <w:rFonts w:ascii="Times New Roman" w:hAnsi="Times New Roman" w:cs="Times New Roman"/>
      <w:b/>
      <w:i/>
      <w:sz w:val="24"/>
      <w:szCs w:val="32"/>
    </w:rPr>
  </w:style>
  <w:style w:type="character" w:customStyle="1" w:styleId="Heading3Char">
    <w:name w:val="Heading 3 Char"/>
    <w:basedOn w:val="DefaultParagraphFont"/>
    <w:link w:val="Heading3"/>
    <w:uiPriority w:val="9"/>
    <w:rsid w:val="00FC4F99"/>
    <w:rPr>
      <w:rFonts w:ascii="Times New Roman" w:hAnsi="Times New Roman" w:cs="Times New Roman"/>
      <w:i/>
      <w:sz w:val="24"/>
      <w:szCs w:val="32"/>
    </w:rPr>
  </w:style>
  <w:style w:type="character" w:styleId="Hyperlink">
    <w:name w:val="Hyperlink"/>
    <w:basedOn w:val="DefaultParagraphFont"/>
    <w:uiPriority w:val="99"/>
    <w:unhideWhenUsed/>
    <w:rsid w:val="00FC4F99"/>
    <w:rPr>
      <w:color w:val="0000FF" w:themeColor="hyperlink"/>
      <w:u w:val="single"/>
    </w:rPr>
  </w:style>
  <w:style w:type="table" w:styleId="TableGrid">
    <w:name w:val="Table Grid"/>
    <w:basedOn w:val="TableNormal"/>
    <w:uiPriority w:val="39"/>
    <w:rsid w:val="00FC4F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FC4F99"/>
    <w:pPr>
      <w:keepNext/>
      <w:keepLines/>
      <w:numPr>
        <w:numId w:val="0"/>
      </w:numPr>
      <w:spacing w:before="480" w:line="276" w:lineRule="auto"/>
      <w:contextualSpacing w:val="0"/>
      <w:outlineLvl w:val="9"/>
    </w:pPr>
    <w:rPr>
      <w:rFonts w:asciiTheme="majorHAnsi" w:eastAsiaTheme="majorEastAsia" w:hAnsiTheme="majorHAnsi" w:cstheme="majorBidi"/>
      <w:b/>
      <w:bCs/>
      <w:color w:val="365F91" w:themeColor="accent1" w:themeShade="BF"/>
      <w:sz w:val="28"/>
      <w:szCs w:val="28"/>
    </w:rPr>
  </w:style>
  <w:style w:type="paragraph" w:styleId="TOC1">
    <w:name w:val="toc 1"/>
    <w:basedOn w:val="Normal"/>
    <w:next w:val="Normal"/>
    <w:autoRedefine/>
    <w:uiPriority w:val="39"/>
    <w:unhideWhenUsed/>
    <w:rsid w:val="00FC4F99"/>
    <w:pPr>
      <w:tabs>
        <w:tab w:val="right" w:leader="dot" w:pos="9350"/>
      </w:tabs>
      <w:spacing w:after="100"/>
    </w:pPr>
    <w:rPr>
      <w:rFonts w:cs="Times New Roman"/>
      <w:b/>
      <w:i/>
      <w:noProof/>
    </w:rPr>
  </w:style>
  <w:style w:type="paragraph" w:styleId="TOC2">
    <w:name w:val="toc 2"/>
    <w:basedOn w:val="Normal"/>
    <w:next w:val="Normal"/>
    <w:autoRedefine/>
    <w:uiPriority w:val="39"/>
    <w:unhideWhenUsed/>
    <w:rsid w:val="00FC4F99"/>
    <w:pPr>
      <w:spacing w:after="100"/>
      <w:ind w:left="220"/>
    </w:pPr>
  </w:style>
  <w:style w:type="paragraph" w:styleId="ListParagraph">
    <w:name w:val="List Paragraph"/>
    <w:basedOn w:val="Normal"/>
    <w:uiPriority w:val="34"/>
    <w:qFormat/>
    <w:rsid w:val="00FC4F99"/>
    <w:pPr>
      <w:ind w:left="720"/>
      <w:contextualSpacing/>
    </w:pPr>
  </w:style>
  <w:style w:type="paragraph" w:styleId="BalloonText">
    <w:name w:val="Balloon Text"/>
    <w:basedOn w:val="Normal"/>
    <w:link w:val="BalloonTextChar"/>
    <w:uiPriority w:val="99"/>
    <w:semiHidden/>
    <w:unhideWhenUsed/>
    <w:rsid w:val="00FC4F9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4F99"/>
    <w:rPr>
      <w:rFonts w:ascii="Tahoma" w:hAnsi="Tahoma" w:cs="Tahoma"/>
      <w:sz w:val="16"/>
      <w:szCs w:val="16"/>
    </w:rPr>
  </w:style>
  <w:style w:type="paragraph" w:styleId="NoSpacing">
    <w:name w:val="No Spacing"/>
    <w:uiPriority w:val="1"/>
    <w:qFormat/>
    <w:rsid w:val="00FC4F99"/>
    <w:pPr>
      <w:widowControl w:val="0"/>
      <w:snapToGrid w:val="0"/>
      <w:spacing w:after="0"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A810DC"/>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A810DC"/>
  </w:style>
  <w:style w:type="paragraph" w:styleId="Footer">
    <w:name w:val="footer"/>
    <w:basedOn w:val="Normal"/>
    <w:link w:val="FooterChar"/>
    <w:uiPriority w:val="99"/>
    <w:unhideWhenUsed/>
    <w:rsid w:val="00A810DC"/>
    <w:pPr>
      <w:tabs>
        <w:tab w:val="center" w:pos="4680"/>
        <w:tab w:val="right" w:pos="9360"/>
      </w:tabs>
      <w:spacing w:line="240" w:lineRule="auto"/>
    </w:pPr>
  </w:style>
  <w:style w:type="character" w:customStyle="1" w:styleId="FooterChar">
    <w:name w:val="Footer Char"/>
    <w:basedOn w:val="DefaultParagraphFont"/>
    <w:link w:val="Footer"/>
    <w:uiPriority w:val="99"/>
    <w:rsid w:val="00A810DC"/>
  </w:style>
  <w:style w:type="paragraph" w:styleId="Caption">
    <w:name w:val="caption"/>
    <w:basedOn w:val="Normal"/>
    <w:next w:val="Normal"/>
    <w:uiPriority w:val="35"/>
    <w:unhideWhenUsed/>
    <w:qFormat/>
    <w:rsid w:val="00084CCF"/>
    <w:pPr>
      <w:spacing w:after="200"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7278223">
      <w:bodyDiv w:val="1"/>
      <w:marLeft w:val="0"/>
      <w:marRight w:val="0"/>
      <w:marTop w:val="0"/>
      <w:marBottom w:val="0"/>
      <w:divBdr>
        <w:top w:val="none" w:sz="0" w:space="0" w:color="auto"/>
        <w:left w:val="none" w:sz="0" w:space="0" w:color="auto"/>
        <w:bottom w:val="none" w:sz="0" w:space="0" w:color="auto"/>
        <w:right w:val="none" w:sz="0" w:space="0" w:color="auto"/>
      </w:divBdr>
    </w:div>
    <w:div w:id="853035052">
      <w:bodyDiv w:val="1"/>
      <w:marLeft w:val="0"/>
      <w:marRight w:val="0"/>
      <w:marTop w:val="0"/>
      <w:marBottom w:val="0"/>
      <w:divBdr>
        <w:top w:val="none" w:sz="0" w:space="0" w:color="auto"/>
        <w:left w:val="none" w:sz="0" w:space="0" w:color="auto"/>
        <w:bottom w:val="none" w:sz="0" w:space="0" w:color="auto"/>
        <w:right w:val="none" w:sz="0" w:space="0" w:color="auto"/>
      </w:divBdr>
    </w:div>
    <w:div w:id="1185630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11</Pages>
  <Words>1764</Words>
  <Characters>10057</Characters>
  <Application>Microsoft Office Word</Application>
  <DocSecurity>4</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University of Idaho</Company>
  <LinksUpToDate>false</LinksUpToDate>
  <CharactersWithSpaces>11798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Andy Weakley</dc:creator>
  <cp:lastModifiedBy>Mancillas, Danielle (CDC/NIOSH/SMRD/OD)</cp:lastModifiedBy>
  <cp:revision>2</cp:revision>
  <dcterms:created xsi:type="dcterms:W3CDTF">2025-02-05T19:00:00Z</dcterms:created>
  <dcterms:modified xsi:type="dcterms:W3CDTF">2025-02-05T19:00:00Z</dcterms:modified>
</cp:coreProperties>
</file>