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6AA6A" w14:textId="77777777" w:rsidR="006714FF" w:rsidRDefault="006714FF" w:rsidP="006714FF">
      <w:pPr>
        <w:pStyle w:val="BATitle"/>
        <w:spacing w:after="0"/>
        <w:jc w:val="left"/>
      </w:pPr>
      <w:r w:rsidRPr="19A3C4BD">
        <w:t xml:space="preserve">Evaluation of Bayesian Maximum Entropy data fusion approaches to estimate </w:t>
      </w:r>
      <w:r>
        <w:t>styrene, benzene, toluene, ethylbenzene, and xylenes</w:t>
      </w:r>
      <w:r w:rsidRPr="19A3C4BD">
        <w:t xml:space="preserve"> and to inform epidemiological analyses in the US Gulf State</w:t>
      </w:r>
      <w:r>
        <w:t>s</w:t>
      </w:r>
    </w:p>
    <w:p w14:paraId="7CC482FD" w14:textId="77777777" w:rsidR="006714FF" w:rsidRPr="004E17B9" w:rsidRDefault="006714FF" w:rsidP="006714FF">
      <w:pPr>
        <w:pStyle w:val="BATitle"/>
        <w:spacing w:before="0"/>
      </w:pPr>
      <w:r>
        <w:t>(Supporting Information)</w:t>
      </w:r>
    </w:p>
    <w:p w14:paraId="19E225FD" w14:textId="77777777" w:rsidR="006714FF" w:rsidRPr="006F6147" w:rsidRDefault="006714FF" w:rsidP="006714FF">
      <w:pPr>
        <w:pStyle w:val="BBAuthorName"/>
        <w:jc w:val="left"/>
        <w:rPr>
          <w:vertAlign w:val="superscript"/>
        </w:rPr>
      </w:pPr>
      <w:r w:rsidRPr="006F6147">
        <w:t xml:space="preserve">Nora </w:t>
      </w:r>
      <w:r>
        <w:t xml:space="preserve">A. </w:t>
      </w:r>
      <w:r w:rsidRPr="006F6147">
        <w:t>Abbott</w:t>
      </w:r>
      <w:r w:rsidRPr="00940361">
        <w:rPr>
          <w:vertAlign w:val="superscript"/>
        </w:rPr>
        <w:t>†</w:t>
      </w:r>
      <w:r w:rsidRPr="006F6147">
        <w:t>, Lucie Semone</w:t>
      </w:r>
      <w:r w:rsidRPr="00940361">
        <w:rPr>
          <w:vertAlign w:val="superscript"/>
        </w:rPr>
        <w:t>†</w:t>
      </w:r>
      <w:r w:rsidRPr="006F6147">
        <w:t>, Richard Strott</w:t>
      </w:r>
      <w:r w:rsidRPr="00940361">
        <w:rPr>
          <w:vertAlign w:val="superscript"/>
        </w:rPr>
        <w:t>†</w:t>
      </w:r>
      <w:r w:rsidRPr="006F6147">
        <w:t xml:space="preserve">, </w:t>
      </w:r>
      <w:r>
        <w:t>Praful Dodda</w:t>
      </w:r>
      <w:r w:rsidRPr="00940361">
        <w:rPr>
          <w:vertAlign w:val="superscript"/>
        </w:rPr>
        <w:t>†</w:t>
      </w:r>
      <w:r>
        <w:t xml:space="preserve">, </w:t>
      </w:r>
      <w:r w:rsidRPr="006F6147">
        <w:t>Chi-Tsan Wang</w:t>
      </w:r>
      <w:r w:rsidRPr="00940361">
        <w:rPr>
          <w:vertAlign w:val="superscript"/>
        </w:rPr>
        <w:t>‡</w:t>
      </w:r>
      <w:r w:rsidRPr="006F6147">
        <w:t>, Jaime Green</w:t>
      </w:r>
      <w:r w:rsidRPr="00940361">
        <w:rPr>
          <w:vertAlign w:val="superscript"/>
        </w:rPr>
        <w:t>†</w:t>
      </w:r>
      <w:r w:rsidRPr="006F6147">
        <w:t xml:space="preserve">, Bok </w:t>
      </w:r>
      <w:proofErr w:type="spellStart"/>
      <w:r w:rsidRPr="006F6147">
        <w:t>Haeng</w:t>
      </w:r>
      <w:proofErr w:type="spellEnd"/>
      <w:r w:rsidRPr="006F6147">
        <w:t xml:space="preserve"> Baek</w:t>
      </w:r>
      <w:r w:rsidRPr="00940361">
        <w:rPr>
          <w:vertAlign w:val="superscript"/>
        </w:rPr>
        <w:t>‡</w:t>
      </w:r>
      <w:r w:rsidRPr="006F6147">
        <w:t xml:space="preserve">, Lawrence </w:t>
      </w:r>
      <w:r>
        <w:t xml:space="preserve">S. </w:t>
      </w:r>
      <w:r w:rsidRPr="006F6147">
        <w:t>Engel</w:t>
      </w:r>
      <w:r w:rsidRPr="00940361">
        <w:rPr>
          <w:vertAlign w:val="superscript"/>
        </w:rPr>
        <w:t>§</w:t>
      </w:r>
      <w:r w:rsidRPr="006F6147">
        <w:t>, William Vizuete</w:t>
      </w:r>
      <w:r w:rsidRPr="00940361">
        <w:rPr>
          <w:vertAlign w:val="superscript"/>
        </w:rPr>
        <w:t>†</w:t>
      </w:r>
      <w:r w:rsidRPr="006F6147">
        <w:t>, Marc L. Serre</w:t>
      </w:r>
      <w:r w:rsidRPr="00940361">
        <w:rPr>
          <w:vertAlign w:val="superscript"/>
        </w:rPr>
        <w:t>†</w:t>
      </w:r>
      <w:r>
        <w:rPr>
          <w:vertAlign w:val="superscript"/>
        </w:rPr>
        <w:t>*</w:t>
      </w:r>
    </w:p>
    <w:p w14:paraId="13D81AFA" w14:textId="77777777" w:rsidR="006714FF" w:rsidRPr="006F6147" w:rsidRDefault="006714FF" w:rsidP="006714FF">
      <w:pPr>
        <w:pStyle w:val="Body"/>
        <w:rPr>
          <w:rFonts w:ascii="Times New Roman" w:eastAsia="Times New Roman" w:hAnsi="Times New Roman" w:cs="Times New Roman"/>
          <w:color w:val="auto"/>
          <w:vertAlign w:val="superscript"/>
        </w:rPr>
      </w:pPr>
    </w:p>
    <w:p w14:paraId="648FA7E8" w14:textId="77777777" w:rsidR="006714FF" w:rsidRPr="00940361" w:rsidRDefault="006714FF" w:rsidP="006714FF">
      <w:pPr>
        <w:pStyle w:val="BCAuthorAddress"/>
        <w:spacing w:line="276" w:lineRule="auto"/>
        <w:jc w:val="left"/>
      </w:pPr>
      <w:r w:rsidRPr="00940361">
        <w:rPr>
          <w:rFonts w:ascii="Roboto" w:hAnsi="Roboto"/>
          <w:sz w:val="30"/>
          <w:szCs w:val="30"/>
          <w:vertAlign w:val="superscript"/>
        </w:rPr>
        <w:t>†</w:t>
      </w:r>
      <w:r w:rsidRPr="00940361">
        <w:t>Department of Environmental Sciences &amp; Engineering, University of North Carolina, Chapel Hill, NC, United States</w:t>
      </w:r>
    </w:p>
    <w:p w14:paraId="76296D3C" w14:textId="77777777" w:rsidR="006714FF" w:rsidRPr="00940361" w:rsidRDefault="006714FF" w:rsidP="006714FF">
      <w:pPr>
        <w:pStyle w:val="BCAuthorAddress"/>
        <w:spacing w:line="276" w:lineRule="auto"/>
        <w:jc w:val="left"/>
      </w:pPr>
      <w:r w:rsidRPr="00940361">
        <w:rPr>
          <w:rFonts w:ascii="Roboto" w:hAnsi="Roboto"/>
          <w:sz w:val="30"/>
          <w:szCs w:val="30"/>
          <w:vertAlign w:val="superscript"/>
        </w:rPr>
        <w:t>‡</w:t>
      </w:r>
      <w:r w:rsidRPr="00940361">
        <w:t xml:space="preserve">Center for Spatial Information Science and Systems (CSISS), George Mason University, Fairfax, VA, United States </w:t>
      </w:r>
    </w:p>
    <w:p w14:paraId="2E507D9A" w14:textId="77777777" w:rsidR="006714FF" w:rsidRDefault="006714FF" w:rsidP="006714FF">
      <w:pPr>
        <w:pStyle w:val="BCAuthorAddress"/>
        <w:spacing w:line="276" w:lineRule="auto"/>
        <w:jc w:val="left"/>
      </w:pPr>
      <w:r w:rsidRPr="00940361">
        <w:rPr>
          <w:rFonts w:ascii="Roboto" w:hAnsi="Roboto"/>
          <w:sz w:val="30"/>
          <w:szCs w:val="30"/>
          <w:vertAlign w:val="superscript"/>
        </w:rPr>
        <w:t>§</w:t>
      </w:r>
      <w:r w:rsidRPr="00940361">
        <w:t>Department of Epidemiology, University of North Carolina, Chapel Hill, NC, United States</w:t>
      </w:r>
    </w:p>
    <w:p w14:paraId="60EF3883" w14:textId="77777777" w:rsidR="006714FF" w:rsidRDefault="006714FF" w:rsidP="006714FF">
      <w:pPr>
        <w:pStyle w:val="BCAuthorAddress"/>
        <w:spacing w:line="276" w:lineRule="auto"/>
        <w:jc w:val="left"/>
      </w:pPr>
      <w:r>
        <w:t>* Corresponding Author</w:t>
      </w:r>
    </w:p>
    <w:p w14:paraId="5457E2F0" w14:textId="77777777" w:rsidR="006714FF" w:rsidRDefault="006714FF" w:rsidP="006714FF"/>
    <w:p w14:paraId="4AA9F9DD" w14:textId="0ED09BE8" w:rsidR="006714FF" w:rsidRDefault="006714FF" w:rsidP="006714FF">
      <w:r w:rsidRPr="005D115D">
        <w:t xml:space="preserve">This supporting information contains </w:t>
      </w:r>
      <w:r>
        <w:t>8</w:t>
      </w:r>
      <w:r w:rsidR="006A25D6">
        <w:t>9</w:t>
      </w:r>
      <w:r w:rsidRPr="005D115D">
        <w:t xml:space="preserve"> pages, 4</w:t>
      </w:r>
      <w:r w:rsidR="00085EF0">
        <w:t>6</w:t>
      </w:r>
      <w:r w:rsidRPr="005D115D">
        <w:t xml:space="preserve"> figures, and 1</w:t>
      </w:r>
      <w:r w:rsidR="00085EF0">
        <w:t>6</w:t>
      </w:r>
      <w:r w:rsidRPr="005D115D">
        <w:t xml:space="preserve"> tables.</w:t>
      </w:r>
    </w:p>
    <w:p w14:paraId="75E3639B" w14:textId="77777777" w:rsidR="006714FF" w:rsidRDefault="006714FF" w:rsidP="006714FF"/>
    <w:p w14:paraId="2F7126B9" w14:textId="77777777" w:rsidR="006714FF" w:rsidRPr="004E17B9" w:rsidRDefault="006714FF" w:rsidP="006714FF">
      <w:pPr>
        <w:jc w:val="right"/>
      </w:pPr>
    </w:p>
    <w:p w14:paraId="22E752F6" w14:textId="77777777" w:rsidR="006714FF" w:rsidRPr="005D115D" w:rsidRDefault="006714FF" w:rsidP="006714FF">
      <w:pPr>
        <w:pStyle w:val="TESupportingInformation"/>
        <w:rPr>
          <w:b/>
          <w:bCs/>
        </w:rPr>
      </w:pPr>
      <w:r w:rsidRPr="005D115D">
        <w:rPr>
          <w:b/>
          <w:bCs/>
        </w:rPr>
        <w:lastRenderedPageBreak/>
        <w:t>S1. Observational Data Processing</w:t>
      </w:r>
    </w:p>
    <w:p w14:paraId="1F667359" w14:textId="77777777" w:rsidR="006714FF" w:rsidRPr="009E43C8" w:rsidRDefault="006714FF" w:rsidP="006714FF">
      <w:pPr>
        <w:pStyle w:val="TESupportingInformation"/>
      </w:pPr>
      <w:r w:rsidRPr="009E43C8">
        <w:t>Observational data had a recorded station identification (ID) code and was converted to units of parts per billion (ppb). Daily sample means were calculated as the arithmetic average of observations recorded at the same station ID with the same sample duration.</w:t>
      </w:r>
    </w:p>
    <w:p w14:paraId="3863D7DA" w14:textId="7A42D84A" w:rsidR="006714FF" w:rsidRPr="009E43C8" w:rsidRDefault="006714FF" w:rsidP="006714FF">
      <w:pPr>
        <w:pStyle w:val="TESupportingInformation"/>
      </w:pPr>
      <w:r w:rsidRPr="009E43C8">
        <w:t xml:space="preserve">For each daily value calculated as the arithmetic average of sub-daily values, an incompleteness standard deviation </w:t>
      </w:r>
      <w:proofErr w:type="spellStart"/>
      <w:r w:rsidRPr="009E43C8">
        <w:t>σ</w:t>
      </w:r>
      <w:r w:rsidRPr="003F327D">
        <w:rPr>
          <w:vertAlign w:val="subscript"/>
        </w:rPr>
        <w:t>i,t</w:t>
      </w:r>
      <w:proofErr w:type="spellEnd"/>
      <w:r w:rsidRPr="009E43C8">
        <w:t xml:space="preserve"> (equation S1) was calculated to account for the uncertainty associated with missing sub-daily values.</w:t>
      </w:r>
      <w:r w:rsidRPr="009E43C8">
        <w:fldChar w:fldCharType="begin"/>
      </w:r>
      <w:r w:rsidRPr="009E43C8">
        <w:instrText xml:space="preserve"> ADDIN ZOTERO_ITEM CSL_CITATION {"citationID":"j1RcJbbk","properties":{"formattedCitation":"\\super 1\\nosupersub{}","plainCitation":"1","noteIndex":0},"citationItems":[{"id":75,"uris":["http://zotero.org/users/9885460/items/M7M98YTV"],"itemData":{"id":75,"type":"article-journal","abstract":"Knowledge of particulate matter concentrations &lt;2.5 μm in diameter (PM2.5) across the United States is limited due to sparse monitoring across space and time. Epidemiological studies need accurate exposure estimates in order to properly investigate potential morbidity and mortality. Previous works have used geostatistics and land use regression (LUR) separately to quantify exposure. This work combines both methods by incorporating a large area variability LUR model that accounts for on road mobile emissions and stationary source emissions along with data that take into account incompleteness of PM2.5 monitors into the modern geostatistical Bayesian Maximum Entropy (BME) framework to estimate PM2.5 across the United States from 1999 to 2009. A cross-validation was done to determine the improvement of the estimate due to the LUR incorporation into BME. These results were applied to known diseases to determine predicted mortality coming from total PM2.5 as well as PM2.5 explained by major contributing sources. This method showed a mean squared error reduction of over 21.89% oversimple kriging. PM2.5 explained by on road mobile emissions and stationary emissions contributed to nearly 568 090 and 306 316 deaths, respectively, across the United States from 1999 to 2007.","container-title":"Environmental Science &amp; Technology","DOI":"10.1021/es4040528","ISSN":"0013-936X, 1520-5851","issue":"3","journalAbbreviation":"Environ. Sci. Technol.","language":"en","page":"1736-1744","source":"DOI.org (Crossref)","title":"An LUR/BME Framework to Estimate PM &lt;sub&gt;2.5&lt;/sub&gt; Explained by on Road Mobile and Stationary Sources","volume":"48","author":[{"family":"Reyes","given":"Jeanette M."},{"family":"Serre","given":"Marc L."}],"issued":{"date-parts":[["2014",2,4]]}}}],"schema":"https://github.com/citation-style-language/schema/raw/master/csl-citation.json"} </w:instrText>
      </w:r>
      <w:r w:rsidRPr="009E43C8">
        <w:fldChar w:fldCharType="separate"/>
      </w:r>
      <w:r w:rsidR="000658B0" w:rsidRPr="000658B0">
        <w:rPr>
          <w:rFonts w:cs="Times"/>
          <w:vertAlign w:val="superscript"/>
        </w:rPr>
        <w:t>1</w:t>
      </w:r>
      <w:r w:rsidRPr="009E43C8">
        <w:fldChar w:fldCharType="end"/>
      </w:r>
      <w:r w:rsidRPr="009E43C8">
        <w:t xml:space="preserve"> In equation S1,  </w:t>
      </w:r>
      <w:proofErr w:type="spellStart"/>
      <w:r w:rsidRPr="009E43C8">
        <w:t>n</w:t>
      </w:r>
      <w:r w:rsidRPr="003F327D">
        <w:rPr>
          <w:vertAlign w:val="subscript"/>
        </w:rPr>
        <w:t>i,t</w:t>
      </w:r>
      <w:proofErr w:type="spellEnd"/>
      <w:r w:rsidRPr="009E43C8">
        <w:t xml:space="preserve"> is the sample size (i.e., the number of sub-daily measurements recorded) at sampling location </w:t>
      </w:r>
      <w:proofErr w:type="spellStart"/>
      <w:r w:rsidRPr="009E43C8">
        <w:t>i</w:t>
      </w:r>
      <w:proofErr w:type="spellEnd"/>
      <w:r w:rsidRPr="009E43C8">
        <w:t xml:space="preserve"> and time t, </w:t>
      </w:r>
      <w:proofErr w:type="spellStart"/>
      <w:r w:rsidRPr="009E43C8">
        <w:t>z</w:t>
      </w:r>
      <w:r w:rsidRPr="003F327D">
        <w:rPr>
          <w:vertAlign w:val="subscript"/>
        </w:rPr>
        <w:t>i,j</w:t>
      </w:r>
      <w:proofErr w:type="spellEnd"/>
      <w:r w:rsidRPr="009E43C8">
        <w:t xml:space="preserve"> are the corresponding sub-daily measurement values, µ</w:t>
      </w:r>
      <w:proofErr w:type="spellStart"/>
      <w:r w:rsidRPr="003F327D">
        <w:rPr>
          <w:vertAlign w:val="subscript"/>
        </w:rPr>
        <w:t>i,j</w:t>
      </w:r>
      <w:proofErr w:type="spellEnd"/>
      <w:r w:rsidRPr="009E43C8">
        <w:t xml:space="preserve"> is their sample mean, and </w:t>
      </w:r>
      <w:proofErr w:type="spellStart"/>
      <w:r w:rsidRPr="009E43C8">
        <w:t>n</w:t>
      </w:r>
      <w:r w:rsidRPr="003F327D">
        <w:rPr>
          <w:vertAlign w:val="subscript"/>
        </w:rPr>
        <w:t>i</w:t>
      </w:r>
      <w:proofErr w:type="spellEnd"/>
      <w:r w:rsidRPr="003F327D">
        <w:rPr>
          <w:vertAlign w:val="superscript"/>
        </w:rPr>
        <w:t>*</w:t>
      </w:r>
      <w:r w:rsidRPr="009E43C8">
        <w:t xml:space="preserve"> is the maximum possible number of sub-daily measurements in a day for a given sampling frequency (e.g. </w:t>
      </w:r>
      <w:proofErr w:type="spellStart"/>
      <w:r w:rsidRPr="009E43C8">
        <w:t>n</w:t>
      </w:r>
      <w:r w:rsidRPr="003F327D">
        <w:rPr>
          <w:vertAlign w:val="subscript"/>
        </w:rPr>
        <w:t>i</w:t>
      </w:r>
      <w:proofErr w:type="spellEnd"/>
      <w:r w:rsidRPr="003F327D">
        <w:rPr>
          <w:vertAlign w:val="superscript"/>
        </w:rPr>
        <w:t>*</w:t>
      </w:r>
      <w:r w:rsidRPr="009E43C8">
        <w:t xml:space="preserve">=24 for an hourly monitor since the maximum possible number of hourly values in a day is 24). The term under the left radical represents the sample mean variance of a sample of size </w:t>
      </w:r>
      <w:proofErr w:type="spellStart"/>
      <w:r w:rsidRPr="009E43C8">
        <w:t>n</w:t>
      </w:r>
      <w:r w:rsidRPr="003F327D">
        <w:rPr>
          <w:vertAlign w:val="subscript"/>
        </w:rPr>
        <w:t>i,t</w:t>
      </w:r>
      <w:proofErr w:type="spellEnd"/>
      <w:r w:rsidRPr="009E43C8">
        <w:t>, while the term under the right radical is the incompleteness factor.</w:t>
      </w:r>
    </w:p>
    <w:p w14:paraId="695C9AB6" w14:textId="77777777" w:rsidR="006714FF" w:rsidRPr="0034394B" w:rsidRDefault="00000000" w:rsidP="006714FF">
      <w:pPr>
        <w:pStyle w:val="TESupportingInformation"/>
        <w:rPr>
          <w:rFonts w:ascii="Times New Roman" w:hAnsi="Times New Roman"/>
          <w:color w:val="000000" w:themeColor="text1"/>
          <w:sz w:val="22"/>
          <w:szCs w:val="22"/>
        </w:rPr>
      </w:pPr>
      <m:oMath>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i,t</m:t>
            </m:r>
          </m:sub>
        </m:sSub>
        <m:r>
          <w:rPr>
            <w:rFonts w:ascii="Cambria Math" w:hAnsi="Cambria Math"/>
            <w:sz w:val="22"/>
            <w:szCs w:val="22"/>
          </w:rPr>
          <m:t>=</m:t>
        </m:r>
        <m:rad>
          <m:radPr>
            <m:degHide m:val="1"/>
            <m:ctrlPr>
              <w:rPr>
                <w:rFonts w:ascii="Cambria Math" w:hAnsi="Cambria Math"/>
                <w:sz w:val="22"/>
                <w:szCs w:val="22"/>
              </w:rPr>
            </m:ctrlPr>
          </m:radPr>
          <m:deg/>
          <m:e>
            <m:f>
              <m:fPr>
                <m:ctrlPr>
                  <w:rPr>
                    <w:rFonts w:ascii="Cambria Math" w:hAnsi="Cambria Math"/>
                    <w:sz w:val="22"/>
                    <w:szCs w:val="22"/>
                  </w:rPr>
                </m:ctrlPr>
              </m:fPr>
              <m:num>
                <m:f>
                  <m:fPr>
                    <m:ctrlPr>
                      <w:rPr>
                        <w:rFonts w:ascii="Cambria Math" w:hAnsi="Cambria Math"/>
                        <w:sz w:val="22"/>
                        <w:szCs w:val="22"/>
                      </w:rPr>
                    </m:ctrlPr>
                  </m:fPr>
                  <m:num>
                    <m:nary>
                      <m:naryPr>
                        <m:chr m:val="∑"/>
                        <m:ctrlPr>
                          <w:rPr>
                            <w:rFonts w:ascii="Cambria Math" w:hAnsi="Cambria Math"/>
                            <w:sz w:val="22"/>
                            <w:szCs w:val="22"/>
                          </w:rPr>
                        </m:ctrlPr>
                      </m:naryPr>
                      <m:sub>
                        <m:r>
                          <w:rPr>
                            <w:rFonts w:ascii="Cambria Math" w:hAnsi="Cambria Math"/>
                            <w:sz w:val="22"/>
                            <w:szCs w:val="22"/>
                          </w:rPr>
                          <m:t>j=1</m:t>
                        </m:r>
                      </m:sub>
                      <m:sup>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i,t</m:t>
                            </m:r>
                          </m:sub>
                        </m:sSub>
                      </m:sup>
                      <m:e>
                        <m:sSup>
                          <m:sSupPr>
                            <m:ctrlPr>
                              <w:rPr>
                                <w:rFonts w:ascii="Cambria Math" w:hAnsi="Cambria Math"/>
                                <w:sz w:val="22"/>
                                <w:szCs w:val="22"/>
                              </w:rPr>
                            </m:ctrlPr>
                          </m:sSupPr>
                          <m:e>
                            <m:d>
                              <m:dPr>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z</m:t>
                                    </m:r>
                                  </m:e>
                                  <m:sub>
                                    <m:r>
                                      <w:rPr>
                                        <w:rFonts w:ascii="Cambria Math" w:hAnsi="Cambria Math"/>
                                        <w:sz w:val="22"/>
                                        <w:szCs w:val="22"/>
                                      </w:rPr>
                                      <m:t>i,j</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μ</m:t>
                                    </m:r>
                                  </m:e>
                                  <m:sub>
                                    <m:r>
                                      <w:rPr>
                                        <w:rFonts w:ascii="Cambria Math" w:hAnsi="Cambria Math"/>
                                        <w:sz w:val="22"/>
                                        <w:szCs w:val="22"/>
                                      </w:rPr>
                                      <m:t>i,t</m:t>
                                    </m:r>
                                  </m:sub>
                                </m:sSub>
                              </m:e>
                            </m:d>
                          </m:e>
                          <m:sup>
                            <m:r>
                              <w:rPr>
                                <w:rFonts w:ascii="Cambria Math" w:hAnsi="Cambria Math"/>
                                <w:sz w:val="22"/>
                                <w:szCs w:val="22"/>
                              </w:rPr>
                              <m:t>2</m:t>
                            </m:r>
                          </m:sup>
                        </m:sSup>
                      </m:e>
                    </m:nary>
                  </m:num>
                  <m:den>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i,t</m:t>
                        </m:r>
                      </m:sub>
                    </m:sSub>
                    <m:r>
                      <w:rPr>
                        <w:rFonts w:ascii="Cambria Math" w:hAnsi="Cambria Math"/>
                        <w:sz w:val="22"/>
                        <w:szCs w:val="22"/>
                      </w:rPr>
                      <m:t>-1</m:t>
                    </m:r>
                  </m:den>
                </m:f>
              </m:num>
              <m:den>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i,t</m:t>
                    </m:r>
                  </m:sub>
                </m:sSub>
              </m:den>
            </m:f>
          </m:e>
        </m:rad>
        <m:r>
          <w:rPr>
            <w:rFonts w:ascii="Cambria Math" w:hAnsi="Cambria Math"/>
            <w:sz w:val="22"/>
            <w:szCs w:val="22"/>
          </w:rPr>
          <m:t>⋅</m:t>
        </m:r>
        <m:rad>
          <m:radPr>
            <m:degHide m:val="1"/>
            <m:ctrlPr>
              <w:rPr>
                <w:rFonts w:ascii="Cambria Math" w:hAnsi="Cambria Math"/>
                <w:sz w:val="22"/>
                <w:szCs w:val="22"/>
              </w:rPr>
            </m:ctrlPr>
          </m:radPr>
          <m:deg/>
          <m:e>
            <m:f>
              <m:fPr>
                <m:ctrlPr>
                  <w:rPr>
                    <w:rFonts w:ascii="Cambria Math" w:hAnsi="Cambria Math"/>
                    <w:sz w:val="22"/>
                    <w:szCs w:val="22"/>
                  </w:rPr>
                </m:ctrlPr>
              </m:fPr>
              <m:num>
                <m:sSubSup>
                  <m:sSubSupPr>
                    <m:ctrlPr>
                      <w:rPr>
                        <w:rFonts w:ascii="Cambria Math" w:hAnsi="Cambria Math"/>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i,t</m:t>
                    </m:r>
                  </m:sub>
                </m:sSub>
              </m:num>
              <m:den>
                <m:sSubSup>
                  <m:sSubSupPr>
                    <m:ctrlPr>
                      <w:rPr>
                        <w:rFonts w:ascii="Cambria Math" w:hAnsi="Cambria Math"/>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m:t>
                    </m:r>
                  </m:sup>
                </m:sSubSup>
              </m:den>
            </m:f>
          </m:e>
        </m:rad>
      </m:oMath>
      <w:r w:rsidR="006714FF" w:rsidRPr="0034394B">
        <w:rPr>
          <w:rFonts w:ascii="Times New Roman" w:hAnsi="Times New Roman"/>
          <w:color w:val="000000" w:themeColor="text1"/>
          <w:sz w:val="22"/>
          <w:szCs w:val="22"/>
        </w:rPr>
        <w:t xml:space="preserve">  </w:t>
      </w:r>
      <w:r w:rsidR="006714FF" w:rsidRPr="0034394B">
        <w:rPr>
          <w:rFonts w:ascii="Times New Roman" w:hAnsi="Times New Roman"/>
          <w:color w:val="000000" w:themeColor="text1"/>
          <w:sz w:val="22"/>
          <w:szCs w:val="22"/>
        </w:rPr>
        <w:tab/>
      </w:r>
      <w:r w:rsidR="006714FF" w:rsidRPr="0034394B">
        <w:rPr>
          <w:rFonts w:ascii="Times New Roman" w:hAnsi="Times New Roman"/>
          <w:color w:val="000000" w:themeColor="text1"/>
          <w:sz w:val="22"/>
          <w:szCs w:val="22"/>
        </w:rPr>
        <w:tab/>
      </w:r>
      <w:r w:rsidR="006714FF" w:rsidRPr="0034394B">
        <w:rPr>
          <w:rFonts w:ascii="Times New Roman" w:hAnsi="Times New Roman"/>
          <w:color w:val="000000" w:themeColor="text1"/>
          <w:sz w:val="22"/>
          <w:szCs w:val="22"/>
        </w:rPr>
        <w:tab/>
      </w:r>
      <w:r w:rsidR="006714FF" w:rsidRPr="0034394B">
        <w:rPr>
          <w:rFonts w:ascii="Times New Roman" w:hAnsi="Times New Roman"/>
          <w:color w:val="000000" w:themeColor="text1"/>
          <w:sz w:val="22"/>
          <w:szCs w:val="22"/>
        </w:rPr>
        <w:tab/>
      </w:r>
      <w:r w:rsidR="006714FF" w:rsidRPr="0034394B">
        <w:rPr>
          <w:rFonts w:ascii="Times New Roman" w:hAnsi="Times New Roman"/>
          <w:color w:val="000000" w:themeColor="text1"/>
          <w:sz w:val="22"/>
          <w:szCs w:val="22"/>
        </w:rPr>
        <w:tab/>
      </w:r>
      <w:r w:rsidR="006714FF" w:rsidRPr="0034394B">
        <w:rPr>
          <w:rFonts w:ascii="Times New Roman" w:hAnsi="Times New Roman"/>
          <w:color w:val="000000" w:themeColor="text1"/>
          <w:sz w:val="22"/>
          <w:szCs w:val="22"/>
        </w:rPr>
        <w:tab/>
        <w:t>(</w:t>
      </w:r>
      <w:r w:rsidR="006714FF">
        <w:rPr>
          <w:rFonts w:ascii="Times New Roman" w:hAnsi="Times New Roman"/>
          <w:color w:val="000000" w:themeColor="text1"/>
          <w:sz w:val="22"/>
          <w:szCs w:val="22"/>
        </w:rPr>
        <w:t xml:space="preserve">Equation (Eqn.) </w:t>
      </w:r>
      <w:r w:rsidR="006714FF" w:rsidRPr="0034394B">
        <w:rPr>
          <w:rFonts w:ascii="Times New Roman" w:hAnsi="Times New Roman"/>
          <w:color w:val="000000" w:themeColor="text1"/>
          <w:sz w:val="22"/>
          <w:szCs w:val="22"/>
        </w:rPr>
        <w:t>S1)</w:t>
      </w:r>
    </w:p>
    <w:p w14:paraId="20A83420" w14:textId="32C930D8" w:rsidR="006714FF" w:rsidRDefault="006714FF" w:rsidP="006714FF">
      <w:pPr>
        <w:pStyle w:val="TESupportingInformation"/>
      </w:pPr>
      <w:r w:rsidRPr="0034394B">
        <w:t>Daily values were assigned a federal method detection limit (MDL) based on the Air Quality System (AQS)</w:t>
      </w:r>
      <w:r>
        <w:t xml:space="preserve"> </w:t>
      </w:r>
      <w:r w:rsidRPr="0034394B">
        <w:t>method, a</w:t>
      </w:r>
      <w:r>
        <w:t>nd a</w:t>
      </w:r>
      <w:r w:rsidRPr="0034394B">
        <w:t xml:space="preserve"> </w:t>
      </w:r>
      <w:r>
        <w:t xml:space="preserve">corresponding measurement error </w:t>
      </w:r>
      <w:r w:rsidRPr="0034394B">
        <w:t>variance equal to</w:t>
      </w:r>
      <w:r>
        <w:t xml:space="preserve"> the squared measurement error standard deviation, SE</w:t>
      </w:r>
      <w:r w:rsidRPr="007766F0">
        <w:rPr>
          <w:vertAlign w:val="superscript"/>
        </w:rPr>
        <w:t>2</w:t>
      </w:r>
      <w:r>
        <w:t>, where SE=Federal MDL/3, hence the measurement error variance is set to</w:t>
      </w:r>
      <w:r w:rsidRPr="0034394B">
        <w:t xml:space="preserve"> (Federal MDL)</w:t>
      </w:r>
      <w:r w:rsidRPr="0034394B">
        <w:rPr>
          <w:vertAlign w:val="superscript"/>
        </w:rPr>
        <w:t>2</w:t>
      </w:r>
      <w:r w:rsidRPr="0034394B">
        <w:t>/9</w:t>
      </w:r>
      <w:r>
        <w:t xml:space="preserve">. The overall uncertainty associated with each measured </w:t>
      </w:r>
      <w:r w:rsidR="00BA0462">
        <w:t>value</w:t>
      </w:r>
      <w:r>
        <w:t xml:space="preserve"> was then taken as the maximum variance between</w:t>
      </w:r>
      <w:r w:rsidRPr="0034394B">
        <w:t xml:space="preserve"> </w:t>
      </w:r>
      <w:r>
        <w:t>the</w:t>
      </w:r>
      <w:r w:rsidRPr="0034394B">
        <w:t xml:space="preserve"> incompleteness </w:t>
      </w:r>
      <w:r>
        <w:t>variance (the square of equation S1)</w:t>
      </w:r>
      <w:r w:rsidRPr="0034394B">
        <w:t xml:space="preserve"> and measurement</w:t>
      </w:r>
      <w:r>
        <w:t xml:space="preserve"> error</w:t>
      </w:r>
      <w:r w:rsidRPr="0034394B">
        <w:t xml:space="preserve"> variance. </w:t>
      </w:r>
    </w:p>
    <w:p w14:paraId="6FE47AB3" w14:textId="77777777" w:rsidR="006714FF" w:rsidRDefault="006714FF" w:rsidP="006714FF">
      <w:pPr>
        <w:pStyle w:val="TESupportingInformation"/>
      </w:pPr>
      <w:r w:rsidRPr="0034394B">
        <w:lastRenderedPageBreak/>
        <w:t xml:space="preserve">Some daily values were recorded by different instruments at the same monitoring station locations. For duplicate measurements, the sample means and variances were </w:t>
      </w:r>
      <w:r>
        <w:t>averaged</w:t>
      </w:r>
      <w:r w:rsidRPr="0034394B">
        <w:t xml:space="preserve"> using an inverse-(maximum) variance weighted average of the duplicate sample means and maximum variances. The de-duplicated sample </w:t>
      </w:r>
      <w:proofErr w:type="gramStart"/>
      <w:r w:rsidRPr="0034394B">
        <w:t>mean</w:t>
      </w:r>
      <w:proofErr w:type="gramEnd"/>
      <w:r w:rsidRPr="0034394B">
        <w:t xml:space="preserve"> and variance and the number of duplicate measurements processed were assigned the measurement </w:t>
      </w:r>
      <w:r>
        <w:t>characteristics (</w:t>
      </w:r>
      <w:r w:rsidRPr="0034394B">
        <w:t xml:space="preserve">incompleteness </w:t>
      </w:r>
      <w:r>
        <w:t>variance</w:t>
      </w:r>
      <w:r w:rsidRPr="0034394B">
        <w:t>, AQS method, and Program ID</w:t>
      </w:r>
      <w:r>
        <w:t xml:space="preserve">) of that </w:t>
      </w:r>
      <w:r w:rsidRPr="0034394B">
        <w:t xml:space="preserve">with the lowest maximum variance. </w:t>
      </w:r>
    </w:p>
    <w:p w14:paraId="2B442562" w14:textId="222C0179" w:rsidR="006714FF" w:rsidRPr="0034394B" w:rsidRDefault="006714FF" w:rsidP="006714FF">
      <w:pPr>
        <w:pStyle w:val="TESupportingInformation"/>
      </w:pPr>
      <w:r>
        <w:t>To account for the ubiquitous nature of VOCs in the environment and the unlikelihood of true zero daily values,</w:t>
      </w:r>
      <w:r>
        <w:fldChar w:fldCharType="begin"/>
      </w:r>
      <w:r>
        <w:instrText xml:space="preserve"> ADDIN ZOTERO_ITEM CSL_CITATION {"citationID":"WURLQfTL","properties":{"formattedCitation":"\\super 2\\nosupersub{}","plainCitation":"2","noteIndex":0},"citationItems":[{"id":2304,"uris":["http://zotero.org/users/9885460/items/8H9Y49FI"],"itemData":{"id":2304,"type":"article-journal","abstract":"Volatile organic compounds (VOCs) encompass hundreds of high production volume chemicals that have been used in a wide range of household and industrial products. Widespread use of products that contain VOCs resulted in their ubiquitous occurrence in the environment, with elevated concentrations frequently found in indoor environments. Human exposure to VOCs is pervasive and has been a topic of concern, due to the mutagenic, neurotoxic, genotoxic, and carcinogenic potentials of these chemicals. Although several previous articles described toxic effects of VOCs, relatively less is known on their human exposure and body burdens. VOCs have been determined in human breath condensate, blood, feces, and urine. This review updates the information on the environmental occurrence, toxicity, sources and pathways of human exposure, metabolism and elimination, and biomonitoring of exposure to VOCs. Indoor air is a major source of human exposure to VOCs. Higher atmospheric concentrations of VOCs have been reported in Asian countries than in North American and European countries. Elevated concentrations of four widely studied VOCs namely, benzene, toluene, ethylbenzene and xylene (BTEX) were reported in air from newly constructed or renovated homes (1.3–350 μg/m3) and e-waste workshops (2.45–3,10,000 μg/m3). BTEX were also found in consumer products such as shoe polish, whiteout, leather cleaner and ink at notable concentrations (e.g., ~92,600 μg/g). Traditional methods of exposure assessment of VOCs entailed measurement of these chemicals in indoor air and determination of inhalation exposure dose. SStudies on VOC exposure assessment mainly focused on occupationally exposed individuals. Recent developments in biomonitoring of urinary metabolites of VOCs present accurate assessment of exposures and internal body burdens. Biomonitoring studies of VOCs offer novel biomarkers for the assessment of airway inﬂammation, lung injury, neurological disorders, immune dysfunction and cancers in populations. Considering the very high production volume (at billions of pounds annually), known toxicity, and widespread human exposures, signiﬁcance of VOCs in eliciting adverse health effects in populations will be a subject of increasing public health concern for years to come.","container-title":"Environmental Chemistry and Ecotoxicology","DOI":"10.1016/j.enceco.2021.01.001","ISSN":"2590-1826","language":"en","page":"91-116","source":"Zotero","title":"A review of environmental occurrence, toxicity, biotransformation and biomonitoring of volatile organic compounds","volume":"3","author":[{"family":"Li","given":"Adela Jing"},{"family":"Pal","given":"Vineet Kumar"},{"family":"Kannan, Kurunthachalam","given":""}],"issued":{"date-parts":[["2021"]]}}}],"schema":"https://github.com/citation-style-language/schema/raw/master/csl-citation.json"} </w:instrText>
      </w:r>
      <w:r>
        <w:fldChar w:fldCharType="separate"/>
      </w:r>
      <w:r w:rsidR="000658B0" w:rsidRPr="000658B0">
        <w:rPr>
          <w:rFonts w:cs="Times"/>
          <w:vertAlign w:val="superscript"/>
        </w:rPr>
        <w:t>2</w:t>
      </w:r>
      <w:r>
        <w:fldChar w:fldCharType="end"/>
      </w:r>
      <w:r>
        <w:t xml:space="preserve"> measured-zero d</w:t>
      </w:r>
      <w:r w:rsidRPr="00917859">
        <w:t xml:space="preserve">aily values were assigned mean and variance equal to the mean and variance of a </w:t>
      </w:r>
      <w:r>
        <w:t>Log Normal distribution</w:t>
      </w:r>
      <w:r w:rsidRPr="00917859">
        <w:t>, ~</w:t>
      </w:r>
      <w:r>
        <w:t>L</w:t>
      </w:r>
      <w:r w:rsidRPr="00917859">
        <w:t>N(µ, σ</w:t>
      </w:r>
      <w:r w:rsidRPr="00917859">
        <w:rPr>
          <w:vertAlign w:val="superscript"/>
        </w:rPr>
        <w:t>2</w:t>
      </w:r>
      <w:r w:rsidRPr="00917859">
        <w:t xml:space="preserve">), truncated above the federal </w:t>
      </w:r>
      <w:r>
        <w:t>log-</w:t>
      </w:r>
      <w:r w:rsidRPr="00917859">
        <w:t>MDL</w:t>
      </w:r>
      <w:r>
        <w:t xml:space="preserve">, where </w:t>
      </w:r>
      <w:r w:rsidRPr="007E6E2F">
        <w:t>µ</w:t>
      </w:r>
      <w:r>
        <w:t xml:space="preserve"> and</w:t>
      </w:r>
      <w:r w:rsidRPr="007E6E2F">
        <w:t xml:space="preserve"> σ</w:t>
      </w:r>
      <w:r w:rsidRPr="007E6E2F">
        <w:rPr>
          <w:vertAlign w:val="superscript"/>
        </w:rPr>
        <w:t>2</w:t>
      </w:r>
      <w:r>
        <w:t xml:space="preserve"> are estimates of the mean and variance of log concentrations. The reassignment of zero daily values reflects the knowledge that SBTEX observations are lognormally </w:t>
      </w:r>
      <w:r w:rsidR="00BA0462">
        <w:t>distributed,</w:t>
      </w:r>
      <w:r>
        <w:t xml:space="preserve"> and the true value of measured-zero daily values are below the respective log-MDL. </w:t>
      </w:r>
      <w:r w:rsidRPr="00143C81">
        <w:t>A</w:t>
      </w:r>
      <w:r w:rsidRPr="0034394B">
        <w:t xml:space="preserve"> natural logarithm transformation was </w:t>
      </w:r>
      <w:r>
        <w:t xml:space="preserve">then </w:t>
      </w:r>
      <w:r w:rsidRPr="0034394B">
        <w:t xml:space="preserve">applied to the styrene, benzene, toluene, ethylbenzene, and xylenes (SBTEX) </w:t>
      </w:r>
      <w:r>
        <w:t xml:space="preserve">processed </w:t>
      </w:r>
      <w:r w:rsidRPr="0034394B">
        <w:t>measurements to yield a more normal distribution, as shown in Figure S1.</w:t>
      </w:r>
      <w:r w:rsidRPr="00C506E3">
        <w:t xml:space="preserve"> </w:t>
      </w:r>
    </w:p>
    <w:p w14:paraId="705AD9EB" w14:textId="77777777" w:rsidR="006714FF" w:rsidRDefault="006714FF" w:rsidP="006714FF">
      <w:pPr>
        <w:pStyle w:val="TESupportingInformation"/>
      </w:pPr>
      <w:r w:rsidRPr="0034394B">
        <w:t xml:space="preserve">To perform xylenes BME estimation, m/p- and o-xylene measurements were combined. Daily xylenes were only calculated for monitoring stations that recorded m/p- and o-xylene measurements on the same day. Observed value, maximum variance, number of duplicates, and Federal MDL were combined using the additive property, while incompleteness </w:t>
      </w:r>
      <w:r>
        <w:t>variance</w:t>
      </w:r>
      <w:r w:rsidRPr="0034394B">
        <w:t>, AQS method, and Program ID were selected as the value from m/p- or o-xylenes with the higher maximum variance.</w:t>
      </w:r>
      <w:r>
        <w:t xml:space="preserve"> After observational data pre-processing was complete, styrene, toluene, benzene, ethylbenzene, and xylenes were measured at 163, 182, 163, 163, and 151 monitoring stations, respectively, and 183 monitoring stations total.</w:t>
      </w:r>
    </w:p>
    <w:p w14:paraId="0FB88A40" w14:textId="77777777" w:rsidR="006714FF" w:rsidRDefault="006714FF" w:rsidP="006714FF">
      <w:pPr>
        <w:spacing w:after="0"/>
      </w:pPr>
      <w:r>
        <w:rPr>
          <w:noProof/>
        </w:rPr>
        <w:lastRenderedPageBreak/>
        <w:drawing>
          <wp:inline distT="0" distB="0" distL="0" distR="0" wp14:anchorId="6F0E5EB7" wp14:editId="0C3427E3">
            <wp:extent cx="1889760" cy="1417320"/>
            <wp:effectExtent l="0" t="0" r="0" b="0"/>
            <wp:docPr id="1814564456" name="Picture 1814564456"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64456" name="Picture 1814564456" descr="A graph with number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r>
        <w:rPr>
          <w:noProof/>
        </w:rPr>
        <w:drawing>
          <wp:inline distT="0" distB="0" distL="0" distR="0" wp14:anchorId="6630707A" wp14:editId="2A9DDE57">
            <wp:extent cx="1889760" cy="1417320"/>
            <wp:effectExtent l="0" t="0" r="0" b="0"/>
            <wp:docPr id="1129989316" name="Picture 1129989316"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989316" name="Picture 1129989316" descr="A graph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p>
    <w:p w14:paraId="359C6F0D" w14:textId="77777777" w:rsidR="006714FF" w:rsidRDefault="006714FF" w:rsidP="006714FF">
      <w:pPr>
        <w:spacing w:after="0"/>
      </w:pPr>
      <w:r>
        <w:rPr>
          <w:noProof/>
        </w:rPr>
        <w:drawing>
          <wp:inline distT="0" distB="0" distL="0" distR="0" wp14:anchorId="27567054" wp14:editId="05676628">
            <wp:extent cx="1889760" cy="1417320"/>
            <wp:effectExtent l="0" t="0" r="0" b="0"/>
            <wp:docPr id="1090195454" name="Picture 1090195454" descr="A graph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195454" name="Picture 1090195454" descr="A graph with numbers and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r>
        <w:rPr>
          <w:noProof/>
        </w:rPr>
        <w:drawing>
          <wp:inline distT="0" distB="0" distL="0" distR="0" wp14:anchorId="7D1319E6" wp14:editId="6AC6C8FF">
            <wp:extent cx="1889760" cy="1417320"/>
            <wp:effectExtent l="0" t="0" r="0" b="0"/>
            <wp:docPr id="2011315495" name="Picture 2011315495" descr="A graph of a tall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315495" name="Picture 2011315495" descr="A graph of a tall tow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p>
    <w:p w14:paraId="4D5D093C" w14:textId="77777777" w:rsidR="006714FF" w:rsidRDefault="006714FF" w:rsidP="006714FF">
      <w:pPr>
        <w:spacing w:after="0"/>
      </w:pPr>
      <w:r>
        <w:rPr>
          <w:noProof/>
        </w:rPr>
        <w:drawing>
          <wp:inline distT="0" distB="0" distL="0" distR="0" wp14:anchorId="7D296D57" wp14:editId="6719CEE1">
            <wp:extent cx="1889760" cy="1417320"/>
            <wp:effectExtent l="0" t="0" r="0" b="0"/>
            <wp:docPr id="1296946239" name="Picture 1296946239"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46239" name="Picture 1296946239" descr="A graph with numbers and a lin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r>
        <w:rPr>
          <w:noProof/>
        </w:rPr>
        <w:drawing>
          <wp:inline distT="0" distB="0" distL="0" distR="0" wp14:anchorId="7C02B2E1" wp14:editId="64226B79">
            <wp:extent cx="1889760" cy="1417320"/>
            <wp:effectExtent l="0" t="0" r="0" b="0"/>
            <wp:docPr id="2001713838" name="Picture 2001713838" descr="A graph of a tall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13838" name="Picture 2001713838" descr="A graph of a tall tow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p>
    <w:p w14:paraId="05380F87" w14:textId="77777777" w:rsidR="006714FF" w:rsidRDefault="006714FF" w:rsidP="006714FF">
      <w:pPr>
        <w:spacing w:after="0"/>
      </w:pPr>
      <w:r>
        <w:rPr>
          <w:noProof/>
        </w:rPr>
        <w:drawing>
          <wp:inline distT="0" distB="0" distL="0" distR="0" wp14:anchorId="153CBC78" wp14:editId="1781E3B7">
            <wp:extent cx="1889760" cy="1417320"/>
            <wp:effectExtent l="0" t="0" r="0" b="0"/>
            <wp:docPr id="1914537048" name="Picture 1914537048"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37048" name="Picture 1914537048" descr="A graph of a number of objects&#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r>
        <w:rPr>
          <w:noProof/>
        </w:rPr>
        <w:drawing>
          <wp:inline distT="0" distB="0" distL="0" distR="0" wp14:anchorId="4B76CA07" wp14:editId="6D09A664">
            <wp:extent cx="1889760" cy="1417320"/>
            <wp:effectExtent l="0" t="0" r="0" b="0"/>
            <wp:docPr id="286283971" name="Picture 286283971" descr="A graph of a tall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83971" name="Picture 286283971" descr="A graph of a tall build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p>
    <w:p w14:paraId="52B86185" w14:textId="77777777" w:rsidR="006714FF" w:rsidRDefault="006714FF" w:rsidP="006714FF">
      <w:pPr>
        <w:spacing w:after="0"/>
      </w:pPr>
      <w:r>
        <w:rPr>
          <w:noProof/>
        </w:rPr>
        <w:drawing>
          <wp:inline distT="0" distB="0" distL="0" distR="0" wp14:anchorId="2AC6715A" wp14:editId="26412C09">
            <wp:extent cx="1889760" cy="1417320"/>
            <wp:effectExtent l="0" t="0" r="0" b="0"/>
            <wp:docPr id="32720661" name="Picture 3272066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0661" name="Picture 32720661" descr="A graph with numbers and a 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r>
        <w:rPr>
          <w:noProof/>
        </w:rPr>
        <w:drawing>
          <wp:inline distT="0" distB="0" distL="0" distR="0" wp14:anchorId="3D9C2B07" wp14:editId="2D4329B7">
            <wp:extent cx="1889760" cy="1417320"/>
            <wp:effectExtent l="0" t="0" r="0" b="0"/>
            <wp:docPr id="2011946331" name="Picture 2011946331" descr="A graph of a tall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46331" name="Picture 2011946331" descr="A graph of a tall tow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9760" cy="1417320"/>
                    </a:xfrm>
                    <a:prstGeom prst="rect">
                      <a:avLst/>
                    </a:prstGeom>
                  </pic:spPr>
                </pic:pic>
              </a:graphicData>
            </a:graphic>
          </wp:inline>
        </w:drawing>
      </w:r>
    </w:p>
    <w:p w14:paraId="0681FCFE" w14:textId="77777777" w:rsidR="006714FF" w:rsidRPr="004E17B9" w:rsidRDefault="006714FF" w:rsidP="006714FF">
      <w:pPr>
        <w:pStyle w:val="VAFigureCaption"/>
      </w:pPr>
      <w:r w:rsidRPr="009E43C8">
        <w:rPr>
          <w:b/>
          <w:bCs/>
        </w:rPr>
        <w:t>Figure S1.</w:t>
      </w:r>
      <w:r w:rsidRPr="57EE44F5">
        <w:t xml:space="preserve"> Density-scaled histograms of SBTEX measurements from 2006 to 2017. </w:t>
      </w:r>
      <w:r w:rsidRPr="57EE44F5">
        <w:rPr>
          <w:color w:val="000000" w:themeColor="text1"/>
        </w:rPr>
        <w:t xml:space="preserve">From top to bottom, row 1: styrene; row 2: benzene; row 3: toluene, row 4: ethylbenzene; row 5: xylenes. Left </w:t>
      </w:r>
      <w:r w:rsidRPr="57EE44F5">
        <w:t xml:space="preserve">column: Concentrations; right column: </w:t>
      </w:r>
      <w:r>
        <w:t>log-</w:t>
      </w:r>
      <w:r w:rsidRPr="57EE44F5">
        <w:t>concentrations.</w:t>
      </w:r>
    </w:p>
    <w:p w14:paraId="43D34F4D" w14:textId="77777777" w:rsidR="006714FF" w:rsidRPr="009E43C8" w:rsidRDefault="006714FF" w:rsidP="006714FF">
      <w:pPr>
        <w:pStyle w:val="TESupportingInformation"/>
        <w:rPr>
          <w:b/>
          <w:bCs/>
          <w:color w:val="000000" w:themeColor="text1"/>
          <w:szCs w:val="24"/>
        </w:rPr>
      </w:pPr>
      <w:r w:rsidRPr="009E43C8">
        <w:rPr>
          <w:b/>
          <w:bCs/>
          <w:color w:val="000000" w:themeColor="text1"/>
          <w:szCs w:val="24"/>
        </w:rPr>
        <w:lastRenderedPageBreak/>
        <w:t>S2. Observational Data Exploratory Analysis</w:t>
      </w:r>
    </w:p>
    <w:p w14:paraId="1C960B33" w14:textId="14AC2A64" w:rsidR="006714FF" w:rsidRPr="009E43C8" w:rsidRDefault="006714FF" w:rsidP="006714FF">
      <w:pPr>
        <w:pStyle w:val="TESupportingInformation"/>
        <w:rPr>
          <w:szCs w:val="24"/>
        </w:rPr>
      </w:pPr>
      <w:r w:rsidRPr="009E43C8">
        <w:rPr>
          <w:color w:val="000000" w:themeColor="text1"/>
          <w:szCs w:val="24"/>
        </w:rPr>
        <w:t>Exploratory analyses demonstrated that, as expected, SBTEX monitoring stations were clustered across the Gulf States, with regulatory goals in mind,</w:t>
      </w:r>
      <w:r w:rsidRPr="009E43C8">
        <w:rPr>
          <w:color w:val="000000" w:themeColor="text1"/>
          <w:szCs w:val="24"/>
        </w:rPr>
        <w:fldChar w:fldCharType="begin"/>
      </w:r>
      <w:r>
        <w:rPr>
          <w:color w:val="000000" w:themeColor="text1"/>
          <w:szCs w:val="24"/>
        </w:rPr>
        <w:instrText xml:space="preserve"> ADDIN ZOTERO_ITEM CSL_CITATION {"citationID":"c9wXprT1","properties":{"formattedCitation":"\\super 3\\nosupersub{}","plainCitation":"3","noteIndex":0},"citationItems":[{"id":593,"uris":["http://zotero.org/users/9885460/items/FPBXNX2E"],"itemData":{"id":593,"type":"article-journal","abstract":"Background: There is increasing concern regarding the potential adverse health effects of air pollution, particularly hazardous air pollutants (HAPs). However, quantifying exposure to these pollutants is problematic.\nObjective: Our goal was to explore the utility of kriging, a spatial interpolation method, for exposure assessment in epidemiologic studies of HAPs. We used benzene as an example and compared census tract-level kriged predictions to estimates obtained from the 1999 U.S. EPA National Air Toxics Assessment (NATA), Assessment System for Population Exposure Nationwide (ASPEN) model.\nMethods: Kriged predictions were generated for 649 census tracts in Harris County, Texas using estimates of annual benzene air concentrations from 17 monitoring sites operating in Harris and surrounding counties from 1998 to 2000. Year 1999 ASPEN modeled estimates were also obtained for each census tract. Spearman rank correlation analyses were performed on the modeled and kriged benzene levels. Weighted kappa statistics were computed to assess agreement between discretized kriged and modeled estimates of ambient air levels of benzene.\nResults: There was modest correlation between the predicted and modeled values across census tracts. Overall, 56.2%, 40.7%, 31.5% and 28.2% of census tracts were classified as having ‘low’, ‘medium-low’, ‘medium-high’ and ‘high’ ambient air levels of benzene, respectively, comparing predicted and modeled benzene levels. The weighted kappa statistic was 0.26 (95% confidence interval (CI) = 0.20, 0.31), indicating poor agreement between the two methods.\nConclusions: There was a lack of concordance between predicted and modeled ambient air levels of benzene. Applying methods of spatial interpolation for assessing exposure to ambient air pollutants in health effect studies is hindered by the placement and number of existing stationary monitors collecting HAP data. Routine monitoring needs to be expanded if we are to use these data to better assess environmental health risks in the future.","container-title":"Environmental Health","DOI":"10.1186/1476-069X-10-21","ISSN":"1476-069X","issue":"1","journalAbbreviation":"Environ Health","language":"en","page":"21","source":"DOI.org (Crossref)","title":"Kriged and modeled ambient air levels of benzene in an urban environment: an exposure assessment study","title-short":"Kriged and modeled ambient air levels of benzene in an urban environment","volume":"10","author":[{"family":"Whitworth","given":"Kristina W"},{"family":"Symanski","given":"Elaine"},{"family":"Lai","given":"Dejian"},{"family":"Coker","given":"Ann L"}],"issued":{"date-parts":[["2011",12]]}}}],"schema":"https://github.com/citation-style-language/schema/raw/master/csl-citation.json"} </w:instrText>
      </w:r>
      <w:r w:rsidRPr="009E43C8">
        <w:rPr>
          <w:color w:val="000000" w:themeColor="text1"/>
          <w:szCs w:val="24"/>
        </w:rPr>
        <w:fldChar w:fldCharType="separate"/>
      </w:r>
      <w:r w:rsidR="000658B0" w:rsidRPr="000658B0">
        <w:rPr>
          <w:rFonts w:cs="Times"/>
          <w:vertAlign w:val="superscript"/>
        </w:rPr>
        <w:t>3</w:t>
      </w:r>
      <w:r w:rsidRPr="009E43C8">
        <w:rPr>
          <w:color w:val="000000" w:themeColor="text1"/>
          <w:szCs w:val="24"/>
        </w:rPr>
        <w:fldChar w:fldCharType="end"/>
      </w:r>
      <w:r w:rsidRPr="009E43C8">
        <w:rPr>
          <w:color w:val="000000" w:themeColor="text1"/>
          <w:szCs w:val="24"/>
        </w:rPr>
        <w:t xml:space="preserve"> with most measurements occurring in TX (Figure S2). The highest SBTEX measurements, on average, were recorded in Western TX; FL; Birmingham, AL; and in major urban hubs along the Gulf Coast, like Houston, TX, and New Orleans, LA (Figure S2). Percentile and aerial mean time trends of SBTEX monitoring demonstrated decreasing concentrations between 2006 and 2017 (Figure S2).</w:t>
      </w:r>
    </w:p>
    <w:p w14:paraId="43386F48" w14:textId="77777777" w:rsidR="006714FF" w:rsidRDefault="006714FF" w:rsidP="006714FF">
      <w:pPr>
        <w:pStyle w:val="TESupportingInformation"/>
      </w:pPr>
    </w:p>
    <w:p w14:paraId="6711E922" w14:textId="77777777" w:rsidR="006714FF" w:rsidRDefault="006714FF" w:rsidP="006714FF">
      <w:pPr>
        <w:spacing w:after="0"/>
        <w:rPr>
          <w:rFonts w:ascii="Times New Roman" w:hAnsi="Times New Roman"/>
          <w:sz w:val="20"/>
        </w:rPr>
      </w:pPr>
    </w:p>
    <w:p w14:paraId="35299E3C" w14:textId="77777777" w:rsidR="006714FF" w:rsidRDefault="006714FF" w:rsidP="006714FF">
      <w:pPr>
        <w:spacing w:after="0"/>
        <w:rPr>
          <w:rFonts w:ascii="Times New Roman" w:hAnsi="Times New Roman"/>
          <w:sz w:val="20"/>
        </w:rPr>
      </w:pPr>
    </w:p>
    <w:p w14:paraId="18A83852" w14:textId="77777777" w:rsidR="006714FF" w:rsidRDefault="006714FF" w:rsidP="006714FF">
      <w:pPr>
        <w:spacing w:after="0"/>
        <w:rPr>
          <w:rFonts w:ascii="Times New Roman" w:hAnsi="Times New Roman"/>
          <w:sz w:val="20"/>
        </w:rPr>
      </w:pPr>
    </w:p>
    <w:p w14:paraId="08855113" w14:textId="77777777" w:rsidR="006714FF" w:rsidRDefault="006714FF" w:rsidP="006714FF">
      <w:pPr>
        <w:spacing w:after="0"/>
        <w:rPr>
          <w:rFonts w:ascii="Times New Roman" w:hAnsi="Times New Roman"/>
          <w:sz w:val="20"/>
        </w:rPr>
      </w:pPr>
    </w:p>
    <w:p w14:paraId="7D83EA9D" w14:textId="77777777" w:rsidR="006714FF" w:rsidRDefault="006714FF" w:rsidP="006714FF">
      <w:pPr>
        <w:spacing w:after="0"/>
        <w:rPr>
          <w:rFonts w:ascii="Times New Roman" w:hAnsi="Times New Roman"/>
          <w:sz w:val="20"/>
        </w:rPr>
      </w:pPr>
    </w:p>
    <w:p w14:paraId="48CC8963" w14:textId="77777777" w:rsidR="006714FF" w:rsidRDefault="006714FF" w:rsidP="006714FF">
      <w:pPr>
        <w:spacing w:after="0"/>
        <w:rPr>
          <w:rFonts w:ascii="Times New Roman" w:hAnsi="Times New Roman"/>
          <w:sz w:val="20"/>
        </w:rPr>
      </w:pPr>
    </w:p>
    <w:p w14:paraId="69BF7AA5" w14:textId="77777777" w:rsidR="006714FF" w:rsidRDefault="006714FF" w:rsidP="006714FF">
      <w:pPr>
        <w:spacing w:after="0"/>
        <w:rPr>
          <w:rFonts w:ascii="Times New Roman" w:hAnsi="Times New Roman"/>
          <w:sz w:val="20"/>
        </w:rPr>
      </w:pPr>
    </w:p>
    <w:p w14:paraId="71D10A6B" w14:textId="77777777" w:rsidR="006714FF" w:rsidRDefault="006714FF" w:rsidP="006714FF">
      <w:pPr>
        <w:spacing w:after="0"/>
        <w:rPr>
          <w:rFonts w:ascii="Times New Roman" w:hAnsi="Times New Roman"/>
          <w:sz w:val="20"/>
        </w:rPr>
      </w:pPr>
    </w:p>
    <w:p w14:paraId="7B899C16" w14:textId="77777777" w:rsidR="006714FF" w:rsidRDefault="006714FF" w:rsidP="006714FF">
      <w:pPr>
        <w:spacing w:after="0"/>
        <w:rPr>
          <w:rFonts w:ascii="Times New Roman" w:hAnsi="Times New Roman"/>
          <w:sz w:val="20"/>
        </w:rPr>
      </w:pPr>
    </w:p>
    <w:p w14:paraId="6935E383" w14:textId="77777777" w:rsidR="006714FF" w:rsidRDefault="006714FF" w:rsidP="006714FF">
      <w:pPr>
        <w:spacing w:after="0"/>
        <w:rPr>
          <w:rFonts w:ascii="Times New Roman" w:hAnsi="Times New Roman"/>
          <w:sz w:val="20"/>
        </w:rPr>
      </w:pPr>
    </w:p>
    <w:p w14:paraId="53660B9B" w14:textId="77777777" w:rsidR="006714FF" w:rsidRDefault="006714FF" w:rsidP="006714FF">
      <w:pPr>
        <w:spacing w:after="0"/>
        <w:rPr>
          <w:rFonts w:ascii="Times New Roman" w:hAnsi="Times New Roman"/>
          <w:sz w:val="20"/>
        </w:rPr>
      </w:pPr>
    </w:p>
    <w:p w14:paraId="0CD80C2F" w14:textId="77777777" w:rsidR="006714FF" w:rsidRDefault="006714FF" w:rsidP="006714FF">
      <w:pPr>
        <w:spacing w:after="0"/>
        <w:rPr>
          <w:rFonts w:ascii="Times New Roman" w:hAnsi="Times New Roman"/>
          <w:sz w:val="20"/>
        </w:rPr>
      </w:pPr>
    </w:p>
    <w:p w14:paraId="57581681" w14:textId="77777777" w:rsidR="006714FF" w:rsidRDefault="006714FF" w:rsidP="006714FF">
      <w:pPr>
        <w:spacing w:after="0"/>
        <w:rPr>
          <w:rFonts w:ascii="Times New Roman" w:hAnsi="Times New Roman"/>
          <w:sz w:val="20"/>
        </w:rPr>
      </w:pPr>
    </w:p>
    <w:p w14:paraId="69642BE0" w14:textId="77777777" w:rsidR="006714FF" w:rsidRDefault="006714FF" w:rsidP="006714FF">
      <w:pPr>
        <w:spacing w:after="0"/>
        <w:rPr>
          <w:rFonts w:ascii="Times New Roman" w:hAnsi="Times New Roman"/>
          <w:sz w:val="20"/>
        </w:rPr>
      </w:pPr>
    </w:p>
    <w:p w14:paraId="42F4287C" w14:textId="77777777" w:rsidR="006714FF" w:rsidRDefault="006714FF" w:rsidP="006714FF">
      <w:pPr>
        <w:spacing w:after="0"/>
        <w:rPr>
          <w:rFonts w:ascii="Times New Roman" w:hAnsi="Times New Roman"/>
          <w:sz w:val="20"/>
        </w:rPr>
      </w:pPr>
    </w:p>
    <w:p w14:paraId="2BC1FD68" w14:textId="77777777" w:rsidR="006714FF" w:rsidRDefault="006714FF" w:rsidP="006714FF">
      <w:pPr>
        <w:spacing w:after="0"/>
        <w:rPr>
          <w:rFonts w:ascii="Times New Roman" w:hAnsi="Times New Roman"/>
          <w:sz w:val="20"/>
        </w:rPr>
      </w:pPr>
    </w:p>
    <w:p w14:paraId="4C2348E3" w14:textId="77777777" w:rsidR="006714FF" w:rsidRDefault="006714FF" w:rsidP="006714FF">
      <w:pPr>
        <w:spacing w:after="0"/>
        <w:rPr>
          <w:rFonts w:ascii="Times New Roman" w:hAnsi="Times New Roman"/>
          <w:sz w:val="20"/>
        </w:rPr>
      </w:pPr>
    </w:p>
    <w:p w14:paraId="00AFF899" w14:textId="77777777" w:rsidR="006714FF" w:rsidRDefault="006714FF" w:rsidP="006714FF">
      <w:pPr>
        <w:spacing w:after="0"/>
        <w:rPr>
          <w:rFonts w:ascii="Times New Roman" w:hAnsi="Times New Roman"/>
          <w:sz w:val="20"/>
        </w:rPr>
      </w:pPr>
    </w:p>
    <w:p w14:paraId="79E0A7AC" w14:textId="77777777" w:rsidR="006714FF" w:rsidRDefault="006714FF" w:rsidP="006714FF">
      <w:pPr>
        <w:spacing w:after="0"/>
        <w:rPr>
          <w:rFonts w:ascii="Times New Roman" w:hAnsi="Times New Roman"/>
          <w:sz w:val="20"/>
        </w:rPr>
      </w:pPr>
    </w:p>
    <w:p w14:paraId="3A8D6420" w14:textId="77777777" w:rsidR="006714FF" w:rsidRDefault="006714FF" w:rsidP="006714FF">
      <w:pPr>
        <w:spacing w:after="0"/>
        <w:rPr>
          <w:rFonts w:ascii="Times New Roman" w:hAnsi="Times New Roman"/>
          <w:sz w:val="20"/>
        </w:rPr>
      </w:pPr>
    </w:p>
    <w:p w14:paraId="5D47018E" w14:textId="77777777" w:rsidR="006714FF" w:rsidRDefault="006714FF" w:rsidP="006714FF">
      <w:pPr>
        <w:spacing w:after="0"/>
        <w:rPr>
          <w:rFonts w:ascii="Times New Roman" w:hAnsi="Times New Roman"/>
          <w:sz w:val="20"/>
        </w:rPr>
      </w:pPr>
    </w:p>
    <w:p w14:paraId="08138DF0" w14:textId="77777777" w:rsidR="006714FF" w:rsidRDefault="006714FF" w:rsidP="006714FF">
      <w:pPr>
        <w:spacing w:after="0"/>
        <w:rPr>
          <w:rFonts w:ascii="Times New Roman" w:hAnsi="Times New Roman"/>
          <w:sz w:val="20"/>
        </w:rPr>
      </w:pPr>
    </w:p>
    <w:p w14:paraId="7138F27F" w14:textId="77777777" w:rsidR="006714FF" w:rsidRDefault="006714FF" w:rsidP="006714FF">
      <w:pPr>
        <w:spacing w:after="0"/>
        <w:rPr>
          <w:rFonts w:ascii="Times New Roman" w:hAnsi="Times New Roman"/>
          <w:sz w:val="20"/>
        </w:rPr>
      </w:pPr>
    </w:p>
    <w:p w14:paraId="30BBE8D3" w14:textId="77777777" w:rsidR="006714FF" w:rsidRDefault="006714FF" w:rsidP="006714FF">
      <w:pPr>
        <w:spacing w:after="0"/>
        <w:rPr>
          <w:rFonts w:ascii="Times New Roman" w:hAnsi="Times New Roman"/>
          <w:sz w:val="20"/>
        </w:rPr>
      </w:pPr>
    </w:p>
    <w:p w14:paraId="33DFB5B4" w14:textId="77777777" w:rsidR="006714FF" w:rsidRDefault="006714FF" w:rsidP="006714FF">
      <w:pPr>
        <w:spacing w:after="0"/>
        <w:rPr>
          <w:rFonts w:ascii="Times New Roman" w:hAnsi="Times New Roman"/>
          <w:sz w:val="20"/>
        </w:rPr>
      </w:pPr>
    </w:p>
    <w:p w14:paraId="284A8612" w14:textId="77777777" w:rsidR="006714FF" w:rsidRDefault="006714FF" w:rsidP="006714FF">
      <w:pPr>
        <w:spacing w:after="0"/>
        <w:rPr>
          <w:rFonts w:ascii="Times New Roman" w:hAnsi="Times New Roman"/>
          <w:sz w:val="20"/>
        </w:rPr>
      </w:pPr>
    </w:p>
    <w:p w14:paraId="4E06258C" w14:textId="77777777" w:rsidR="006714FF" w:rsidRDefault="006714FF" w:rsidP="006714FF">
      <w:pPr>
        <w:spacing w:after="0"/>
        <w:rPr>
          <w:rFonts w:ascii="Times New Roman" w:hAnsi="Times New Roman"/>
          <w:sz w:val="20"/>
        </w:rPr>
      </w:pPr>
    </w:p>
    <w:p w14:paraId="5CDB50DC" w14:textId="77777777" w:rsidR="006714FF" w:rsidRDefault="006714FF" w:rsidP="006714FF">
      <w:pPr>
        <w:spacing w:after="0"/>
        <w:rPr>
          <w:rFonts w:ascii="Times New Roman" w:hAnsi="Times New Roman"/>
          <w:sz w:val="20"/>
        </w:rPr>
      </w:pPr>
    </w:p>
    <w:p w14:paraId="64BA026D" w14:textId="77777777" w:rsidR="006714FF" w:rsidRDefault="006714FF" w:rsidP="006714FF">
      <w:pPr>
        <w:spacing w:after="0"/>
        <w:rPr>
          <w:rFonts w:ascii="Times New Roman" w:hAnsi="Times New Roman"/>
          <w:sz w:val="20"/>
        </w:rPr>
      </w:pPr>
    </w:p>
    <w:p w14:paraId="4EFC0F20" w14:textId="77777777" w:rsidR="006714FF" w:rsidRDefault="006714FF" w:rsidP="006714FF">
      <w:pPr>
        <w:spacing w:after="0"/>
        <w:rPr>
          <w:rFonts w:ascii="Times New Roman" w:hAnsi="Times New Roman"/>
          <w:sz w:val="20"/>
        </w:rPr>
      </w:pPr>
    </w:p>
    <w:p w14:paraId="36DD1E4F" w14:textId="77777777" w:rsidR="006714FF" w:rsidRDefault="006714FF" w:rsidP="006714FF">
      <w:pPr>
        <w:spacing w:after="0"/>
        <w:rPr>
          <w:rFonts w:ascii="Times New Roman" w:hAnsi="Times New Roman"/>
          <w:sz w:val="20"/>
        </w:rPr>
      </w:pPr>
    </w:p>
    <w:p w14:paraId="5BE094D0" w14:textId="77777777" w:rsidR="006714FF" w:rsidRDefault="006714FF" w:rsidP="006714FF">
      <w:pPr>
        <w:spacing w:after="0"/>
        <w:rPr>
          <w:rFonts w:ascii="Times New Roman" w:hAnsi="Times New Roman"/>
          <w:sz w:val="20"/>
        </w:rPr>
      </w:pPr>
    </w:p>
    <w:p w14:paraId="51B9E0C7" w14:textId="77777777" w:rsidR="006714FF" w:rsidRDefault="006714FF" w:rsidP="006714FF">
      <w:pPr>
        <w:spacing w:after="0"/>
        <w:rPr>
          <w:rFonts w:ascii="Times New Roman" w:hAnsi="Times New Roman"/>
          <w:sz w:val="20"/>
        </w:rPr>
      </w:pPr>
    </w:p>
    <w:p w14:paraId="62F11DBD" w14:textId="77777777" w:rsidR="006714FF" w:rsidRDefault="006714FF" w:rsidP="006714FF">
      <w:pPr>
        <w:spacing w:after="0"/>
        <w:rPr>
          <w:rFonts w:ascii="Times New Roman" w:hAnsi="Times New Roman"/>
        </w:rPr>
      </w:pPr>
      <w:r>
        <w:rPr>
          <w:noProof/>
        </w:rPr>
        <w:lastRenderedPageBreak/>
        <w:drawing>
          <wp:inline distT="0" distB="0" distL="0" distR="0" wp14:anchorId="3DA6496C" wp14:editId="04A42029">
            <wp:extent cx="1828800" cy="1371600"/>
            <wp:effectExtent l="0" t="0" r="0" b="0"/>
            <wp:docPr id="697367141" name="Picture 697367141" descr="A map of the united states with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67141" name="Picture 697367141" descr="A map of the united states with colored circl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67A55238" wp14:editId="27726DBB">
            <wp:extent cx="1828800" cy="1371600"/>
            <wp:effectExtent l="0" t="0" r="0" b="0"/>
            <wp:docPr id="283717946" name="Picture 28371794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17946" name="Picture 283717946" descr="A graph of different colored line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35B5A07B" wp14:editId="6BE8788C">
            <wp:extent cx="1828800" cy="1371600"/>
            <wp:effectExtent l="0" t="0" r="0" b="0"/>
            <wp:docPr id="111550659" name="Picture 111550659" descr="A graph of a graph showing a number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0659" name="Picture 111550659" descr="A graph of a graph showing a number of different types of data&#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570EC7A1" w14:textId="77777777" w:rsidR="006714FF" w:rsidRDefault="006714FF" w:rsidP="006714FF">
      <w:pPr>
        <w:spacing w:after="0"/>
        <w:rPr>
          <w:rFonts w:ascii="Times New Roman" w:hAnsi="Times New Roman"/>
        </w:rPr>
      </w:pPr>
      <w:r>
        <w:rPr>
          <w:noProof/>
        </w:rPr>
        <w:drawing>
          <wp:inline distT="0" distB="0" distL="0" distR="0" wp14:anchorId="39B57336" wp14:editId="506575FD">
            <wp:extent cx="1828800" cy="1371600"/>
            <wp:effectExtent l="0" t="0" r="0" b="0"/>
            <wp:docPr id="425604729" name="Picture 425604729" descr="A map of the world with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04729" name="Picture 425604729" descr="A map of the world with colored circle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1D96AC6E" wp14:editId="5F6C50BC">
            <wp:extent cx="1828800" cy="1371600"/>
            <wp:effectExtent l="0" t="0" r="0" b="0"/>
            <wp:docPr id="1968095152" name="Picture 1968095152"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95152" name="Picture 1968095152" descr="A graph of different colored lin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1A8CB03A" wp14:editId="596236BA">
            <wp:extent cx="1828800" cy="1371600"/>
            <wp:effectExtent l="0" t="0" r="0" b="0"/>
            <wp:docPr id="789114744" name="Picture 789114744" descr="A graph of a graph showing the area mean and standard deviati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114744" name="Picture 789114744" descr="A graph of a graph showing the area mean and standard deviations&#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6D0D61DF" w14:textId="77777777" w:rsidR="006714FF" w:rsidRDefault="006714FF" w:rsidP="006714FF">
      <w:pPr>
        <w:spacing w:after="0"/>
        <w:rPr>
          <w:rFonts w:ascii="Times New Roman" w:hAnsi="Times New Roman"/>
        </w:rPr>
      </w:pPr>
      <w:r>
        <w:rPr>
          <w:noProof/>
        </w:rPr>
        <w:drawing>
          <wp:inline distT="0" distB="0" distL="0" distR="0" wp14:anchorId="28E28578" wp14:editId="27DA7622">
            <wp:extent cx="1828800" cy="1371600"/>
            <wp:effectExtent l="0" t="0" r="0" b="0"/>
            <wp:docPr id="1103742287" name="Picture 1103742287" descr="A map of the world with colorful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742287" name="Picture 1103742287" descr="A map of the world with colorful circle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157995DC" wp14:editId="02F2B3CC">
            <wp:extent cx="1828800" cy="1371600"/>
            <wp:effectExtent l="0" t="0" r="0" b="0"/>
            <wp:docPr id="14162405" name="Picture 14162405"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405" name="Picture 14162405" descr="A graph of different colored lin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0CEB1276" wp14:editId="33E84A7D">
            <wp:extent cx="1828800" cy="1371600"/>
            <wp:effectExtent l="0" t="0" r="0" b="0"/>
            <wp:docPr id="965590658" name="Picture 965590658" descr="A graph of a graph showing a number of different level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90658" name="Picture 965590658" descr="A graph of a graph showing a number of different levels of data&#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3570A7EA" w14:textId="77777777" w:rsidR="006714FF" w:rsidRDefault="006714FF" w:rsidP="006714FF">
      <w:pPr>
        <w:spacing w:after="0"/>
        <w:rPr>
          <w:rFonts w:ascii="Times New Roman" w:hAnsi="Times New Roman"/>
        </w:rPr>
      </w:pPr>
      <w:r>
        <w:rPr>
          <w:noProof/>
        </w:rPr>
        <w:drawing>
          <wp:inline distT="0" distB="0" distL="0" distR="0" wp14:anchorId="191A2028" wp14:editId="717E6BC9">
            <wp:extent cx="1828800" cy="1371600"/>
            <wp:effectExtent l="0" t="0" r="0" b="0"/>
            <wp:docPr id="495756527" name="Picture 495756527" descr="A map of the world with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56527" name="Picture 495756527" descr="A map of the world with colored circle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1941078D" wp14:editId="19F9EEB7">
            <wp:extent cx="1828800" cy="1371600"/>
            <wp:effectExtent l="0" t="0" r="0" b="0"/>
            <wp:docPr id="1758330325" name="Picture 1758330325"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30325" name="Picture 1758330325" descr="A graph of different colored line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0F2DF925" wp14:editId="24479D27">
            <wp:extent cx="1828800" cy="1371600"/>
            <wp:effectExtent l="0" t="0" r="0" b="0"/>
            <wp:docPr id="1883202699" name="Picture 1883202699" descr="A graph of a graph showing a number of different level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02699" name="Picture 1883202699" descr="A graph of a graph showing a number of different levels of data&#10;&#10;Description automatically generated with medium confidenc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3DE6983F" w14:textId="77777777" w:rsidR="006714FF" w:rsidRDefault="006714FF" w:rsidP="006714FF">
      <w:pPr>
        <w:spacing w:after="0"/>
        <w:rPr>
          <w:rFonts w:ascii="Times New Roman" w:hAnsi="Times New Roman"/>
        </w:rPr>
      </w:pPr>
      <w:r>
        <w:rPr>
          <w:noProof/>
        </w:rPr>
        <w:drawing>
          <wp:inline distT="0" distB="0" distL="0" distR="0" wp14:anchorId="4AC97AD5" wp14:editId="6A649D42">
            <wp:extent cx="1828800" cy="1371600"/>
            <wp:effectExtent l="0" t="0" r="0" b="0"/>
            <wp:docPr id="1229685259" name="Picture 1229685259" descr="A map of the united states with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85259" name="Picture 1229685259" descr="A map of the united states with colored circles&#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1F017830" wp14:editId="30F1E0BE">
            <wp:extent cx="1828800" cy="1371600"/>
            <wp:effectExtent l="0" t="0" r="0" b="0"/>
            <wp:docPr id="495255447" name="Picture 495255447" descr="A graph of a number of perc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255447" name="Picture 495255447" descr="A graph of a number of percent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5D1796A0" wp14:editId="4A47A4DA">
            <wp:extent cx="1828800" cy="1371600"/>
            <wp:effectExtent l="0" t="0" r="0" b="0"/>
            <wp:docPr id="942227513" name="Picture 942227513" descr="A graph of a graph showing a red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27513" name="Picture 942227513" descr="A graph of a graph showing a red line&#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526B735D" w14:textId="77777777" w:rsidR="006714FF" w:rsidRPr="005D115D" w:rsidRDefault="006714FF" w:rsidP="006714FF">
      <w:pPr>
        <w:pStyle w:val="VAFigureCaption"/>
      </w:pPr>
      <w:r w:rsidRPr="009E43C8">
        <w:rPr>
          <w:b/>
          <w:bCs/>
        </w:rPr>
        <w:t>Figure S2.</w:t>
      </w:r>
      <w:r w:rsidRPr="57EE44F5">
        <w:t xml:space="preserve"> Exploratory analysis plots of SBTEX measurements from 2006 to 2017. From top to bottom, row 1: </w:t>
      </w:r>
      <w:r>
        <w:t>log-</w:t>
      </w:r>
      <w:r w:rsidRPr="57EE44F5">
        <w:t xml:space="preserve">styrene; row 2: </w:t>
      </w:r>
      <w:r>
        <w:t>log-</w:t>
      </w:r>
      <w:r w:rsidRPr="57EE44F5">
        <w:t xml:space="preserve">benzene; row 3: </w:t>
      </w:r>
      <w:r>
        <w:t>log-</w:t>
      </w:r>
      <w:r w:rsidRPr="57EE44F5">
        <w:t xml:space="preserve">toluene, row 4: </w:t>
      </w:r>
      <w:r>
        <w:t>log-</w:t>
      </w:r>
      <w:r w:rsidRPr="57EE44F5">
        <w:t xml:space="preserve">ethylbenzene; row 5: </w:t>
      </w:r>
      <w:r>
        <w:t>log-</w:t>
      </w:r>
      <w:r w:rsidRPr="57EE44F5">
        <w:t xml:space="preserve">xylenes. Right column: average </w:t>
      </w:r>
      <w:r>
        <w:t>log-</w:t>
      </w:r>
      <w:r w:rsidRPr="57EE44F5">
        <w:t xml:space="preserve">SBTEX concentrations at monitoring stations in the </w:t>
      </w:r>
      <w:r w:rsidRPr="57EE44F5">
        <w:lastRenderedPageBreak/>
        <w:t>Gulf States, from 2006 to 2017. Center column: select percentile time trends of SBTEX from 2006 to 2017; Left column: areal mean and standard deviation time trends of SBTEX from 2006 to 2017.</w:t>
      </w:r>
    </w:p>
    <w:p w14:paraId="7F35A5C0" w14:textId="77777777" w:rsidR="006714FF" w:rsidRPr="009E43C8" w:rsidRDefault="006714FF" w:rsidP="006714FF">
      <w:pPr>
        <w:pStyle w:val="TESupportingInformation"/>
        <w:rPr>
          <w:b/>
          <w:bCs/>
        </w:rPr>
      </w:pPr>
      <w:r w:rsidRPr="009E43C8">
        <w:rPr>
          <w:b/>
          <w:bCs/>
        </w:rPr>
        <w:t>S3. Land Use Regression Model (LUR) Development</w:t>
      </w:r>
    </w:p>
    <w:p w14:paraId="4824B754" w14:textId="2FA0ED7A" w:rsidR="006714FF" w:rsidRDefault="006714FF" w:rsidP="006714FF">
      <w:pPr>
        <w:pStyle w:val="TESupportingInformation"/>
      </w:pPr>
      <w:r>
        <w:t xml:space="preserve">In this work, we created a LUR model for each SBTEX component that predicted annual average concentrations from 2008 to 2017. Annual average concentrations were derived from averaging daily observed SBTEX and used as the dependent variables in the LUR. </w:t>
      </w:r>
      <w:r w:rsidRPr="0034394B">
        <w:t>Previous research to create BTEX LURs has identified point sources, industrial areas, traffic predictors, and medical, religious, and educational facilities as significant pollution predictors</w:t>
      </w:r>
      <w:r w:rsidRPr="00C90FB4">
        <w:t>.</w:t>
      </w:r>
      <w:r>
        <w:rPr>
          <w:highlight w:val="yellow"/>
        </w:rPr>
        <w:fldChar w:fldCharType="begin"/>
      </w:r>
      <w:r>
        <w:rPr>
          <w:highlight w:val="yellow"/>
        </w:rPr>
        <w:instrText xml:space="preserve"> ADDIN ZOTERO_ITEM CSL_CITATION {"citationID":"AUGHoUF1","properties":{"formattedCitation":"\\super 4\\uc0\\u8211{}11\\nosupersub{}","plainCitation":"4–11","noteIndex":0},"citationItems":[{"id":1173,"uris":["http://zotero.org/users/9885460/items/ZXDL5ZG9"],"itemData":{"id":1173,"type":"article-journal","abstract":"Select volatile organic compounds (VOCs) were measured in the vicinity of chemical facilities and other operations in the Rubbertown industrial area of Louisville, Kentucky (USA) using modiﬁed EPA Methods 325A/B passive sampler tubes. Two-week, time-integrated passive samplers were deployed at ten sites which were aggregated into three site groups of varying distances from the Rubbertown area facilities. In comparison to canister data from 2001 to 2005, two of the sites suggested generally lower current VOC levels. Good precision was obtained from the duplicate tubes (≤12%) for benzene, toluene, ethylbenzene, and xylene isomers (BTEX), styrene, 1,3-butadiene, perchloroethylene, and other trace VOCs. BTEX, styrene, and 1,3-butadiene concentrations were statistically signiﬁcantly higher at two site groups near Rubbertown sources than the site group farther away. As found in a similar study in South Philadelphia, BTEX concentrations were also lower for sites farther from a source, though the decline was less pronounced on a percentage basis in Rubbertown. These results suggest that EPA Methods 325A/B can be useful to assess VOC gradients for emissions from chemical facilities besides fenceline benzene levels from reﬁneries.","container-title":"Atmospheric Pollution Research","DOI":"10.1016/j.apr.2020.02.021","ISSN":"13091042","issue":"6","journalAbbreviation":"Atmospheric Pollution Research","language":"en","page":"81-86","source":"DOI.org (Crossref)","title":"Spatial analysis of volatile organic compounds using passive samplers in the Rubbertown industrial area of Louisville, Kentucky, USA","volume":"11","author":[{"family":"Mukerjee","given":"Shaibal"},{"family":"Smith","given":"Luther A."},{"family":"Thoma","given":"Eben D."},{"family":"Whitaker","given":"Donald A."},{"family":"Oliver","given":"Karen D."},{"family":"Duvall","given":"Rachelle"},{"family":"Cousett","given":"Tamira A."}],"issued":{"date-parts":[["2020",6]]}}},{"id":735,"uris":["http://zotero.org/users/9885460/items/RKU2LCEF"],"itemData":{"id":735,"type":"article-journal","abstract":"The objective of this research is to determine the atmospheric concentrations and spatial distribution of benzene (B), toluene (T), ethylbenzene (E) and xylenes (X) (BTEX) and inorganic air pollutants (O3, NO2 and SO2) in the Yalova atmosphere during summer 2015. In this study, a combination of passive sampling and Geographical Information System-based geo-statistics are used with spatial statistics of autocorrelation to characterise the spatial pattern of the quality of air based on concentrations of these pollutants in Yalova. The spatial temporal variations of pollutants in the air with five types of land-use, residence, rural, highway, side road and industrial areas were investigated at 40 stations in Yalova between 7th August 2015 and 26th August 2015 using passive sampling. An inverse distance weighting interpolation technique was used to estimate variables at an unmeasured location from observed values at nearby locations. The spatial autocorrelation of air pollutants in the city was investigated using the statistical methods of Moran’s I in addition to the Getis Ord Gi. During the summer, highway and industrial sites had higher levels of BTEX then rural areas. The average concentration of toluene was measured to be 5.83 µg/m3 and this is the highest pollutant concentration. Average concentrations of NO2, O3 and SO2 are 35.64, 84.23 and 3.95 µg/m3, respectively. According to the global results of Moran’s I; NO2 and BTEX had positive correlations on a global space at a significant rate. Moreover, the autocorrelation analysis on the local space demonstrated significant hot spots on industrial sites and along the main roads.","container-title":"Ecological Chemistry and Engineering S","DOI":"10.1515/eces-2017-0037","ISSN":"1898-6196","issue":"4","language":"en","page":"565-581","source":"DOI.org (Crossref)","title":"Spatial Distribution of BTEX and Inorganic Pollutants During Summer Season in Yalova, Turkey","volume":"24","author":[{"family":"Tecer","given":"Lokman Hakan"},{"family":"Tagil","given":"Sermin"},{"family":"Ulukaya","given":"Osman"},{"family":"Ficici","given":"Merve"}],"issued":{"date-parts":[["2017",12,1]]}}},{"id":727,"uris":["http://zotero.org/users/9885460/items/QRIGTBZ9"],"itemData":{"id":727,"type":"article-journal","abstract":"As part of a larger research project initiated by the Geospatial Determinants of Health Outcomes Consortium (GeoDHOC), an air quality study was conducted in an international airshed encompassing Detroit, Michigan, USA, and Windsor, Ontario, Canada. Active and passive samplers were used to measure nitrogen dioxide (NO2), sulfur dioxide (SO2), 26 volatile organic compounds (VOCs), 23 polycyclic aromatic hydrocarbons (PAHs) and pesticides, and three size fractions of particulate matter (PM) over a two-week period in September, 2008. Measurements of NO2 and 14 VOCs were found to be acceptable at 98 out of 100 passive monitoring sites. PAH and PM measurements were acceptable at 38 out of 50 active sites.","container-title":"Atmospheric Environment","DOI":"10.1016/j.atmosenv.2009.12.030","ISSN":"13522310","issue":"9","journalAbbreviation":"Atmospheric Environment","language":"en","page":"1162-1174","source":"DOI.org (Crossref)","title":"Intra-urban correlation and spatial variability of air toxics across an international airshed in Detroit, Michigan (USA) and Windsor, Ontario (Canada)","volume":"44","author":[{"family":"Miller","given":"Lindsay"},{"family":"Lemke","given":"Lawrence D."},{"family":"Xu","given":"Xiaohong"},{"family":"Molaroni","given":"Shannon M."},{"family":"You","given":"Hongyu"},{"family":"Wheeler","given":"Amanda J."},{"family":"Booza","given":"Jason"},{"family":"Grgicak-Mannion","given":"Alice"},{"family":"Krajenta","given":"Richard"},{"family":"Graniero","given":"Phillip"}],"issued":{"date-parts":[["2010",3]]}}},{"id":722,"uris":["http://zotero.org/users/9885460/items/7CTTR45X"],"itemData":{"id":722,"type":"article-journal","abstract":"This paper uses machine learning to refine a Land-use Regression (LUR) model and to estimate the spatial–temporal variation in BTEX concentrations in Kaohsiung, Taiwan. Using the Taiwanese Environmental Protection Agency (EPA) data of BTEX (benzene, toluene, ethylbenzene, and xylenes) concentrations from 2015 to 2018, which includes local emission sources as a result of Asian cultural characteristics, a new LUR model is developed. The 2019 data was then used as external data to verify the reliability of the model. We used hybrid Kriging-land-use regression (Hybrid Kriging-LUR) models, geographically weighted regression (GWR), and two machine learning algorithms—random forest (RF) and extreme gradient boosting (XGBoost)—for model development. Initially, the proposed Hybrid Kriging-LUR models explained each variation in BTEX from 37% to 52%. Using machine learning algorithms (XGBoost) increased the explanatory power of the models for each BTEX, between 61% and 79%. This study compared each combination of the Hybrid Kriging-LUR model and (i) GWR, (ii) RF, and (iii) XGBoost algorithm to estimate the spatiotemporal variation in BTEX concentration. It is shown that a combination of Hybrid Kriging-LUR and the XGBoost algorithm gives better performance than other integrated methods.","container-title":"International Journal of Environmental Research and Public Health","DOI":"10.3390/ijerph17196956","ISSN":"1660-4601","issue":"19","language":"en","license":"http://creativecommons.org/licenses/by/3.0/","note":"number: 19\npublisher: Multidisciplinary Digital Publishing Institute","page":"6956","source":"www.mdpi.com","title":"Kriging-Based Land-Use Regression Models That Use Machine Learning Algorithms to Estimate the Monthly BTEX Concentration","volume":"17","author":[{"family":"Hsu","given":"Chin-Yu"},{"family":"Zeng","given":"Yu-Ting"},{"family":"Chen","given":"Yu-Cheng"},{"family":"Chen","given":"Mu-Jean"},{"family":"Lung","given":"Shih-Chun Candice"},{"family":"Wu","given":"Chih-Da"}],"issued":{"date-parts":[["2020",1]]}}},{"id":1045,"uris":["http://zotero.org/users/9885460/items/RWA7BH8Z"],"itemData":{"id":1045,"type":"article-journal","abstract":"There are acknowledged difﬁculties in epidemiological studies to accurately assign exposure to air pollution for large populations, and large, long-term cohort studies have typically relied upon data from central monitoring stations. This approach has generally been adequate when populations span large areas or diverse cities. However, when the effects of intra-urban differences in exposure are being studied, the use of these existing central sites are likely to be inadequate for representing spatial variability that exists within an urban area.","container-title":"Environmental Research","DOI":"10.1016/j.envres.2007.09.004","ISSN":"00139351","issue":"1","journalAbbreviation":"Environmental Research","language":"en","page":"7-16","source":"DOI.org (Crossref)","title":"Intra-urban variability of air pollution in Windsor, Ontario—Measurement and modeling for human exposure assessment","volume":"106","author":[{"family":"Wheeler","given":"Amanda J."},{"family":"Smith-Doiron","given":"Marc"},{"family":"Xu","given":"Xiaohong"},{"family":"Gilbert","given":"Nicolas L."},{"family":"Brook","given":"Jeffrey R."}],"issued":{"date-parts":[["2008",1]]}}},{"id":1048,"uris":["http://zotero.org/users/9885460/items/7EEUULDM"],"itemData":{"id":1048,"type":"article-journal","abstract":"Spatial analysis studies have included the application of land use regression models (LURs) for health and air quality assessments. Recent LUR studies have collected nitrogen dioxide (NO\n              2\n              ) and volatile organic compounds (VOCs) using passive samplers at urban air monitoring networks in El Paso and Dallas, TX, Detroit, MI, and Cleveland, OH to assess spatial variability and source influences. LURs were successfully developed to estimate pollutant concentrations throughout the study areas. Comparisons of development and predictive capabilities of LURs from these four cities are presented to address this issue of uniform application of LURs across study areas. Traffic and other urban variables were important predictors in the LURs although city-specific influences (such as border crossings) were also important. In addition, transferability of variables or LURs from one city to another may be problematic due to intercity differences and data availability or comparability. Thus, developing common predictors in future LURs may be difficult.","container-title":"The Scientific World Journal","DOI":"10.1100/2012/865150","ISSN":"1537-744X","journalAbbreviation":"The Scientific World Journal","language":"en","page":"1-8","source":"DOI.org (Crossref)","title":"Evaluation of Land Use Regression Models for Nitrogen Dioxide and Benzene in Four US Cities","volume":"2012","author":[{"family":"Mukerjee","given":"Shaibal"},{"family":"Smith","given":"Luther"},{"family":"Neas","given":"Lucas"},{"family":"Norris","given":"Gary"}],"issued":{"date-parts":[["2012"]]}}},{"id":1156,"uris":["http://zotero.org/users/9885460/items/ADG3CTFU"],"itemData":{"id":1156,"type":"article-journal","container-title":"Chemosphere","DOI":"10.1016/j.chemosphere.2019.125769","ISSN":"00456535","journalAbbreviation":"Chemosphere","language":"en","page":"125769","source":"DOI.org (Crossref)","title":"Spatial analysis and risk assessment of urban BTEX compounds in Urmia, Iran","volume":"246","author":[{"family":"Mohammadi","given":"Amir"},{"family":"Ghassoun","given":"Yahya"},{"family":"Löwner","given":"Marc-Oliver"},{"family":"Behmanesh","given":"Maryam"},{"family":"Faraji","given":"Maryam"},{"family":"Nemati","given":"Sepideh"},{"family":"Toolabi","given":"Ali"},{"family":"Abdolahnejad","given":"Ali"},{"family":"Panahi","given":"Hussein"},{"family":"Heydari","given":"Hafez"},{"family":"Miri","given":"Mohammad"}],"issued":{"date-parts":[["2020",5]]}}},{"id":1049,"uris":["http://zotero.org/users/9885460/items/GUFTYCVR"],"itemData":{"id":1049,"type":"article-journal","abstract":"More than 25 studies have employed land use regression (LUR) models to estimate nitrogen oxides and to a lesser extent particulate matter indicators, but these methods have been less commonly applied to ambient concentrations of volatile organic compounds (VOCs). Some VOCs have high plausibility as sources of health effects and others are speciﬁc indicators of motor vehicle exhaust. We used LUR models to estimate spatial variability of VOCs in Toronto, Canada. Benzene, n-hexane and total hydrocarbons (THC) were measured from July 25 to August 9, 2006 at 50 locations using the TraceAir organic vapor monitors. Nitrogen dioxide (NO2) was also sampled to assess its spatial pattern agreement with VOC exposures. Buffers for land use, population density, trafﬁc density, physical geography, and remote sensing measures of greenness and surface brightness were also tested. The remote sensing measures have the highest correlations with VOCs and NO2 levels (i.e., explains &gt;36% of the variance). Our regression models explain 66e68% of the variance in the spatial distribution of VOCs, compared to 81% for the NO2 model. The ranks of agreement between various VOCs range from 48 to 63% and increases substantially e up to 75% e for the top and bottom quartile groups. Agreements between NO2 and VOCs are much smaller with an average rank of 36%. Future epidemiologic studies may therefore beneﬁt from using VOCs as potential toxic agents for trafﬁc-related pollutants.","container-title":"Atmospheric Environment","DOI":"10.1016/j.atmosenv.2010.06.015","ISSN":"13522310","issue":"29","journalAbbreviation":"Atmospheric Environment","language":"en","page":"3529-3537","source":"DOI.org (Crossref)","title":"A land use regression model for predicting ambient volatile organic compound concentrations in Toronto, Canada","volume":"44","author":[{"family":"Su","given":"Jason G."},{"family":"Jerrett","given":"Michael"},{"family":"Beckerman","given":"Bernardo"},{"family":"Verma","given":"Dave"},{"family":"Arain","given":"M. Altaf"},{"family":"Kanaroglou","given":"Pavlos"},{"family":"Stieb","given":"Dave"},{"family":"Finkelstein","given":"Murray"},{"family":"Brook","given":"Jeffery"}],"issued":{"date-parts":[["2010",9]]}}}],"schema":"https://github.com/citation-style-language/schema/raw/master/csl-citation.json"} </w:instrText>
      </w:r>
      <w:r>
        <w:rPr>
          <w:highlight w:val="yellow"/>
        </w:rPr>
        <w:fldChar w:fldCharType="separate"/>
      </w:r>
      <w:r w:rsidR="000658B0" w:rsidRPr="000658B0">
        <w:rPr>
          <w:rFonts w:cs="Times"/>
          <w:vertAlign w:val="superscript"/>
        </w:rPr>
        <w:t>4–11</w:t>
      </w:r>
      <w:r>
        <w:rPr>
          <w:highlight w:val="yellow"/>
        </w:rPr>
        <w:fldChar w:fldCharType="end"/>
      </w:r>
      <w:r w:rsidRPr="0034394B">
        <w:t xml:space="preserve"> </w:t>
      </w:r>
      <w:r>
        <w:t>Annual p</w:t>
      </w:r>
      <w:r w:rsidRPr="0034394B">
        <w:t>oint</w:t>
      </w:r>
      <w:r>
        <w:t xml:space="preserve"> source emissions</w:t>
      </w:r>
      <w:r w:rsidRPr="0034394B">
        <w:t>,</w:t>
      </w:r>
      <w:r>
        <w:t xml:space="preserve"> annual</w:t>
      </w:r>
      <w:r w:rsidRPr="0034394B">
        <w:t xml:space="preserve"> nonpoint</w:t>
      </w:r>
      <w:r>
        <w:t xml:space="preserve"> source emissions</w:t>
      </w:r>
      <w:r w:rsidRPr="0034394B">
        <w:t xml:space="preserve">, and average annual daily traffic (AADT) were selected as potential predictors based on data availability and previous publications. </w:t>
      </w:r>
      <w:r>
        <w:t>Units of point and nonpoint emissions were pounds (pounds (</w:t>
      </w:r>
      <w:proofErr w:type="spellStart"/>
      <w:r>
        <w:t>lbs</w:t>
      </w:r>
      <w:proofErr w:type="spellEnd"/>
      <w:r>
        <w:t>)) and AADT was vehicles per day (vehicles per day (</w:t>
      </w:r>
      <w:proofErr w:type="spellStart"/>
      <w:r>
        <w:t>vpd</w:t>
      </w:r>
      <w:proofErr w:type="spellEnd"/>
      <w:r>
        <w:t>))</w:t>
      </w:r>
    </w:p>
    <w:p w14:paraId="012667E9" w14:textId="3859B2BE" w:rsidR="006714FF" w:rsidRPr="00B77C41" w:rsidRDefault="006714FF" w:rsidP="003F327D">
      <w:pPr>
        <w:pStyle w:val="TESupportingInformation"/>
      </w:pPr>
      <w:r w:rsidRPr="56554CA4">
        <w:t xml:space="preserve">SBTEX point source, nonpoint source, and on-road emissions data (in units of pounds) for 2008, 2011, 2014, and 2017 were downloaded from the EPA’s National Emissions Inventory (NEI). Polyline highway files were downloaded from the Federal Highway Administration (FHWA) Highway Performance Monitoring System for 2011, 2014, and 2017, and were processed to yield </w:t>
      </w:r>
      <w:r w:rsidRPr="0034394B">
        <w:t>create 0.1km by 0.1km grid cells across the Gulf States containing the sum of AADT values from polylines passing through each grid cell. 2008 AADT grid data was calculated by multiplying the ratio of 2008:2011 SBTEX NEI on-road emissions by 2011 AADT grid data, following Reyes &amp; Serre (2014) methodology.</w:t>
      </w:r>
      <w:r>
        <w:t xml:space="preserve"> </w:t>
      </w:r>
      <w:r w:rsidRPr="56554CA4">
        <w:t>Point source, nonpoint source, and AADT data were interpolated between years to yield annual predictor estimates for 2008 to 2017.</w:t>
      </w:r>
      <w:r w:rsidRPr="00A4233C">
        <w:t xml:space="preserve"> </w:t>
      </w:r>
      <w:r>
        <w:t xml:space="preserve">In the Gulf States from 2008 to 2017, there were a small number of point source emitters (&lt;5) that reported disproportionately </w:t>
      </w:r>
      <w:r>
        <w:lastRenderedPageBreak/>
        <w:t>high SBTEX emissions. As a result, the point source predictor term was originally driven by these extreme sources and did not account for the localized effects of most point sources in the Gulf States. A scaling</w:t>
      </w:r>
      <w:r w:rsidRPr="108B7E4C">
        <w:t xml:space="preserve"> factor of ½ was applied to point source emissions (</w:t>
      </w:r>
      <w:r w:rsidRPr="108B7E4C">
        <w:rPr>
          <w:i/>
          <w:iCs/>
        </w:rPr>
        <w:t xml:space="preserve">e.g., </w:t>
      </w:r>
      <w:r w:rsidRPr="108B7E4C">
        <w:t>[point-source emission (pounds)]</w:t>
      </w:r>
      <w:r w:rsidRPr="003F327D">
        <w:rPr>
          <w:vertAlign w:val="superscript"/>
        </w:rPr>
        <w:t>½</w:t>
      </w:r>
      <w:r w:rsidRPr="108B7E4C">
        <w:t>) because the highly skewed distribution of un-scaled emissions obscured the relationship with SBTEX concentration</w:t>
      </w:r>
      <w:r>
        <w:t>. The application of the ½ scaling factor allowed for the concentration effects of all point sources on ambient concentrations to be captured, rather than just the effects of a small number.</w:t>
      </w:r>
    </w:p>
    <w:p w14:paraId="396CFF61" w14:textId="4BB9193F" w:rsidR="006714FF" w:rsidRPr="009E43C8" w:rsidRDefault="006714FF" w:rsidP="006714FF">
      <w:pPr>
        <w:pStyle w:val="TESupportingInformation"/>
      </w:pPr>
      <w:r w:rsidRPr="0034394B">
        <w:t>Styrene was predicted by point source (</w:t>
      </w:r>
      <w:r>
        <w:sym w:font="Symbol" w:char="F064"/>
      </w:r>
      <w:r w:rsidRPr="0034394B">
        <w:t>=2.2km), AADT (</w:t>
      </w:r>
      <w:r>
        <w:sym w:font="Symbol" w:char="F064"/>
      </w:r>
      <w:r w:rsidRPr="0034394B">
        <w:t>=33.3km), and nonpoint source (</w:t>
      </w:r>
      <w:r>
        <w:sym w:font="Symbol" w:char="F064"/>
      </w:r>
      <w:r w:rsidRPr="0034394B">
        <w:t>=111.1km) Sum of Exponentially Decaying Contributions (SEDC) terms</w:t>
      </w:r>
      <w:r>
        <w:t xml:space="preserve">, where </w:t>
      </w:r>
      <w:r>
        <w:sym w:font="Symbol" w:char="F064"/>
      </w:r>
      <w:r>
        <w:t xml:space="preserve"> is the decay range of the SEDC term</w:t>
      </w:r>
      <w:r w:rsidRPr="0034394B">
        <w:t>;</w:t>
      </w:r>
      <w:r>
        <w:fldChar w:fldCharType="begin"/>
      </w:r>
      <w:r>
        <w:instrText xml:space="preserve"> ADDIN ZOTERO_ITEM CSL_CITATION {"citationID":"anE7dA9X","properties":{"formattedCitation":"\\super 1\\nosupersub{}","plainCitation":"1","noteIndex":0},"citationItems":[{"id":75,"uris":["http://zotero.org/users/9885460/items/M7M98YTV"],"itemData":{"id":75,"type":"article-journal","abstract":"Knowledge of particulate matter concentrations &lt;2.5 μm in diameter (PM2.5) across the United States is limited due to sparse monitoring across space and time. Epidemiological studies need accurate exposure estimates in order to properly investigate potential morbidity and mortality. Previous works have used geostatistics and land use regression (LUR) separately to quantify exposure. This work combines both methods by incorporating a large area variability LUR model that accounts for on road mobile emissions and stationary source emissions along with data that take into account incompleteness of PM2.5 monitors into the modern geostatistical Bayesian Maximum Entropy (BME) framework to estimate PM2.5 across the United States from 1999 to 2009. A cross-validation was done to determine the improvement of the estimate due to the LUR incorporation into BME. These results were applied to known diseases to determine predicted mortality coming from total PM2.5 as well as PM2.5 explained by major contributing sources. This method showed a mean squared error reduction of over 21.89% oversimple kriging. PM2.5 explained by on road mobile emissions and stationary emissions contributed to nearly 568 090 and 306 316 deaths, respectively, across the United States from 1999 to 2007.","container-title":"Environmental Science &amp; Technology","DOI":"10.1021/es4040528","ISSN":"0013-936X, 1520-5851","issue":"3","journalAbbreviation":"Environ. Sci. Technol.","language":"en","page":"1736-1744","source":"DOI.org (Crossref)","title":"An LUR/BME Framework to Estimate PM &lt;sub&gt;2.5&lt;/sub&gt; Explained by on Road Mobile and Stationary Sources","volume":"48","author":[{"family":"Reyes","given":"Jeanette M."},{"family":"Serre","given":"Marc L."}],"issued":{"date-parts":[["2014",2,4]]}}}],"schema":"https://github.com/citation-style-language/schema/raw/master/csl-citation.json"} </w:instrText>
      </w:r>
      <w:r>
        <w:fldChar w:fldCharType="separate"/>
      </w:r>
      <w:r w:rsidR="000658B0" w:rsidRPr="000658B0">
        <w:rPr>
          <w:rFonts w:cs="Times"/>
          <w:vertAlign w:val="superscript"/>
        </w:rPr>
        <w:t>1</w:t>
      </w:r>
      <w:r>
        <w:fldChar w:fldCharType="end"/>
      </w:r>
      <w:r w:rsidRPr="0034394B">
        <w:t xml:space="preserve"> benzene was predicted only by point source (</w:t>
      </w:r>
      <w:r>
        <w:sym w:font="Symbol" w:char="F064"/>
      </w:r>
      <w:r w:rsidRPr="0034394B">
        <w:t>=4.4km) SEDC terms; toluene was predicted by AADT (</w:t>
      </w:r>
      <w:r>
        <w:sym w:font="Symbol" w:char="F064"/>
      </w:r>
      <w:r w:rsidRPr="0034394B">
        <w:t>=11.1km) and nonpoint source (</w:t>
      </w:r>
      <w:r>
        <w:sym w:font="Symbol" w:char="F064"/>
      </w:r>
      <w:r w:rsidRPr="0034394B">
        <w:t>=83.3km) SEDC terms; and ethylbenzene and xylenes were predicted only by AADT (</w:t>
      </w:r>
      <w:r>
        <w:sym w:font="Symbol" w:char="F064"/>
      </w:r>
      <w:r w:rsidRPr="0034394B">
        <w:t>=27.8km) SEDC terms. Final LUR equations and performance are shown in Table S1.</w:t>
      </w:r>
    </w:p>
    <w:p w14:paraId="558BDEE4" w14:textId="4156376B" w:rsidR="006714FF" w:rsidRDefault="00646AE8" w:rsidP="00646AE8">
      <w:pPr>
        <w:pStyle w:val="TESupportingInformation"/>
      </w:pPr>
      <w:r>
        <w:t xml:space="preserve">The LURs developed in this work have several limitations. </w:t>
      </w:r>
      <w:r w:rsidR="006714FF">
        <w:t>The LUR</w:t>
      </w:r>
      <w:r>
        <w:t>s</w:t>
      </w:r>
      <w:r w:rsidR="006714FF">
        <w:t xml:space="preserve"> developed in this work did not account for seasonal variation in SBTEX because it predicted SBTEX at an annual resolution, rather than a higher resolution like seasonal or daily. Previous works have cautioned against developing annual or multi-year LUR</w:t>
      </w:r>
      <w:r>
        <w:t>s</w:t>
      </w:r>
      <w:r w:rsidR="006714FF">
        <w:t>, especially for SBTEX which shows seasonal variation.</w:t>
      </w:r>
      <w:r w:rsidR="006714FF">
        <w:fldChar w:fldCharType="begin"/>
      </w:r>
      <w:r w:rsidR="00231C44">
        <w:instrText xml:space="preserve"> ADDIN ZOTERO_ITEM CSL_CITATION {"citationID":"MZhkKo1Z","properties":{"formattedCitation":"\\super 12\\nosupersub{}","plainCitation":"12","noteIndex":0},"citationItems":[{"id":890,"uris":["http://zotero.org/users/9885460/items/GJGZMXE5"],"itemData":{"id":890,"type":"article-journal","container-title":"Journal of Environmental Monitoring","DOI":"10.1039/c0em00724b","ISSN":"1464-0325, 1464-0333","issue":"4","journalAbbreviation":"J. Environ. Monit.","language":"en","page":"999","source":"DOI.org (Crossref)","title":"Spatial analysis and land use regression of VOCs and NO2 in Dallas, Texas during two seasons","volume":"13","author":[{"family":"Smith","given":"Luther A."},{"family":"Mukerjee","given":"Shaibal"},{"family":"Chung","given":"Kuenja C."},{"family":"Afghani","given":"Jim"}],"issued":{"date-parts":[["2011"]]}}}],"schema":"https://github.com/citation-style-language/schema/raw/master/csl-citation.json"} </w:instrText>
      </w:r>
      <w:r w:rsidR="006714FF">
        <w:fldChar w:fldCharType="separate"/>
      </w:r>
      <w:r w:rsidR="000658B0" w:rsidRPr="000658B0">
        <w:rPr>
          <w:rFonts w:cs="Times"/>
          <w:vertAlign w:val="superscript"/>
        </w:rPr>
        <w:t>12</w:t>
      </w:r>
      <w:r w:rsidR="006714FF">
        <w:fldChar w:fldCharType="end"/>
      </w:r>
      <w:r w:rsidR="006714FF">
        <w:t xml:space="preserve"> For the present study, we elected to model annual SBTEX concentrations to reflect the frequent exclusion of seasonality in LUR studies.</w:t>
      </w:r>
      <w:r w:rsidR="006714FF">
        <w:fldChar w:fldCharType="begin"/>
      </w:r>
      <w:r w:rsidR="00231C44">
        <w:instrText xml:space="preserve"> ADDIN ZOTERO_ITEM CSL_CITATION {"citationID":"rzQOdvFU","properties":{"formattedCitation":"\\super 12\\nosupersub{}","plainCitation":"12","noteIndex":0},"citationItems":[{"id":890,"uris":["http://zotero.org/users/9885460/items/GJGZMXE5"],"itemData":{"id":890,"type":"article-journal","container-title":"Journal of Environmental Monitoring","DOI":"10.1039/c0em00724b","ISSN":"1464-0325, 1464-0333","issue":"4","journalAbbreviation":"J. Environ. Monit.","language":"en","page":"999","source":"DOI.org (Crossref)","title":"Spatial analysis and land use regression of VOCs and NO2 in Dallas, Texas during two seasons","volume":"13","author":[{"family":"Smith","given":"Luther A."},{"family":"Mukerjee","given":"Shaibal"},{"family":"Chung","given":"Kuenja C."},{"family":"Afghani","given":"Jim"}],"issued":{"date-parts":[["2011"]]}}}],"schema":"https://github.com/citation-style-language/schema/raw/master/csl-citation.json"} </w:instrText>
      </w:r>
      <w:r w:rsidR="006714FF">
        <w:fldChar w:fldCharType="separate"/>
      </w:r>
      <w:r w:rsidR="000658B0" w:rsidRPr="000658B0">
        <w:rPr>
          <w:rFonts w:cs="Times"/>
          <w:vertAlign w:val="superscript"/>
        </w:rPr>
        <w:t>12</w:t>
      </w:r>
      <w:r w:rsidR="006714FF">
        <w:fldChar w:fldCharType="end"/>
      </w:r>
      <w:r>
        <w:t xml:space="preserve"> </w:t>
      </w:r>
      <w:r w:rsidR="006714FF">
        <w:t>The LURs developed in this study also exclude meteorological predictors, such as wind direction. While wind direction can be beneficial to LURs,</w:t>
      </w:r>
      <w:r w:rsidR="006714FF">
        <w:fldChar w:fldCharType="begin"/>
      </w:r>
      <w:r w:rsidR="00231C44">
        <w:instrText xml:space="preserve"> ADDIN ZOTERO_ITEM CSL_CITATION {"citationID":"oTgK7mqx","properties":{"formattedCitation":"\\super 13\\nosupersub{}","plainCitation":"13","noteIndex":0},"citationItems":[{"id":2393,"uris":["http://zotero.org/users/9885460/items/ILMQUT6A"],"itemData":{"id":2393,"type":"article-journal","abstract":"A methodology is developed to include wind ﬂow effects in land use regression (LUR) models for predicting nitrogen dioxide (NO2) concentrations for health exposure studies. NO2 is widely used in health studies as an indicator of trafﬁcgenerated air pollution in urban areas. Incorporation of high-resolution interpolated observed wind direction from a network of 38 weather stations in a LUR model improved NO2 concentration estimates in densely populated, high trafﬁc and industrial/business areas in Toronto-Hamilton urban airshed (THUA) of Ontario, Canada. These small-area variations in air pollution concentrations that are probably more important for health exposure studies may not be detected by sparse continuous air pollution monitoring network or conventional interpolation methods. Observed wind ﬁelds were also compared with wind ﬁelds generated by Global Environmental Multiscale-High resolution Model Application Project (GEM-HiMAP) to explore the feasibility of using regional weather forecasting model simulated wind ﬁelds in LUR models when observed data are either sparse or not available. While GEM-HiMAP predicted wind ﬁelds well at large scales, it was unable to resolve wind ﬂow patterns at smaller scales. These results suggest caution and careful evaluation of regional weather forecasting model simulated wind ﬁelds before incorporating into human exposure models for health studies. This study has demonstrated that wind ﬁelds may be integrated into the land use regression framework. Such integration has a discernable inﬂuence on both the overall model prediction and perhaps more importantly for health effects assessment on the relative spatial distribution of trafﬁc pollution throughout the THUA. Methodology developed in this study may be applied in other large urban areas across the world.","container-title":"Atmospheric Environment","DOI":"10.1016/j.atmosenv.2006.11.063","ISSN":"13522310","issue":"16","journalAbbreviation":"Atmospheric Environment","language":"en","license":"https://www.elsevier.com/tdm/userlicense/1.0/","page":"3453-3464","source":"DOI.org (Crossref)","title":"The use of wind fields in a land use regression model to predict air pollution concentrations for health exposure studies","volume":"41","author":[{"family":"Arain","given":"M.A."},{"family":"Blair","given":"R."},{"family":"Finkelstein","given":"N."},{"family":"Brook","given":"J.R."},{"family":"Sahsuvaroglu","given":"T."},{"family":"Beckerman","given":"B."},{"family":"Zhang","given":"L."},{"family":"Jerrett","given":"M."}],"issued":{"date-parts":[["2007",5]]}}}],"schema":"https://github.com/citation-style-language/schema/raw/master/csl-citation.json"} </w:instrText>
      </w:r>
      <w:r w:rsidR="006714FF">
        <w:fldChar w:fldCharType="separate"/>
      </w:r>
      <w:r w:rsidR="000658B0" w:rsidRPr="000658B0">
        <w:rPr>
          <w:rFonts w:cs="Times"/>
          <w:vertAlign w:val="superscript"/>
        </w:rPr>
        <w:t>13</w:t>
      </w:r>
      <w:r w:rsidR="006714FF">
        <w:fldChar w:fldCharType="end"/>
      </w:r>
      <w:r w:rsidR="006714FF">
        <w:t xml:space="preserve"> we excluded wind direction variables from this work previous work to estimate 48-hour VOC concentrations cautioned wind direction use</w:t>
      </w:r>
      <w:r w:rsidR="006714FF">
        <w:fldChar w:fldCharType="begin"/>
      </w:r>
      <w:r w:rsidR="00231C44">
        <w:instrText xml:space="preserve"> ADDIN ZOTERO_ITEM CSL_CITATION {"citationID":"mtppo6Sb","properties":{"formattedCitation":"\\super 14\\nosupersub{}","plainCitation":"14","noteIndex":0},"citationItems":[{"id":2394,"uris":["http://zotero.org/users/9885460/items/QBAICGH4"],"itemData":{"id":2394,"type":"article-journal","container-title":"Science of The Total Environment","DOI":"10.1016/j.scitotenv.2016.08.186","ISSN":"00489697","journalAbbreviation":"Science of The Total Environment","language":"en","page":"954-964","source":"DOI.org (Crossref)","title":"Source proximity and meteorological effects on residential outdoor VOCs in urban areas: Results from the Houston and Los Angeles RIOPA studies","title-short":"Source proximity and meteorological effects on residential outdoor VOCs in urban areas","volume":"573","author":[{"family":"Kwon","given":"Jaymin"},{"family":"Weisel","given":"Clifford P."},{"family":"Morandi","given":"Maria T."},{"family":"Stock","given":"Thomas H."}],"issued":{"date-parts":[["2016",12]]}}}],"schema":"https://github.com/citation-style-language/schema/raw/master/csl-citation.json"} </w:instrText>
      </w:r>
      <w:r w:rsidR="006714FF">
        <w:fldChar w:fldCharType="separate"/>
      </w:r>
      <w:r w:rsidR="000658B0" w:rsidRPr="000658B0">
        <w:rPr>
          <w:rFonts w:cs="Times"/>
          <w:vertAlign w:val="superscript"/>
        </w:rPr>
        <w:t>14</w:t>
      </w:r>
      <w:r w:rsidR="006714FF">
        <w:fldChar w:fldCharType="end"/>
      </w:r>
      <w:r w:rsidR="006714FF">
        <w:t xml:space="preserve"> and weekly VOC and NO</w:t>
      </w:r>
      <w:r w:rsidR="006714FF" w:rsidRPr="00B77C41">
        <w:rPr>
          <w:vertAlign w:val="subscript"/>
        </w:rPr>
        <w:t>2</w:t>
      </w:r>
      <w:r w:rsidR="006714FF">
        <w:t xml:space="preserve"> concentrations </w:t>
      </w:r>
      <w:r w:rsidR="006714FF">
        <w:lastRenderedPageBreak/>
        <w:t>excluded wind direction</w:t>
      </w:r>
      <w:r w:rsidR="006714FF">
        <w:fldChar w:fldCharType="begin"/>
      </w:r>
      <w:r w:rsidR="00231C44">
        <w:instrText xml:space="preserve"> ADDIN ZOTERO_ITEM CSL_CITATION {"citationID":"F8GujFj8","properties":{"formattedCitation":"\\super 12\\nosupersub{}","plainCitation":"12","noteIndex":0},"citationItems":[{"id":890,"uris":["http://zotero.org/users/9885460/items/GJGZMXE5"],"itemData":{"id":890,"type":"article-journal","container-title":"Journal of Environmental Monitoring","DOI":"10.1039/c0em00724b","ISSN":"1464-0325, 1464-0333","issue":"4","journalAbbreviation":"J. Environ. Monit.","language":"en","page":"999","source":"DOI.org (Crossref)","title":"Spatial analysis and land use regression of VOCs and NO2 in Dallas, Texas during two seasons","volume":"13","author":[{"family":"Smith","given":"Luther A."},{"family":"Mukerjee","given":"Shaibal"},{"family":"Chung","given":"Kuenja C."},{"family":"Afghani","given":"Jim"}],"issued":{"date-parts":[["2011"]]}}}],"schema":"https://github.com/citation-style-language/schema/raw/master/csl-citation.json"} </w:instrText>
      </w:r>
      <w:r w:rsidR="006714FF">
        <w:fldChar w:fldCharType="separate"/>
      </w:r>
      <w:r w:rsidR="000658B0" w:rsidRPr="000658B0">
        <w:rPr>
          <w:rFonts w:cs="Times"/>
          <w:vertAlign w:val="superscript"/>
        </w:rPr>
        <w:t>12</w:t>
      </w:r>
      <w:r w:rsidR="006714FF">
        <w:fldChar w:fldCharType="end"/>
      </w:r>
      <w:r w:rsidR="006714FF">
        <w:t xml:space="preserve"> because the averaging of pollutant data limits the benefits of meteorological data that can quickly change. The present study does not account for the time correlation between observed values because it was built to predict annual concentrations. While this is a limitation of the work, we believe that the reactive nature of VOCs would cause low time correlation between SBTEX observations, and the use of annual concentrations allowed us to use predictors with annual data available, such as the NEI and FHWA Highway Performance Monitoring System. </w:t>
      </w:r>
      <w:r w:rsidR="006714FF" w:rsidRPr="0034394B">
        <w:t>Furthermore, while some studies have cautioned against applying a single LUR to multiple cities, other studies have found LUR transferability to similar geographic factors and regional background concentrations, like the Gulf Region</w:t>
      </w:r>
      <w:r w:rsidR="006714FF" w:rsidRPr="00C90FB4">
        <w:t>.</w:t>
      </w:r>
      <w:r w:rsidR="006714FF">
        <w:rPr>
          <w:highlight w:val="yellow"/>
        </w:rPr>
        <w:fldChar w:fldCharType="begin"/>
      </w:r>
      <w:r w:rsidR="00231C44">
        <w:rPr>
          <w:highlight w:val="yellow"/>
        </w:rPr>
        <w:instrText xml:space="preserve"> ADDIN ZOTERO_ITEM CSL_CITATION {"citationID":"8NGuGvE2","properties":{"formattedCitation":"\\super 6,8,9,15\\nosupersub{}","plainCitation":"6,8,9,15","noteIndex":0},"citationItems":[{"id":727,"uris":["http://zotero.org/users/9885460/items/QRIGTBZ9"],"itemData":{"id":727,"type":"article-journal","abstract":"As part of a larger research project initiated by the Geospatial Determinants of Health Outcomes Consortium (GeoDHOC), an air quality study was conducted in an international airshed encompassing Detroit, Michigan, USA, and Windsor, Ontario, Canada. Active and passive samplers were used to measure nitrogen dioxide (NO2), sulfur dioxide (SO2), 26 volatile organic compounds (VOCs), 23 polycyclic aromatic hydrocarbons (PAHs) and pesticides, and three size fractions of particulate matter (PM) over a two-week period in September, 2008. Measurements of NO2 and 14 VOCs were found to be acceptable at 98 out of 100 passive monitoring sites. PAH and PM measurements were acceptable at 38 out of 50 active sites.","container-title":"Atmospheric Environment","DOI":"10.1016/j.atmosenv.2009.12.030","ISSN":"13522310","issue":"9","journalAbbreviation":"Atmospheric Environment","language":"en","page":"1162-1174","source":"DOI.org (Crossref)","title":"Intra-urban correlation and spatial variability of air toxics across an international airshed in Detroit, Michigan (USA) and Windsor, Ontario (Canada)","volume":"44","author":[{"family":"Miller","given":"Lindsay"},{"family":"Lemke","given":"Lawrence D."},{"family":"Xu","given":"Xiaohong"},{"family":"Molaroni","given":"Shannon M."},{"family":"You","given":"Hongyu"},{"family":"Wheeler","given":"Amanda J."},{"family":"Booza","given":"Jason"},{"family":"Grgicak-Mannion","given":"Alice"},{"family":"Krajenta","given":"Richard"},{"family":"Graniero","given":"Phillip"}],"issued":{"date-parts":[["2010",3]]}}},{"id":1045,"uris":["http://zotero.org/users/9885460/items/RWA7BH8Z"],"itemData":{"id":1045,"type":"article-journal","abstract":"There are acknowledged difﬁculties in epidemiological studies to accurately assign exposure to air pollution for large populations, and large, long-term cohort studies have typically relied upon data from central monitoring stations. This approach has generally been adequate when populations span large areas or diverse cities. However, when the effects of intra-urban differences in exposure are being studied, the use of these existing central sites are likely to be inadequate for representing spatial variability that exists within an urban area.","container-title":"Environmental Research","DOI":"10.1016/j.envres.2007.09.004","ISSN":"00139351","issue":"1","journalAbbreviation":"Environmental Research","language":"en","page":"7-16","source":"DOI.org (Crossref)","title":"Intra-urban variability of air pollution in Windsor, Ontario—Measurement and modeling for human exposure assessment","volume":"106","author":[{"family":"Wheeler","given":"Amanda J."},{"family":"Smith-Doiron","given":"Marc"},{"family":"Xu","given":"Xiaohong"},{"family":"Gilbert","given":"Nicolas L."},{"family":"Brook","given":"Jeffrey R."}],"issued":{"date-parts":[["2008",1]]}}},{"id":1048,"uris":["http://zotero.org/users/9885460/items/7EEUULDM"],"itemData":{"id":1048,"type":"article-journal","abstract":"Spatial analysis studies have included the application of land use regression models (LURs) for health and air quality assessments. Recent LUR studies have collected nitrogen dioxide (NO\n              2\n              ) and volatile organic compounds (VOCs) using passive samplers at urban air monitoring networks in El Paso and Dallas, TX, Detroit, MI, and Cleveland, OH to assess spatial variability and source influences. LURs were successfully developed to estimate pollutant concentrations throughout the study areas. Comparisons of development and predictive capabilities of LURs from these four cities are presented to address this issue of uniform application of LURs across study areas. Traffic and other urban variables were important predictors in the LURs although city-specific influences (such as border crossings) were also important. In addition, transferability of variables or LURs from one city to another may be problematic due to intercity differences and data availability or comparability. Thus, developing common predictors in future LURs may be difficult.","container-title":"The Scientific World Journal","DOI":"10.1100/2012/865150","ISSN":"1537-744X","journalAbbreviation":"The Scientific World Journal","language":"en","page":"1-8","source":"DOI.org (Crossref)","title":"Evaluation of Land Use Regression Models for Nitrogen Dioxide and Benzene in Four US Cities","volume":"2012","author":[{"family":"Mukerjee","given":"Shaibal"},{"family":"Smith","given":"Luther"},{"family":"Neas","given":"Lucas"},{"family":"Norris","given":"Gary"}],"issued":{"date-parts":[["2012"]]}}},{"id":1223,"uris":["http://zotero.org/users/9885460/items/QXTXFIY6"],"itemData":{"id":1223,"type":"article-journal","abstract":"In this study, we reviewed the application of land use regression (LUR) models in various regions worldwide to provide insight into approaches utilized for LUR models. We also discuss the variation of air sampling techniques and the transferability capacity of LUR models. A total of 160 articles published between 2009 and 2021 were discovered through keyword searches. The ESCAPE (European Study of Cohorts for Air Pollution Effects) project has become the foremost approach applied in many LUR studies. Alternative air sampling methods such as mobile, campaign and passive sampling have proven to be favourable for estimating air pollutants. The LUR model is generally not transferable from one area to another area. However, several studies found that LUR models are transferable with similar geographic and air pollution ranges and predictor variables. This review only covers studies that created the LUR model for five primary air pollutants. This review also showed that most studies were conducted mainly in areas with high population densities. Therefore, further studies from various regions are highly recommended to explain the wide range of exposures experienced by different populations.","container-title":"Environmental Advances","DOI":"10.1016/j.envadv.2023.100353","ISSN":"26667657","journalAbbreviation":"Environmental Advances","language":"en","page":"100353","source":"DOI.org (Crossref)","title":"Application of land use regression model to assess outdoor air pollution exposure: A review","title-short":"Application of land use regression model to assess outdoor air pollution exposure","volume":"11","author":[{"family":"Azmi","given":"Wan Nurul Farah Wan"},{"family":"Pillai","given":"Thulasyammal Ramiah"},{"family":"Latif","given":"Mohd Talib"},{"family":"Koshy","given":"Shajan"},{"family":"Shaharudin","given":"Rafiza"}],"issued":{"date-parts":[["2023",4]]}}}],"schema":"https://github.com/citation-style-language/schema/raw/master/csl-citation.json"} </w:instrText>
      </w:r>
      <w:r w:rsidR="006714FF">
        <w:rPr>
          <w:highlight w:val="yellow"/>
        </w:rPr>
        <w:fldChar w:fldCharType="separate"/>
      </w:r>
      <w:r w:rsidR="000658B0" w:rsidRPr="000658B0">
        <w:rPr>
          <w:rFonts w:cs="Times"/>
          <w:vertAlign w:val="superscript"/>
        </w:rPr>
        <w:t>6,8,9,15</w:t>
      </w:r>
      <w:r w:rsidR="006714FF">
        <w:rPr>
          <w:highlight w:val="yellow"/>
        </w:rPr>
        <w:fldChar w:fldCharType="end"/>
      </w:r>
    </w:p>
    <w:p w14:paraId="03F1F42A" w14:textId="77777777" w:rsidR="00B92463" w:rsidRDefault="00B92463" w:rsidP="00B92463"/>
    <w:p w14:paraId="0AC881FD" w14:textId="77777777" w:rsidR="00B92463" w:rsidRDefault="00B92463" w:rsidP="00B92463"/>
    <w:p w14:paraId="3BE48BBE" w14:textId="77777777" w:rsidR="00B92463" w:rsidRDefault="00B92463" w:rsidP="00B92463"/>
    <w:p w14:paraId="11951B26" w14:textId="77777777" w:rsidR="00B92463" w:rsidRDefault="00B92463" w:rsidP="00B92463"/>
    <w:p w14:paraId="368E5FC2" w14:textId="77777777" w:rsidR="00B92463" w:rsidRDefault="00B92463" w:rsidP="00B92463"/>
    <w:p w14:paraId="0187334C" w14:textId="77777777" w:rsidR="00B92463" w:rsidRDefault="00B92463" w:rsidP="00B92463"/>
    <w:p w14:paraId="16450C76" w14:textId="77777777" w:rsidR="00B92463" w:rsidRDefault="00B92463" w:rsidP="00B92463"/>
    <w:p w14:paraId="65290074" w14:textId="77777777" w:rsidR="00B92463" w:rsidRDefault="00B92463" w:rsidP="00B92463"/>
    <w:p w14:paraId="26AA80A1" w14:textId="77777777" w:rsidR="00B92463" w:rsidRDefault="00B92463" w:rsidP="00B92463"/>
    <w:p w14:paraId="2F594D54" w14:textId="77777777" w:rsidR="00B92463" w:rsidRDefault="00B92463" w:rsidP="00B92463"/>
    <w:p w14:paraId="474DA0F9" w14:textId="77777777" w:rsidR="00B92463" w:rsidRDefault="00B92463" w:rsidP="00B92463"/>
    <w:p w14:paraId="19A5D706" w14:textId="77777777" w:rsidR="00B92463" w:rsidRDefault="00B92463" w:rsidP="00B92463"/>
    <w:p w14:paraId="4F0792DE" w14:textId="77777777" w:rsidR="00646AE8" w:rsidRDefault="00646AE8" w:rsidP="00B92463"/>
    <w:p w14:paraId="6834F0DE" w14:textId="77777777" w:rsidR="00646AE8" w:rsidRDefault="00646AE8" w:rsidP="00B92463"/>
    <w:p w14:paraId="742FAF7D" w14:textId="77777777" w:rsidR="00B92463" w:rsidRPr="00B92463" w:rsidRDefault="00B92463" w:rsidP="00B92463"/>
    <w:p w14:paraId="71F2B30E" w14:textId="77777777" w:rsidR="006714FF" w:rsidRDefault="006714FF" w:rsidP="00B92463">
      <w:pPr>
        <w:pStyle w:val="VDTableTitle"/>
        <w:spacing w:after="0"/>
      </w:pPr>
      <w:r w:rsidRPr="009E43C8">
        <w:rPr>
          <w:b/>
          <w:bCs/>
        </w:rPr>
        <w:lastRenderedPageBreak/>
        <w:t>Table S1.</w:t>
      </w:r>
      <w:r w:rsidRPr="57EE44F5">
        <w:t xml:space="preserve"> SBTEX LUR equations </w:t>
      </w:r>
      <w:r>
        <w:t>for</w:t>
      </w:r>
      <w:r w:rsidRPr="57EE44F5">
        <w:t xml:space="preserve"> annual average concentrations in the Gulf States from 2008 to 2017 and 2011-2012 performance statistics. Variable naming is as follows: </w:t>
      </w:r>
      <w:proofErr w:type="spellStart"/>
      <w:r w:rsidRPr="57EE44F5">
        <w:t>pSEDC</w:t>
      </w:r>
      <w:r w:rsidRPr="57EE44F5">
        <w:rPr>
          <w:vertAlign w:val="subscript"/>
        </w:rPr>
        <w:t>X</w:t>
      </w:r>
      <w:proofErr w:type="spellEnd"/>
      <w:r w:rsidRPr="57EE44F5">
        <w:rPr>
          <w:vertAlign w:val="subscript"/>
        </w:rPr>
        <w:t xml:space="preserve"> </w:t>
      </w:r>
      <w:r w:rsidRPr="57EE44F5">
        <w:t xml:space="preserve"> for point source SEDC terms with </w:t>
      </w:r>
      <w:r>
        <w:sym w:font="Symbol" w:char="F064"/>
      </w:r>
      <w:r w:rsidRPr="57EE44F5">
        <w:t xml:space="preserve">=X degrees, </w:t>
      </w:r>
      <w:proofErr w:type="spellStart"/>
      <w:r w:rsidRPr="57EE44F5">
        <w:t>npSEDC</w:t>
      </w:r>
      <w:r w:rsidRPr="57EE44F5">
        <w:rPr>
          <w:vertAlign w:val="subscript"/>
        </w:rPr>
        <w:t>Y</w:t>
      </w:r>
      <w:proofErr w:type="spellEnd"/>
      <w:r w:rsidRPr="57EE44F5">
        <w:rPr>
          <w:vertAlign w:val="subscript"/>
        </w:rPr>
        <w:t xml:space="preserve"> </w:t>
      </w:r>
      <w:r w:rsidRPr="57EE44F5">
        <w:t xml:space="preserve"> for nonpoint source SEDC terms with </w:t>
      </w:r>
      <w:r>
        <w:sym w:font="Symbol" w:char="F064"/>
      </w:r>
      <w:r w:rsidRPr="57EE44F5">
        <w:t xml:space="preserve">=Y degrees, </w:t>
      </w:r>
      <w:proofErr w:type="spellStart"/>
      <w:r w:rsidRPr="57EE44F5">
        <w:t>oSEDC</w:t>
      </w:r>
      <w:r w:rsidRPr="57EE44F5">
        <w:rPr>
          <w:vertAlign w:val="subscript"/>
        </w:rPr>
        <w:t>Z</w:t>
      </w:r>
      <w:proofErr w:type="spellEnd"/>
      <w:r w:rsidRPr="57EE44F5">
        <w:rPr>
          <w:vertAlign w:val="subscript"/>
        </w:rPr>
        <w:t xml:space="preserve"> </w:t>
      </w:r>
      <w:r w:rsidRPr="57EE44F5">
        <w:t xml:space="preserve"> for (</w:t>
      </w:r>
      <w:r>
        <w:t>on-road</w:t>
      </w:r>
      <w:r w:rsidRPr="57EE44F5">
        <w:t>) average annual daily traffic (AA</w:t>
      </w:r>
      <w:r>
        <w:t>D</w:t>
      </w:r>
      <w:r w:rsidRPr="57EE44F5">
        <w:t xml:space="preserve">T) SEDC terms with </w:t>
      </w:r>
      <w:r>
        <w:sym w:font="Symbol" w:char="F064"/>
      </w:r>
      <w:r w:rsidRPr="57EE44F5">
        <w:t>=Z degrees.</w:t>
      </w:r>
    </w:p>
    <w:tbl>
      <w:tblPr>
        <w:tblW w:w="9360" w:type="dxa"/>
        <w:tblLayout w:type="fixed"/>
        <w:tblLook w:val="06A0" w:firstRow="1" w:lastRow="0" w:firstColumn="1" w:lastColumn="0" w:noHBand="1" w:noVBand="1"/>
      </w:tblPr>
      <w:tblGrid>
        <w:gridCol w:w="1615"/>
        <w:gridCol w:w="5420"/>
        <w:gridCol w:w="1121"/>
        <w:gridCol w:w="1204"/>
      </w:tblGrid>
      <w:tr w:rsidR="006714FF" w14:paraId="3FE77E6A" w14:textId="77777777" w:rsidTr="00B77C41">
        <w:trPr>
          <w:trHeight w:val="585"/>
        </w:trPr>
        <w:tc>
          <w:tcPr>
            <w:tcW w:w="1615" w:type="dxa"/>
            <w:vMerge w:val="restart"/>
            <w:tcBorders>
              <w:top w:val="single" w:sz="4" w:space="0" w:color="auto"/>
              <w:left w:val="single" w:sz="4" w:space="0" w:color="auto"/>
              <w:bottom w:val="single" w:sz="8" w:space="0" w:color="000000" w:themeColor="text1"/>
              <w:right w:val="nil"/>
            </w:tcBorders>
            <w:shd w:val="clear" w:color="auto" w:fill="FFFFFF" w:themeFill="background1"/>
            <w:tcMar>
              <w:top w:w="15" w:type="dxa"/>
              <w:left w:w="15" w:type="dxa"/>
              <w:right w:w="15" w:type="dxa"/>
            </w:tcMar>
            <w:vAlign w:val="bottom"/>
          </w:tcPr>
          <w:p w14:paraId="06CC2550" w14:textId="77777777" w:rsidR="006714FF" w:rsidRDefault="006714FF" w:rsidP="00B77C41">
            <w:pPr>
              <w:pStyle w:val="TCTableBody"/>
              <w:spacing w:after="0"/>
              <w:jc w:val="center"/>
            </w:pPr>
            <w:r>
              <w:t>Species Name</w:t>
            </w:r>
          </w:p>
        </w:tc>
        <w:tc>
          <w:tcPr>
            <w:tcW w:w="5420"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60C0200A" w14:textId="77777777" w:rsidR="006714FF" w:rsidRDefault="006714FF" w:rsidP="00B77C41">
            <w:pPr>
              <w:pStyle w:val="TCTableBody"/>
              <w:spacing w:after="0"/>
              <w:jc w:val="center"/>
            </w:pPr>
            <w:r w:rsidRPr="57EE44F5">
              <w:t>LUR Equation</w:t>
            </w:r>
          </w:p>
        </w:tc>
        <w:tc>
          <w:tcPr>
            <w:tcW w:w="2325" w:type="dxa"/>
            <w:gridSpan w:val="2"/>
            <w:tcBorders>
              <w:top w:val="single" w:sz="4" w:space="0" w:color="auto"/>
              <w:left w:val="single" w:sz="4" w:space="0" w:color="auto"/>
              <w:bottom w:val="nil"/>
              <w:right w:val="single" w:sz="4" w:space="0" w:color="000000" w:themeColor="text1"/>
            </w:tcBorders>
            <w:shd w:val="clear" w:color="auto" w:fill="FFFFFF" w:themeFill="background1"/>
            <w:tcMar>
              <w:top w:w="15" w:type="dxa"/>
              <w:left w:w="15" w:type="dxa"/>
              <w:right w:w="15" w:type="dxa"/>
            </w:tcMar>
            <w:vAlign w:val="bottom"/>
          </w:tcPr>
          <w:p w14:paraId="4599FF64" w14:textId="77777777" w:rsidR="006714FF" w:rsidRDefault="006714FF" w:rsidP="00B77C41">
            <w:pPr>
              <w:pStyle w:val="TCTableBody"/>
              <w:spacing w:after="0"/>
              <w:jc w:val="center"/>
            </w:pPr>
            <w:r w:rsidRPr="57EE44F5">
              <w:t>2011-2012 Performance</w:t>
            </w:r>
          </w:p>
        </w:tc>
      </w:tr>
      <w:tr w:rsidR="006714FF" w14:paraId="15D30144" w14:textId="77777777" w:rsidTr="00B77C41">
        <w:trPr>
          <w:trHeight w:val="300"/>
        </w:trPr>
        <w:tc>
          <w:tcPr>
            <w:tcW w:w="1615" w:type="dxa"/>
            <w:vMerge/>
            <w:tcBorders>
              <w:left w:val="single" w:sz="4" w:space="0" w:color="auto"/>
              <w:bottom w:val="single" w:sz="4" w:space="0" w:color="auto"/>
              <w:right w:val="single" w:sz="4" w:space="0" w:color="auto"/>
            </w:tcBorders>
            <w:vAlign w:val="bottom"/>
          </w:tcPr>
          <w:p w14:paraId="2EE96F3E" w14:textId="77777777" w:rsidR="006714FF" w:rsidRDefault="006714FF" w:rsidP="00B77C41">
            <w:pPr>
              <w:pStyle w:val="TCTableBody"/>
              <w:spacing w:after="0"/>
              <w:jc w:val="center"/>
            </w:pPr>
          </w:p>
        </w:tc>
        <w:tc>
          <w:tcPr>
            <w:tcW w:w="5420" w:type="dxa"/>
            <w:vMerge/>
            <w:tcBorders>
              <w:left w:val="single" w:sz="4" w:space="0" w:color="auto"/>
              <w:bottom w:val="single" w:sz="4" w:space="0" w:color="auto"/>
              <w:right w:val="single" w:sz="4" w:space="0" w:color="auto"/>
            </w:tcBorders>
            <w:vAlign w:val="bottom"/>
          </w:tcPr>
          <w:p w14:paraId="4C5D62FB" w14:textId="77777777" w:rsidR="006714FF" w:rsidRDefault="006714FF" w:rsidP="00B77C41">
            <w:pPr>
              <w:pStyle w:val="TCTableBody"/>
              <w:spacing w:after="0"/>
              <w:jc w:val="center"/>
            </w:pPr>
          </w:p>
        </w:tc>
        <w:tc>
          <w:tcPr>
            <w:tcW w:w="1121"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5AB1FA2" w14:textId="77777777" w:rsidR="006714FF" w:rsidRDefault="006714FF" w:rsidP="00B77C41">
            <w:pPr>
              <w:pStyle w:val="TCTableBody"/>
              <w:spacing w:after="0"/>
              <w:jc w:val="center"/>
            </w:pPr>
            <w:r w:rsidRPr="57EE44F5">
              <w:t>Pearson R</w:t>
            </w:r>
          </w:p>
        </w:tc>
        <w:tc>
          <w:tcPr>
            <w:tcW w:w="1204" w:type="dxa"/>
            <w:tcBorders>
              <w:top w:val="single" w:sz="4" w:space="0" w:color="auto"/>
              <w:left w:val="single" w:sz="4" w:space="0" w:color="auto"/>
              <w:bottom w:val="single" w:sz="8" w:space="0" w:color="auto"/>
              <w:right w:val="single" w:sz="4" w:space="0" w:color="000000" w:themeColor="text1"/>
            </w:tcBorders>
            <w:shd w:val="clear" w:color="auto" w:fill="FFFFFF" w:themeFill="background1"/>
            <w:tcMar>
              <w:top w:w="15" w:type="dxa"/>
              <w:left w:w="15" w:type="dxa"/>
              <w:right w:w="15" w:type="dxa"/>
            </w:tcMar>
            <w:vAlign w:val="bottom"/>
          </w:tcPr>
          <w:p w14:paraId="00E96BA3" w14:textId="77777777" w:rsidR="006714FF" w:rsidRDefault="006714FF" w:rsidP="00B77C41">
            <w:pPr>
              <w:pStyle w:val="TCTableBody"/>
              <w:spacing w:after="0"/>
              <w:jc w:val="center"/>
            </w:pPr>
            <w:r w:rsidRPr="57EE44F5">
              <w:t>Spearman R</w:t>
            </w:r>
          </w:p>
        </w:tc>
      </w:tr>
      <w:tr w:rsidR="006714FF" w14:paraId="2EAD2B08" w14:textId="77777777" w:rsidTr="00B77C41">
        <w:trPr>
          <w:trHeight w:val="690"/>
        </w:trPr>
        <w:tc>
          <w:tcPr>
            <w:tcW w:w="1615"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center"/>
          </w:tcPr>
          <w:p w14:paraId="5AE45842" w14:textId="77777777" w:rsidR="006714FF" w:rsidRDefault="006714FF" w:rsidP="00B77C41">
            <w:pPr>
              <w:pStyle w:val="TCTableBody"/>
              <w:jc w:val="center"/>
            </w:pPr>
            <w:r w:rsidRPr="57EE44F5">
              <w:t>Styrene</w:t>
            </w:r>
          </w:p>
        </w:tc>
        <w:tc>
          <w:tcPr>
            <w:tcW w:w="5420" w:type="dxa"/>
            <w:tcBorders>
              <w:top w:val="single" w:sz="4" w:space="0" w:color="auto"/>
              <w:left w:val="single" w:sz="4" w:space="0" w:color="auto"/>
              <w:bottom w:val="nil"/>
              <w:right w:val="single" w:sz="4" w:space="0" w:color="auto"/>
            </w:tcBorders>
            <w:shd w:val="clear" w:color="auto" w:fill="FFFFFF" w:themeFill="background1"/>
            <w:tcMar>
              <w:top w:w="15" w:type="dxa"/>
              <w:left w:w="15" w:type="dxa"/>
              <w:right w:w="15" w:type="dxa"/>
            </w:tcMar>
            <w:vAlign w:val="bottom"/>
          </w:tcPr>
          <w:p w14:paraId="051AB70E" w14:textId="77777777" w:rsidR="006714FF" w:rsidRDefault="006714FF" w:rsidP="00B77C41">
            <w:pPr>
              <w:pStyle w:val="TCTableBody"/>
            </w:pPr>
            <w:r w:rsidRPr="57EE44F5">
              <w:t xml:space="preserve">y (ppb) = 0.0117 </w:t>
            </w:r>
            <w:r>
              <w:t xml:space="preserve">(95% CI [-1.1e-2, 3.5e-2], SE= 1.2e-2) </w:t>
            </w:r>
            <w:r w:rsidRPr="57EE44F5">
              <w:t xml:space="preserve">ppb </w:t>
            </w:r>
          </w:p>
          <w:p w14:paraId="6CED526D" w14:textId="77777777" w:rsidR="006714FF" w:rsidRDefault="006714FF" w:rsidP="00B77C41">
            <w:pPr>
              <w:pStyle w:val="TCTableBody"/>
            </w:pPr>
            <w:r w:rsidRPr="57EE44F5">
              <w:t xml:space="preserve">+ 0.0096 </w:t>
            </w:r>
            <w:r>
              <w:t xml:space="preserve">(95% CI [7.0e-3, 1.2e-2], SE= 1.3e-3) </w:t>
            </w:r>
            <w:r w:rsidRPr="57EE44F5">
              <w:t>ppb/lbs</w:t>
            </w:r>
            <w:r w:rsidRPr="57EE44F5">
              <w:rPr>
                <w:vertAlign w:val="superscript"/>
              </w:rPr>
              <w:t>1/2</w:t>
            </w:r>
            <w:r w:rsidRPr="57EE44F5">
              <w:t>*[pSEDC</w:t>
            </w:r>
            <w:r w:rsidRPr="57EE44F5">
              <w:rPr>
                <w:vertAlign w:val="subscript"/>
              </w:rPr>
              <w:t>0.02</w:t>
            </w:r>
            <w:r w:rsidRPr="57EE44F5">
              <w:t xml:space="preserve"> (lbs</w:t>
            </w:r>
            <w:r w:rsidRPr="57EE44F5">
              <w:rPr>
                <w:vertAlign w:val="superscript"/>
              </w:rPr>
              <w:t>1/2</w:t>
            </w:r>
            <w:r w:rsidRPr="57EE44F5">
              <w:t xml:space="preserve">)] </w:t>
            </w:r>
          </w:p>
          <w:p w14:paraId="677FFE3B" w14:textId="77777777" w:rsidR="006714FF" w:rsidRPr="0070756B" w:rsidRDefault="006714FF" w:rsidP="00B77C41">
            <w:pPr>
              <w:pStyle w:val="TCTableBody"/>
              <w:rPr>
                <w:lang w:val="es-ES"/>
              </w:rPr>
            </w:pPr>
            <w:r w:rsidRPr="0070756B">
              <w:rPr>
                <w:lang w:val="es-ES"/>
              </w:rPr>
              <w:t xml:space="preserve">+ 3.2505e-10 </w:t>
            </w:r>
            <w:r>
              <w:t xml:space="preserve">(95% CI [4.1e-11, 6.1e-10], SE= 1.4e-10) </w:t>
            </w:r>
            <w:proofErr w:type="spellStart"/>
            <w:r w:rsidRPr="0070756B">
              <w:rPr>
                <w:lang w:val="es-ES"/>
              </w:rPr>
              <w:t>ppb</w:t>
            </w:r>
            <w:proofErr w:type="spellEnd"/>
            <w:r w:rsidRPr="0070756B">
              <w:rPr>
                <w:lang w:val="es-ES"/>
              </w:rPr>
              <w:t>/(</w:t>
            </w:r>
            <w:proofErr w:type="spellStart"/>
            <w:r w:rsidRPr="0070756B">
              <w:rPr>
                <w:lang w:val="es-ES"/>
              </w:rPr>
              <w:t>vpd</w:t>
            </w:r>
            <w:proofErr w:type="spellEnd"/>
            <w:r w:rsidRPr="0070756B">
              <w:rPr>
                <w:lang w:val="es-ES"/>
              </w:rPr>
              <w:t>)*[oSEDC</w:t>
            </w:r>
            <w:r w:rsidRPr="0070756B">
              <w:rPr>
                <w:vertAlign w:val="subscript"/>
                <w:lang w:val="es-ES"/>
              </w:rPr>
              <w:t>0.3</w:t>
            </w:r>
            <w:r w:rsidRPr="0070756B">
              <w:rPr>
                <w:lang w:val="es-ES"/>
              </w:rPr>
              <w:t xml:space="preserve"> (</w:t>
            </w:r>
            <w:proofErr w:type="spellStart"/>
            <w:r w:rsidRPr="0070756B">
              <w:rPr>
                <w:lang w:val="es-ES"/>
              </w:rPr>
              <w:t>vpd</w:t>
            </w:r>
            <w:proofErr w:type="spellEnd"/>
            <w:r w:rsidRPr="0070756B">
              <w:rPr>
                <w:lang w:val="es-ES"/>
              </w:rPr>
              <w:t xml:space="preserve">)] </w:t>
            </w:r>
          </w:p>
          <w:p w14:paraId="34490729" w14:textId="77777777" w:rsidR="006714FF" w:rsidRPr="0070756B" w:rsidRDefault="006714FF" w:rsidP="00B77C41">
            <w:pPr>
              <w:pStyle w:val="TCTableBody"/>
              <w:rPr>
                <w:lang w:val="es-ES"/>
              </w:rPr>
            </w:pPr>
            <w:r w:rsidRPr="0070756B">
              <w:rPr>
                <w:lang w:val="es-ES"/>
              </w:rPr>
              <w:t xml:space="preserve">+ 8.9647e-7 </w:t>
            </w:r>
            <w:r>
              <w:t xml:space="preserve">(95% CI [-2.2e-7, 2e-6], SE= 5.7e-7) </w:t>
            </w:r>
            <w:proofErr w:type="spellStart"/>
            <w:r w:rsidRPr="0070756B">
              <w:rPr>
                <w:lang w:val="es-ES"/>
              </w:rPr>
              <w:t>ppb</w:t>
            </w:r>
            <w:proofErr w:type="spellEnd"/>
            <w:r w:rsidRPr="0070756B">
              <w:rPr>
                <w:lang w:val="es-ES"/>
              </w:rPr>
              <w:t>/</w:t>
            </w:r>
            <w:proofErr w:type="spellStart"/>
            <w:r w:rsidRPr="0070756B">
              <w:rPr>
                <w:lang w:val="es-ES"/>
              </w:rPr>
              <w:t>lbs</w:t>
            </w:r>
            <w:proofErr w:type="spellEnd"/>
            <w:r w:rsidRPr="0070756B">
              <w:rPr>
                <w:lang w:val="es-ES"/>
              </w:rPr>
              <w:t>*[nSEDC</w:t>
            </w:r>
            <w:r w:rsidRPr="0070756B">
              <w:rPr>
                <w:vertAlign w:val="subscript"/>
                <w:lang w:val="es-ES"/>
              </w:rPr>
              <w:t>1</w:t>
            </w:r>
            <w:r w:rsidRPr="0070756B">
              <w:rPr>
                <w:lang w:val="es-ES"/>
              </w:rPr>
              <w:t xml:space="preserve"> (</w:t>
            </w:r>
            <w:proofErr w:type="spellStart"/>
            <w:r w:rsidRPr="0070756B">
              <w:rPr>
                <w:lang w:val="es-ES"/>
              </w:rPr>
              <w:t>lbs</w:t>
            </w:r>
            <w:proofErr w:type="spellEnd"/>
            <w:r w:rsidRPr="0070756B">
              <w:rPr>
                <w:lang w:val="es-ES"/>
              </w:rPr>
              <w:t xml:space="preserve">)] </w:t>
            </w:r>
          </w:p>
        </w:tc>
        <w:tc>
          <w:tcPr>
            <w:tcW w:w="1121" w:type="dxa"/>
            <w:tcBorders>
              <w:top w:val="single" w:sz="8" w:space="0" w:color="auto"/>
              <w:left w:val="single" w:sz="4" w:space="0" w:color="auto"/>
              <w:bottom w:val="nil"/>
              <w:right w:val="nil"/>
            </w:tcBorders>
            <w:shd w:val="clear" w:color="auto" w:fill="FFFFFF" w:themeFill="background1"/>
            <w:tcMar>
              <w:top w:w="15" w:type="dxa"/>
              <w:left w:w="15" w:type="dxa"/>
              <w:right w:w="15" w:type="dxa"/>
            </w:tcMar>
            <w:vAlign w:val="bottom"/>
          </w:tcPr>
          <w:p w14:paraId="70A46EAF" w14:textId="77777777" w:rsidR="006714FF" w:rsidRDefault="006714FF" w:rsidP="00B77C41">
            <w:pPr>
              <w:pStyle w:val="TCTableBody"/>
              <w:jc w:val="right"/>
            </w:pPr>
            <w:r w:rsidRPr="57EE44F5">
              <w:t>0.670</w:t>
            </w:r>
          </w:p>
        </w:tc>
        <w:tc>
          <w:tcPr>
            <w:tcW w:w="1204"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F3711A7" w14:textId="77777777" w:rsidR="006714FF" w:rsidRDefault="006714FF" w:rsidP="00B77C41">
            <w:pPr>
              <w:pStyle w:val="TCTableBody"/>
              <w:jc w:val="right"/>
            </w:pPr>
            <w:r w:rsidRPr="57EE44F5">
              <w:t>0.564</w:t>
            </w:r>
          </w:p>
        </w:tc>
      </w:tr>
      <w:tr w:rsidR="006714FF" w14:paraId="2892F9B5" w14:textId="77777777" w:rsidTr="00B77C41">
        <w:trPr>
          <w:trHeight w:val="345"/>
        </w:trPr>
        <w:tc>
          <w:tcPr>
            <w:tcW w:w="1615"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44589305" w14:textId="77777777" w:rsidR="006714FF" w:rsidRDefault="006714FF" w:rsidP="00B77C41">
            <w:pPr>
              <w:pStyle w:val="TCTableBody"/>
              <w:jc w:val="center"/>
            </w:pPr>
            <w:r w:rsidRPr="57EE44F5">
              <w:t>Benzene</w:t>
            </w:r>
          </w:p>
        </w:tc>
        <w:tc>
          <w:tcPr>
            <w:tcW w:w="5420"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bottom"/>
          </w:tcPr>
          <w:p w14:paraId="150CFABD" w14:textId="77777777" w:rsidR="006714FF" w:rsidRDefault="006714FF" w:rsidP="00B77C41">
            <w:pPr>
              <w:pStyle w:val="TCTableBody"/>
            </w:pPr>
            <w:r w:rsidRPr="57EE44F5">
              <w:t xml:space="preserve">y (ppb) = 0.2513 </w:t>
            </w:r>
            <w:r>
              <w:t xml:space="preserve">(95% CI [2.3e-1, 2.7e-1], SE= 1.1e-2) </w:t>
            </w:r>
            <w:r w:rsidRPr="57EE44F5">
              <w:t xml:space="preserve">ppb </w:t>
            </w:r>
          </w:p>
          <w:p w14:paraId="2DFBE8EC" w14:textId="77777777" w:rsidR="006714FF" w:rsidRDefault="006714FF" w:rsidP="00B77C41">
            <w:pPr>
              <w:pStyle w:val="TCTableBody"/>
            </w:pPr>
            <w:r w:rsidRPr="57EE44F5">
              <w:t xml:space="preserve">+ 0.0149 </w:t>
            </w:r>
            <w:r>
              <w:t xml:space="preserve">(95% CI [1.3e-2, 1.6e-2], SE= 7.7e-4) </w:t>
            </w:r>
            <w:r w:rsidRPr="57EE44F5">
              <w:t>ppb/lbs</w:t>
            </w:r>
            <w:r w:rsidRPr="57EE44F5">
              <w:rPr>
                <w:vertAlign w:val="superscript"/>
              </w:rPr>
              <w:t>1/2</w:t>
            </w:r>
            <w:r w:rsidRPr="57EE44F5">
              <w:t>*[pSEDC</w:t>
            </w:r>
            <w:r w:rsidRPr="57EE44F5">
              <w:rPr>
                <w:vertAlign w:val="subscript"/>
              </w:rPr>
              <w:t>0.04</w:t>
            </w:r>
            <w:r w:rsidRPr="57EE44F5">
              <w:t xml:space="preserve"> (lbs</w:t>
            </w:r>
            <w:r w:rsidRPr="57EE44F5">
              <w:rPr>
                <w:vertAlign w:val="superscript"/>
              </w:rPr>
              <w:t>1/2</w:t>
            </w:r>
            <w:r w:rsidRPr="57EE44F5">
              <w:t xml:space="preserve">)] </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4236B6B" w14:textId="77777777" w:rsidR="006714FF" w:rsidRDefault="006714FF" w:rsidP="00B77C41">
            <w:pPr>
              <w:pStyle w:val="TCTableBody"/>
              <w:jc w:val="right"/>
            </w:pPr>
            <w:r w:rsidRPr="57EE44F5">
              <w:t>0.781</w:t>
            </w:r>
          </w:p>
        </w:tc>
        <w:tc>
          <w:tcPr>
            <w:tcW w:w="120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DDCBEDD" w14:textId="77777777" w:rsidR="006714FF" w:rsidRDefault="006714FF" w:rsidP="00B77C41">
            <w:pPr>
              <w:pStyle w:val="TCTableBody"/>
              <w:jc w:val="right"/>
            </w:pPr>
            <w:r w:rsidRPr="57EE44F5">
              <w:t>0.666</w:t>
            </w:r>
          </w:p>
        </w:tc>
      </w:tr>
      <w:tr w:rsidR="006714FF" w14:paraId="6DCE0B91" w14:textId="77777777" w:rsidTr="00B77C41">
        <w:trPr>
          <w:trHeight w:val="345"/>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9824AEE" w14:textId="77777777" w:rsidR="006714FF" w:rsidRDefault="006714FF" w:rsidP="00B77C41">
            <w:pPr>
              <w:pStyle w:val="TCTableBody"/>
              <w:jc w:val="center"/>
            </w:pPr>
            <w:r w:rsidRPr="57EE44F5">
              <w:t>Toluene</w:t>
            </w:r>
          </w:p>
        </w:tc>
        <w:tc>
          <w:tcPr>
            <w:tcW w:w="54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6814C74" w14:textId="77777777" w:rsidR="006714FF" w:rsidRDefault="006714FF" w:rsidP="00B77C41">
            <w:pPr>
              <w:pStyle w:val="TCTableBody"/>
            </w:pPr>
            <w:r w:rsidRPr="57EE44F5">
              <w:t xml:space="preserve">y (ppb) = 0.3302 </w:t>
            </w:r>
            <w:r>
              <w:t xml:space="preserve">(95% CI [2.3e-1, 4.3e-1], SE= 4.9e-2) </w:t>
            </w:r>
            <w:r w:rsidRPr="57EE44F5">
              <w:t xml:space="preserve">ppb </w:t>
            </w:r>
          </w:p>
          <w:p w14:paraId="295EB643" w14:textId="77777777" w:rsidR="006714FF" w:rsidRDefault="006714FF" w:rsidP="00B77C41">
            <w:pPr>
              <w:pStyle w:val="TCTableBody"/>
            </w:pPr>
            <w:r w:rsidRPr="57EE44F5">
              <w:t xml:space="preserve">+ 0.0017 </w:t>
            </w:r>
            <w:r>
              <w:t xml:space="preserve">(95% CI [7.2e-4, 2.7e-3], SE= 5.1e-4) </w:t>
            </w:r>
            <w:r w:rsidRPr="57EE44F5">
              <w:t>ppb/lbs</w:t>
            </w:r>
            <w:r w:rsidRPr="57EE44F5">
              <w:rPr>
                <w:vertAlign w:val="superscript"/>
              </w:rPr>
              <w:t>1/2</w:t>
            </w:r>
            <w:r w:rsidRPr="57EE44F5">
              <w:t>*[pSEDC</w:t>
            </w:r>
            <w:r w:rsidRPr="57EE44F5">
              <w:rPr>
                <w:vertAlign w:val="subscript"/>
              </w:rPr>
              <w:t>0.1</w:t>
            </w:r>
            <w:r w:rsidRPr="57EE44F5">
              <w:t xml:space="preserve"> (lbs</w:t>
            </w:r>
            <w:r w:rsidRPr="57EE44F5">
              <w:rPr>
                <w:vertAlign w:val="superscript"/>
              </w:rPr>
              <w:t>1/2</w:t>
            </w:r>
            <w:r w:rsidRPr="57EE44F5">
              <w:t xml:space="preserve">)] </w:t>
            </w:r>
          </w:p>
          <w:p w14:paraId="3183040E" w14:textId="77777777" w:rsidR="006714FF" w:rsidRPr="0070756B" w:rsidRDefault="006714FF" w:rsidP="00B77C41">
            <w:pPr>
              <w:pStyle w:val="TCTableBody"/>
              <w:rPr>
                <w:lang w:val="es-ES"/>
              </w:rPr>
            </w:pPr>
            <w:r w:rsidRPr="0070756B">
              <w:rPr>
                <w:lang w:val="es-ES"/>
              </w:rPr>
              <w:t xml:space="preserve">+ 8.9654e-8 </w:t>
            </w:r>
            <w:r>
              <w:t xml:space="preserve">(95% CI [3.6e-8, 1.4e-7], SE= 2.7e-8) </w:t>
            </w:r>
            <w:proofErr w:type="spellStart"/>
            <w:r w:rsidRPr="0070756B">
              <w:rPr>
                <w:lang w:val="es-ES"/>
              </w:rPr>
              <w:t>ppb</w:t>
            </w:r>
            <w:proofErr w:type="spellEnd"/>
            <w:r w:rsidRPr="0070756B">
              <w:rPr>
                <w:lang w:val="es-ES"/>
              </w:rPr>
              <w:t>/(</w:t>
            </w:r>
            <w:proofErr w:type="spellStart"/>
            <w:r w:rsidRPr="0070756B">
              <w:rPr>
                <w:lang w:val="es-ES"/>
              </w:rPr>
              <w:t>vpd</w:t>
            </w:r>
            <w:proofErr w:type="spellEnd"/>
            <w:r w:rsidRPr="0070756B">
              <w:rPr>
                <w:lang w:val="es-ES"/>
              </w:rPr>
              <w:t>)*[oSEDC</w:t>
            </w:r>
            <w:r w:rsidRPr="0070756B">
              <w:rPr>
                <w:vertAlign w:val="subscript"/>
                <w:lang w:val="es-ES"/>
              </w:rPr>
              <w:t>0.75</w:t>
            </w:r>
            <w:r w:rsidRPr="0070756B">
              <w:rPr>
                <w:lang w:val="es-ES"/>
              </w:rPr>
              <w:t xml:space="preserve"> (</w:t>
            </w:r>
            <w:proofErr w:type="spellStart"/>
            <w:r w:rsidRPr="0070756B">
              <w:rPr>
                <w:lang w:val="es-ES"/>
              </w:rPr>
              <w:t>vpd</w:t>
            </w:r>
            <w:proofErr w:type="spellEnd"/>
            <w:r w:rsidRPr="0070756B">
              <w:rPr>
                <w:lang w:val="es-ES"/>
              </w:rPr>
              <w:t xml:space="preserve">)] </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A3F4D27" w14:textId="77777777" w:rsidR="006714FF" w:rsidRDefault="006714FF" w:rsidP="00B77C41">
            <w:pPr>
              <w:pStyle w:val="TCTableBody"/>
              <w:jc w:val="right"/>
            </w:pPr>
            <w:r w:rsidRPr="57EE44F5">
              <w:t>0.399</w:t>
            </w:r>
          </w:p>
        </w:tc>
        <w:tc>
          <w:tcPr>
            <w:tcW w:w="120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97F9042" w14:textId="77777777" w:rsidR="006714FF" w:rsidRDefault="006714FF" w:rsidP="00B77C41">
            <w:pPr>
              <w:pStyle w:val="TCTableBody"/>
              <w:jc w:val="right"/>
            </w:pPr>
            <w:r w:rsidRPr="57EE44F5">
              <w:t>0.507</w:t>
            </w:r>
          </w:p>
        </w:tc>
      </w:tr>
      <w:tr w:rsidR="006714FF" w14:paraId="1D52AD06" w14:textId="77777777" w:rsidTr="00B77C41">
        <w:trPr>
          <w:trHeight w:val="345"/>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49EA07B" w14:textId="77777777" w:rsidR="006714FF" w:rsidRDefault="006714FF" w:rsidP="00B77C41">
            <w:pPr>
              <w:pStyle w:val="TCTableBody"/>
              <w:jc w:val="center"/>
            </w:pPr>
            <w:r w:rsidRPr="57EE44F5">
              <w:t>Ethylbenzene</w:t>
            </w:r>
          </w:p>
        </w:tc>
        <w:tc>
          <w:tcPr>
            <w:tcW w:w="54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47F4A41" w14:textId="77777777" w:rsidR="006714FF" w:rsidRPr="0070756B" w:rsidRDefault="006714FF" w:rsidP="00B77C41">
            <w:pPr>
              <w:pStyle w:val="TCTableBody"/>
              <w:rPr>
                <w:lang w:val="es-ES"/>
              </w:rPr>
            </w:pPr>
            <w:r w:rsidRPr="0070756B">
              <w:rPr>
                <w:lang w:val="es-ES"/>
              </w:rPr>
              <w:t>y (</w:t>
            </w:r>
            <w:proofErr w:type="spellStart"/>
            <w:r w:rsidRPr="0070756B">
              <w:rPr>
                <w:lang w:val="es-ES"/>
              </w:rPr>
              <w:t>ppb</w:t>
            </w:r>
            <w:proofErr w:type="spellEnd"/>
            <w:r w:rsidRPr="0070756B">
              <w:rPr>
                <w:lang w:val="es-ES"/>
              </w:rPr>
              <w:t xml:space="preserve">) = 0.0125 </w:t>
            </w:r>
            <w:r>
              <w:rPr>
                <w:lang w:val="es-ES"/>
              </w:rPr>
              <w:t xml:space="preserve">(95% CI [-9.4e-2, 1.2e-1], SE= 5.4e-2) </w:t>
            </w:r>
            <w:proofErr w:type="spellStart"/>
            <w:r w:rsidRPr="0070756B">
              <w:rPr>
                <w:lang w:val="es-ES"/>
              </w:rPr>
              <w:t>ppb</w:t>
            </w:r>
            <w:proofErr w:type="spellEnd"/>
            <w:r w:rsidRPr="0070756B">
              <w:rPr>
                <w:lang w:val="es-ES"/>
              </w:rPr>
              <w:t xml:space="preserve"> </w:t>
            </w:r>
          </w:p>
          <w:p w14:paraId="42506299" w14:textId="77777777" w:rsidR="006714FF" w:rsidRPr="0070756B" w:rsidRDefault="006714FF" w:rsidP="00B77C41">
            <w:pPr>
              <w:pStyle w:val="TCTableBody"/>
              <w:rPr>
                <w:lang w:val="es-ES"/>
              </w:rPr>
            </w:pPr>
            <w:r w:rsidRPr="0070756B">
              <w:rPr>
                <w:lang w:val="es-ES"/>
              </w:rPr>
              <w:t xml:space="preserve">+ 5.6141e-8 </w:t>
            </w:r>
            <w:r>
              <w:rPr>
                <w:lang w:val="es-ES"/>
              </w:rPr>
              <w:t xml:space="preserve">(95% CI [2.4e-9, 1.1e-7, SE= 2.7e-8) </w:t>
            </w:r>
            <w:proofErr w:type="spellStart"/>
            <w:r w:rsidRPr="0070756B">
              <w:rPr>
                <w:lang w:val="es-ES"/>
              </w:rPr>
              <w:t>ppb</w:t>
            </w:r>
            <w:proofErr w:type="spellEnd"/>
            <w:r w:rsidRPr="0070756B">
              <w:rPr>
                <w:lang w:val="es-ES"/>
              </w:rPr>
              <w:t>/(</w:t>
            </w:r>
            <w:proofErr w:type="spellStart"/>
            <w:r w:rsidRPr="0070756B">
              <w:rPr>
                <w:lang w:val="es-ES"/>
              </w:rPr>
              <w:t>vpd</w:t>
            </w:r>
            <w:proofErr w:type="spellEnd"/>
            <w:r w:rsidRPr="0070756B">
              <w:rPr>
                <w:lang w:val="es-ES"/>
              </w:rPr>
              <w:t>)*[oSEDC</w:t>
            </w:r>
            <w:r w:rsidRPr="0070756B">
              <w:rPr>
                <w:vertAlign w:val="subscript"/>
                <w:lang w:val="es-ES"/>
              </w:rPr>
              <w:t>0.25</w:t>
            </w:r>
            <w:r w:rsidRPr="0070756B">
              <w:rPr>
                <w:lang w:val="es-ES"/>
              </w:rPr>
              <w:t xml:space="preserve"> (</w:t>
            </w:r>
            <w:proofErr w:type="spellStart"/>
            <w:r w:rsidRPr="0070756B">
              <w:rPr>
                <w:lang w:val="es-ES"/>
              </w:rPr>
              <w:t>vpd</w:t>
            </w:r>
            <w:proofErr w:type="spellEnd"/>
            <w:r w:rsidRPr="0070756B">
              <w:rPr>
                <w:lang w:val="es-ES"/>
              </w:rPr>
              <w:t>)]</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0E37042" w14:textId="77777777" w:rsidR="006714FF" w:rsidRDefault="006714FF" w:rsidP="00B77C41">
            <w:pPr>
              <w:pStyle w:val="TCTableBody"/>
              <w:jc w:val="right"/>
            </w:pPr>
            <w:r w:rsidRPr="57EE44F5">
              <w:t>0.087</w:t>
            </w:r>
          </w:p>
        </w:tc>
        <w:tc>
          <w:tcPr>
            <w:tcW w:w="120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056644D" w14:textId="77777777" w:rsidR="006714FF" w:rsidRDefault="006714FF" w:rsidP="00B77C41">
            <w:pPr>
              <w:pStyle w:val="TCTableBody"/>
              <w:jc w:val="right"/>
            </w:pPr>
            <w:r w:rsidRPr="57EE44F5">
              <w:t>0.042</w:t>
            </w:r>
          </w:p>
        </w:tc>
      </w:tr>
      <w:tr w:rsidR="006714FF" w14:paraId="41A6C530" w14:textId="77777777" w:rsidTr="00B77C41">
        <w:trPr>
          <w:trHeight w:val="345"/>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7C48ADC" w14:textId="77777777" w:rsidR="006714FF" w:rsidRDefault="006714FF" w:rsidP="00B77C41">
            <w:pPr>
              <w:pStyle w:val="TCTableBody"/>
              <w:jc w:val="center"/>
            </w:pPr>
            <w:r w:rsidRPr="57EE44F5">
              <w:lastRenderedPageBreak/>
              <w:t>Xylenes</w:t>
            </w:r>
          </w:p>
        </w:tc>
        <w:tc>
          <w:tcPr>
            <w:tcW w:w="54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A0FDEEF" w14:textId="77777777" w:rsidR="006714FF" w:rsidRPr="0070756B" w:rsidRDefault="006714FF" w:rsidP="00B77C41">
            <w:pPr>
              <w:pStyle w:val="TCTableBody"/>
              <w:rPr>
                <w:lang w:val="es-ES"/>
              </w:rPr>
            </w:pPr>
            <w:r w:rsidRPr="0070756B">
              <w:rPr>
                <w:lang w:val="es-ES"/>
              </w:rPr>
              <w:t>y (</w:t>
            </w:r>
            <w:proofErr w:type="spellStart"/>
            <w:r w:rsidRPr="0070756B">
              <w:rPr>
                <w:lang w:val="es-ES"/>
              </w:rPr>
              <w:t>ppb</w:t>
            </w:r>
            <w:proofErr w:type="spellEnd"/>
            <w:r w:rsidRPr="0070756B">
              <w:rPr>
                <w:lang w:val="es-ES"/>
              </w:rPr>
              <w:t xml:space="preserve">) = 0.1274 </w:t>
            </w:r>
            <w:r>
              <w:t xml:space="preserve">(95% CI [-1.1e-1, 3.7e-1], SE= 1.2e-1) </w:t>
            </w:r>
            <w:proofErr w:type="spellStart"/>
            <w:r w:rsidRPr="0070756B">
              <w:rPr>
                <w:lang w:val="es-ES"/>
              </w:rPr>
              <w:t>ppb</w:t>
            </w:r>
            <w:proofErr w:type="spellEnd"/>
            <w:r w:rsidRPr="0070756B">
              <w:rPr>
                <w:lang w:val="es-ES"/>
              </w:rPr>
              <w:t xml:space="preserve"> </w:t>
            </w:r>
          </w:p>
          <w:p w14:paraId="6DE83576" w14:textId="77777777" w:rsidR="006714FF" w:rsidRPr="0070756B" w:rsidRDefault="006714FF" w:rsidP="00B77C41">
            <w:pPr>
              <w:pStyle w:val="TCTableBody"/>
              <w:rPr>
                <w:lang w:val="es-ES"/>
              </w:rPr>
            </w:pPr>
            <w:r w:rsidRPr="0070756B">
              <w:rPr>
                <w:lang w:val="es-ES"/>
              </w:rPr>
              <w:t xml:space="preserve">+ 3.7118e-8 </w:t>
            </w:r>
            <w:r>
              <w:t xml:space="preserve">(95% CI [9.5e-10, 7.3e-8], SE= 1.8e-8) </w:t>
            </w:r>
            <w:proofErr w:type="spellStart"/>
            <w:r w:rsidRPr="0070756B">
              <w:rPr>
                <w:lang w:val="es-ES"/>
              </w:rPr>
              <w:t>ppb</w:t>
            </w:r>
            <w:proofErr w:type="spellEnd"/>
            <w:r w:rsidRPr="0070756B">
              <w:rPr>
                <w:lang w:val="es-ES"/>
              </w:rPr>
              <w:t>/(</w:t>
            </w:r>
            <w:proofErr w:type="spellStart"/>
            <w:r w:rsidRPr="0070756B">
              <w:rPr>
                <w:lang w:val="es-ES"/>
              </w:rPr>
              <w:t>vpd</w:t>
            </w:r>
            <w:proofErr w:type="spellEnd"/>
            <w:r w:rsidRPr="0070756B">
              <w:rPr>
                <w:lang w:val="es-ES"/>
              </w:rPr>
              <w:t>)*[oSEDC</w:t>
            </w:r>
            <w:r w:rsidRPr="0070756B">
              <w:rPr>
                <w:vertAlign w:val="subscript"/>
                <w:lang w:val="es-ES"/>
              </w:rPr>
              <w:t>0.25</w:t>
            </w:r>
            <w:r w:rsidRPr="0070756B">
              <w:rPr>
                <w:lang w:val="es-ES"/>
              </w:rPr>
              <w:t xml:space="preserve"> (</w:t>
            </w:r>
            <w:proofErr w:type="spellStart"/>
            <w:r w:rsidRPr="0070756B">
              <w:rPr>
                <w:lang w:val="es-ES"/>
              </w:rPr>
              <w:t>vpd</w:t>
            </w:r>
            <w:proofErr w:type="spellEnd"/>
            <w:r w:rsidRPr="0070756B">
              <w:rPr>
                <w:lang w:val="es-ES"/>
              </w:rPr>
              <w:t>)]</w:t>
            </w:r>
          </w:p>
        </w:tc>
        <w:tc>
          <w:tcPr>
            <w:tcW w:w="112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057EA61" w14:textId="77777777" w:rsidR="006714FF" w:rsidRDefault="006714FF" w:rsidP="00B77C41">
            <w:pPr>
              <w:pStyle w:val="TCTableBody"/>
              <w:jc w:val="right"/>
            </w:pPr>
            <w:r w:rsidRPr="57EE44F5">
              <w:t>0.087</w:t>
            </w:r>
          </w:p>
        </w:tc>
        <w:tc>
          <w:tcPr>
            <w:tcW w:w="120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7C73E1D" w14:textId="77777777" w:rsidR="006714FF" w:rsidRDefault="006714FF" w:rsidP="00B77C41">
            <w:pPr>
              <w:pStyle w:val="TCTableBody"/>
              <w:jc w:val="right"/>
            </w:pPr>
            <w:r w:rsidRPr="57EE44F5">
              <w:t>0.031</w:t>
            </w:r>
          </w:p>
        </w:tc>
      </w:tr>
    </w:tbl>
    <w:p w14:paraId="35E7A4D2" w14:textId="77777777" w:rsidR="006714FF" w:rsidRDefault="006714FF" w:rsidP="006714FF">
      <w:pPr>
        <w:spacing w:after="0"/>
      </w:pPr>
    </w:p>
    <w:p w14:paraId="3E62D328" w14:textId="77777777" w:rsidR="006714FF" w:rsidRPr="009E43C8" w:rsidRDefault="006714FF" w:rsidP="006714FF">
      <w:pPr>
        <w:pStyle w:val="TESupportingInformation"/>
        <w:rPr>
          <w:b/>
          <w:bCs/>
        </w:rPr>
      </w:pPr>
      <w:r w:rsidRPr="009E43C8">
        <w:rPr>
          <w:b/>
          <w:bCs/>
        </w:rPr>
        <w:t>S4. Data from the Air Quality Model</w:t>
      </w:r>
    </w:p>
    <w:p w14:paraId="704B7819" w14:textId="201E5D18" w:rsidR="006714FF" w:rsidRPr="00DF2D20" w:rsidRDefault="006714FF" w:rsidP="006714FF">
      <w:pPr>
        <w:pStyle w:val="TESupportingInformation"/>
      </w:pPr>
      <w:r w:rsidRPr="00DF2D20">
        <w:t xml:space="preserve">This study builds on previous research that developed an air quality modeling system using CAMx7.0, which accounts for atmospheric physical and chemical processes to predict spatially and temporally enhanced SBTEX concentrations in the Gulf States. Hazardous air pollutant (HAP) reporting (except benzene) to the NEI is voluntary, resulting in incomplete emission inputs. Missing HAP emissions were identified and imputed and used as </w:t>
      </w:r>
      <w:proofErr w:type="spellStart"/>
      <w:r w:rsidRPr="00DF2D20">
        <w:t>CAMx</w:t>
      </w:r>
      <w:proofErr w:type="spellEnd"/>
      <w:r w:rsidRPr="00DF2D20">
        <w:t xml:space="preserve"> inputs with meteorological data from </w:t>
      </w:r>
      <w:r w:rsidRPr="00C90FB4">
        <w:t xml:space="preserve">the </w:t>
      </w:r>
      <w:r w:rsidRPr="00DF2D20">
        <w:t xml:space="preserve">Weather Research and Forecasting </w:t>
      </w:r>
      <w:r>
        <w:t xml:space="preserve">Model </w:t>
      </w:r>
      <w:r w:rsidRPr="00DF2D20">
        <w:t>(WRF), via the HAPs Imputation (HAPI) tool.</w:t>
      </w:r>
      <w:r>
        <w:fldChar w:fldCharType="begin"/>
      </w:r>
      <w:r w:rsidR="00231C44">
        <w:instrText xml:space="preserve"> ADDIN ZOTERO_ITEM CSL_CITATION {"citationID":"mWBMNJai","properties":{"formattedCitation":"\\super 16\\nosupersub{}","plainCitation":"16","noteIndex":0},"citationItems":[{"id":537,"uris":["http://zotero.org/users/9885460/items/HCMM6HSN"],"itemData":{"id":537,"type":"article-journal","abstract":"Styrene, benzene, toluene, ethylbenzene, and xylenes (SBTEX) are established neurotoxicants. SBTEX contains hazardous air pollutants (HAPs) that are released from the petrochemical industry, combustion process, transport emission, and solvent usage sources. Although several SBTEX toxic assessment studies have been conducted, they have mainly relied on ambient measurements to estimate exposure and limit their scope to specific locations and observational periods. To overcome these spatiotemporal limitations, an air quality modeling system over the US Gulf region was created, predicting the spatially and temporally enhanced SBTEX modeling concentrations from May to September 2012. Due to the incompleteness of SBTEX in the official US Environmental Protection Agency (EPA) National Emission Inventory (NEI), the Hazardous Air Pollutions Imputation (HAPI) program was used to identify and estimate the missing HAP emissions. The improved emission data were processed to generate the chemically speciated hourly gridded emission inputs for the Comprehensive Air Quality Model with Extensions (CAMx) chemical transport model to simulate the SBTEX concentrations over the Gulf modeling region. SBTEX pollutants were modeled using the Reactive Tracer feature in CAMx that accounts for their chemical and physical processes in the atmosphere. The data show that the major SBTEX emissions in this region are contributed by mobile emissions (45 %), wildfire (30 %), and industry (26 %). Most SBTEX emissions are emitted during daytime hours (local time 14:00–17:00), and the emission rate in the model domain is about 20–40 t h−1, which is about 4 times higher than that in the nighttime (local time 24:00–04:00, about 4–10 t h−1). High concentrations of SBTEX (above 1 ppb) occurred near the cities close to the I-10 interstate highway (Houston, Beaumont, Lake Charles, Lafayette, Baton Rouge, New Orleans, and Mobile) and other metropolitan cities (Shreveport and Dallas). High styrene concentrations were co-located with industrial sources, which contribute the most to the styrene emissions. The HAPI program successfully estimated missing emissions of styrene from the chemical industry. The change increased total styrene emissions by 22 %, resulting in maximum ambient concentrations increasing from 0.035 to 1.75 ppb across the model domain. The predicted SBTEX concentrations with imputed emissions present good agreement with observational data, with a correlation coefficient (R) of 0.75 (0.46 to 0.77 for individual SBTEX species) and a normalized mean bias (NMB) of −5.6 % (−24.9 % to 32.1 % for the individual SBTEX species), suggesting their value for supporting any SBTEX-related human health studies in the Gulf region. The SBTEX data were published at Zenodo (https://doi.org/10.5281/zenodo.7967541) (Wang et al., 2023), and the HAPI tool was also published at Zenodo (https://doi.org/10.5281/zenodo.7987106) (Wang and Baek, 2023).","container-title":"Earth System Science Data","DOI":"10.5194/essd-15-5261-2023","ISSN":"1866-3508","issue":"11","language":"English","note":"publisher: Copernicus GmbH","page":"5261-5279","source":"Copernicus Online Journals","title":"Spatiotemporally resolved emissions and concentrations of styrene, benzene, toluene, ethylbenzene, and xylenes (SBTEX) in the US Gulf region","volume":"15","author":[{"family":"Wang","given":"Chi-Tsan"},{"family":"Baek","given":"Bok H."},{"family":"Vizuete","given":"William"},{"family":"Engel","given":"Lawrence S."},{"family":"Xing","given":"Jia"},{"family":"Green","given":"Jaime"},{"family":"Serre","given":"Marc"},{"family":"Strott","given":"Richard"},{"family":"Bowden","given":"Jared"},{"family":"Woo","given":"Jung-Hun"}],"issued":{"date-parts":[["2023",11,28]]}}}],"schema":"https://github.com/citation-style-language/schema/raw/master/csl-citation.json"} </w:instrText>
      </w:r>
      <w:r>
        <w:fldChar w:fldCharType="separate"/>
      </w:r>
      <w:r w:rsidR="000658B0" w:rsidRPr="000658B0">
        <w:rPr>
          <w:rFonts w:cs="Times"/>
          <w:vertAlign w:val="superscript"/>
        </w:rPr>
        <w:t>16</w:t>
      </w:r>
      <w:r>
        <w:fldChar w:fldCharType="end"/>
      </w:r>
    </w:p>
    <w:p w14:paraId="1A4B5DBB" w14:textId="760AF20E" w:rsidR="006714FF" w:rsidRPr="00D34556" w:rsidRDefault="006714FF" w:rsidP="006714FF">
      <w:pPr>
        <w:pStyle w:val="TESupportingInformation"/>
      </w:pPr>
      <w:proofErr w:type="spellStart"/>
      <w:r>
        <w:t>CAMx</w:t>
      </w:r>
      <w:proofErr w:type="spellEnd"/>
      <w:r>
        <w:t xml:space="preserve"> (+HAPI) b</w:t>
      </w:r>
      <w:r w:rsidRPr="699CB12C">
        <w:t>enzene estimates used in th</w:t>
      </w:r>
      <w:r>
        <w:t>e present</w:t>
      </w:r>
      <w:r w:rsidRPr="699CB12C">
        <w:t xml:space="preserve"> study were </w:t>
      </w:r>
      <w:r>
        <w:t xml:space="preserve">leveraged </w:t>
      </w:r>
      <w:r w:rsidRPr="699CB12C">
        <w:t>from the core chemical transport model (</w:t>
      </w:r>
      <w:r w:rsidRPr="699CB12C">
        <w:rPr>
          <w:i/>
          <w:iCs/>
        </w:rPr>
        <w:t>i.e.</w:t>
      </w:r>
      <w:r w:rsidRPr="699CB12C">
        <w:t>, model</w:t>
      </w:r>
      <w:r>
        <w:t xml:space="preserve"> species</w:t>
      </w:r>
      <w:r w:rsidRPr="699CB12C">
        <w:t xml:space="preserve"> ‘BENZ’), while </w:t>
      </w:r>
      <w:r>
        <w:t>styrene, toluene, ethylbenzene, and xylenes (STEX)</w:t>
      </w:r>
      <w:r w:rsidRPr="699CB12C">
        <w:t xml:space="preserve"> estimates were estimated using an explicit reactive tracer</w:t>
      </w:r>
      <w:r>
        <w:t xml:space="preserve"> approach.</w:t>
      </w:r>
      <w:r>
        <w:fldChar w:fldCharType="begin"/>
      </w:r>
      <w:r w:rsidR="00231C44">
        <w:instrText xml:space="preserve"> ADDIN ZOTERO_ITEM CSL_CITATION {"citationID":"ZhKk882d","properties":{"formattedCitation":"\\super 16\\nosupersub{}","plainCitation":"16","noteIndex":0},"citationItems":[{"id":537,"uris":["http://zotero.org/users/9885460/items/HCMM6HSN"],"itemData":{"id":537,"type":"article-journal","abstract":"Styrene, benzene, toluene, ethylbenzene, and xylenes (SBTEX) are established neurotoxicants. SBTEX contains hazardous air pollutants (HAPs) that are released from the petrochemical industry, combustion process, transport emission, and solvent usage sources. Although several SBTEX toxic assessment studies have been conducted, they have mainly relied on ambient measurements to estimate exposure and limit their scope to specific locations and observational periods. To overcome these spatiotemporal limitations, an air quality modeling system over the US Gulf region was created, predicting the spatially and temporally enhanced SBTEX modeling concentrations from May to September 2012. Due to the incompleteness of SBTEX in the official US Environmental Protection Agency (EPA) National Emission Inventory (NEI), the Hazardous Air Pollutions Imputation (HAPI) program was used to identify and estimate the missing HAP emissions. The improved emission data were processed to generate the chemically speciated hourly gridded emission inputs for the Comprehensive Air Quality Model with Extensions (CAMx) chemical transport model to simulate the SBTEX concentrations over the Gulf modeling region. SBTEX pollutants were modeled using the Reactive Tracer feature in CAMx that accounts for their chemical and physical processes in the atmosphere. The data show that the major SBTEX emissions in this region are contributed by mobile emissions (45 %), wildfire (30 %), and industry (26 %). Most SBTEX emissions are emitted during daytime hours (local time 14:00–17:00), and the emission rate in the model domain is about 20–40 t h−1, which is about 4 times higher than that in the nighttime (local time 24:00–04:00, about 4–10 t h−1). High concentrations of SBTEX (above 1 ppb) occurred near the cities close to the I-10 interstate highway (Houston, Beaumont, Lake Charles, Lafayette, Baton Rouge, New Orleans, and Mobile) and other metropolitan cities (Shreveport and Dallas). High styrene concentrations were co-located with industrial sources, which contribute the most to the styrene emissions. The HAPI program successfully estimated missing emissions of styrene from the chemical industry. The change increased total styrene emissions by 22 %, resulting in maximum ambient concentrations increasing from 0.035 to 1.75 ppb across the model domain. The predicted SBTEX concentrations with imputed emissions present good agreement with observational data, with a correlation coefficient (R) of 0.75 (0.46 to 0.77 for individual SBTEX species) and a normalized mean bias (NMB) of −5.6 % (−24.9 % to 32.1 % for the individual SBTEX species), suggesting their value for supporting any SBTEX-related human health studies in the Gulf region. The SBTEX data were published at Zenodo (https://doi.org/10.5281/zenodo.7967541) (Wang et al., 2023), and the HAPI tool was also published at Zenodo (https://doi.org/10.5281/zenodo.7987106) (Wang and Baek, 2023).","container-title":"Earth System Science Data","DOI":"10.5194/essd-15-5261-2023","ISSN":"1866-3508","issue":"11","language":"English","note":"publisher: Copernicus GmbH","page":"5261-5279","source":"Copernicus Online Journals","title":"Spatiotemporally resolved emissions and concentrations of styrene, benzene, toluene, ethylbenzene, and xylenes (SBTEX) in the US Gulf region","volume":"15","author":[{"family":"Wang","given":"Chi-Tsan"},{"family":"Baek","given":"Bok H."},{"family":"Vizuete","given":"William"},{"family":"Engel","given":"Lawrence S."},{"family":"Xing","given":"Jia"},{"family":"Green","given":"Jaime"},{"family":"Serre","given":"Marc"},{"family":"Strott","given":"Richard"},{"family":"Bowden","given":"Jared"},{"family":"Woo","given":"Jung-Hun"}],"issued":{"date-parts":[["2023",11,28]]}}}],"schema":"https://github.com/citation-style-language/schema/raw/master/csl-citation.json"} </w:instrText>
      </w:r>
      <w:r>
        <w:fldChar w:fldCharType="separate"/>
      </w:r>
      <w:r w:rsidR="000658B0" w:rsidRPr="000658B0">
        <w:rPr>
          <w:rFonts w:cs="Times"/>
          <w:vertAlign w:val="superscript"/>
        </w:rPr>
        <w:t>16</w:t>
      </w:r>
      <w:r>
        <w:fldChar w:fldCharType="end"/>
      </w:r>
      <w:r>
        <w:t xml:space="preserve"> </w:t>
      </w:r>
      <w:r w:rsidRPr="00DF2D20">
        <w:t xml:space="preserve">Explicit HAP species cannot be directly obtained from </w:t>
      </w:r>
      <w:proofErr w:type="spellStart"/>
      <w:r w:rsidRPr="00DF2D20">
        <w:t>CAMx</w:t>
      </w:r>
      <w:proofErr w:type="spellEnd"/>
      <w:r w:rsidRPr="00DF2D20">
        <w:t xml:space="preserve"> because their chemical mechanisms are not developed in the current version of </w:t>
      </w:r>
      <w:proofErr w:type="spellStart"/>
      <w:r w:rsidRPr="00DF2D20">
        <w:t>CAMx</w:t>
      </w:r>
      <w:proofErr w:type="spellEnd"/>
      <w:r w:rsidRPr="00DF2D20">
        <w:t xml:space="preserve">. To model species-specific STEX concentrations, the Reactive Tracer feature of </w:t>
      </w:r>
      <w:proofErr w:type="spellStart"/>
      <w:r w:rsidRPr="00DF2D20">
        <w:t>CAMx</w:t>
      </w:r>
      <w:proofErr w:type="spellEnd"/>
      <w:r w:rsidRPr="00DF2D20">
        <w:t xml:space="preserve"> was used, which</w:t>
      </w:r>
      <w:r>
        <w:t xml:space="preserve">, like the </w:t>
      </w:r>
      <w:proofErr w:type="spellStart"/>
      <w:r>
        <w:t>CAMx</w:t>
      </w:r>
      <w:proofErr w:type="spellEnd"/>
      <w:r>
        <w:t xml:space="preserve"> core model, accounts for physical transport, chemical deposition, and chemical decay, however, it also</w:t>
      </w:r>
      <w:r w:rsidRPr="00DF2D20">
        <w:t xml:space="preserve"> accounts for second-order chemical decay rates</w:t>
      </w:r>
      <w:r>
        <w:t>.</w:t>
      </w:r>
      <w:r>
        <w:fldChar w:fldCharType="begin"/>
      </w:r>
      <w:r w:rsidR="00231C44">
        <w:instrText xml:space="preserve"> ADDIN ZOTERO_ITEM CSL_CITATION {"citationID":"rTBB2WHG","properties":{"formattedCitation":"\\super 16\\nosupersub{}","plainCitation":"16","noteIndex":0},"citationItems":[{"id":537,"uris":["http://zotero.org/users/9885460/items/HCMM6HSN"],"itemData":{"id":537,"type":"article-journal","abstract":"Styrene, benzene, toluene, ethylbenzene, and xylenes (SBTEX) are established neurotoxicants. SBTEX contains hazardous air pollutants (HAPs) that are released from the petrochemical industry, combustion process, transport emission, and solvent usage sources. Although several SBTEX toxic assessment studies have been conducted, they have mainly relied on ambient measurements to estimate exposure and limit their scope to specific locations and observational periods. To overcome these spatiotemporal limitations, an air quality modeling system over the US Gulf region was created, predicting the spatially and temporally enhanced SBTEX modeling concentrations from May to September 2012. Due to the incompleteness of SBTEX in the official US Environmental Protection Agency (EPA) National Emission Inventory (NEI), the Hazardous Air Pollutions Imputation (HAPI) program was used to identify and estimate the missing HAP emissions. The improved emission data were processed to generate the chemically speciated hourly gridded emission inputs for the Comprehensive Air Quality Model with Extensions (CAMx) chemical transport model to simulate the SBTEX concentrations over the Gulf modeling region. SBTEX pollutants were modeled using the Reactive Tracer feature in CAMx that accounts for their chemical and physical processes in the atmosphere. The data show that the major SBTEX emissions in this region are contributed by mobile emissions (45 %), wildfire (30 %), and industry (26 %). Most SBTEX emissions are emitted during daytime hours (local time 14:00–17:00), and the emission rate in the model domain is about 20–40 t h−1, which is about 4 times higher than that in the nighttime (local time 24:00–04:00, about 4–10 t h−1). High concentrations of SBTEX (above 1 ppb) occurred near the cities close to the I-10 interstate highway (Houston, Beaumont, Lake Charles, Lafayette, Baton Rouge, New Orleans, and Mobile) and other metropolitan cities (Shreveport and Dallas). High styrene concentrations were co-located with industrial sources, which contribute the most to the styrene emissions. The HAPI program successfully estimated missing emissions of styrene from the chemical industry. The change increased total styrene emissions by 22 %, resulting in maximum ambient concentrations increasing from 0.035 to 1.75 ppb across the model domain. The predicted SBTEX concentrations with imputed emissions present good agreement with observational data, with a correlation coefficient (R) of 0.75 (0.46 to 0.77 for individual SBTEX species) and a normalized mean bias (NMB) of −5.6 % (−24.9 % to 32.1 % for the individual SBTEX species), suggesting their value for supporting any SBTEX-related human health studies in the Gulf region. The SBTEX data were published at Zenodo (https://doi.org/10.5281/zenodo.7967541) (Wang et al., 2023), and the HAPI tool was also published at Zenodo (https://doi.org/10.5281/zenodo.7987106) (Wang and Baek, 2023).","container-title":"Earth System Science Data","DOI":"10.5194/essd-15-5261-2023","ISSN":"1866-3508","issue":"11","language":"English","note":"publisher: Copernicus GmbH","page":"5261-5279","source":"Copernicus Online Journals","title":"Spatiotemporally resolved emissions and concentrations of styrene, benzene, toluene, ethylbenzene, and xylenes (SBTEX) in the US Gulf region","volume":"15","author":[{"family":"Wang","given":"Chi-Tsan"},{"family":"Baek","given":"Bok H."},{"family":"Vizuete","given":"William"},{"family":"Engel","given":"Lawrence S."},{"family":"Xing","given":"Jia"},{"family":"Green","given":"Jaime"},{"family":"Serre","given":"Marc"},{"family":"Strott","given":"Richard"},{"family":"Bowden","given":"Jared"},{"family":"Woo","given":"Jung-Hun"}],"issued":{"date-parts":[["2023",11,28]]}}}],"schema":"https://github.com/citation-style-language/schema/raw/master/csl-citation.json"} </w:instrText>
      </w:r>
      <w:r>
        <w:fldChar w:fldCharType="separate"/>
      </w:r>
      <w:r w:rsidR="000658B0" w:rsidRPr="000658B0">
        <w:rPr>
          <w:rFonts w:cs="Times"/>
          <w:vertAlign w:val="superscript"/>
        </w:rPr>
        <w:t>16</w:t>
      </w:r>
      <w:r>
        <w:fldChar w:fldCharType="end"/>
      </w:r>
      <w:r w:rsidRPr="00DF2D20">
        <w:t xml:space="preserve"> </w:t>
      </w:r>
    </w:p>
    <w:p w14:paraId="58579225" w14:textId="5D1F9D1A" w:rsidR="006714FF" w:rsidRDefault="006714FF" w:rsidP="006714FF">
      <w:pPr>
        <w:pStyle w:val="TESupportingInformation"/>
      </w:pPr>
      <w:r>
        <w:t xml:space="preserve">Compared to the LUR model developed in this study, </w:t>
      </w:r>
      <w:proofErr w:type="spellStart"/>
      <w:r>
        <w:t>CAMx</w:t>
      </w:r>
      <w:proofErr w:type="spellEnd"/>
      <w:r>
        <w:t xml:space="preserve"> estimates account for seasonality of SBTEX because they are developed with consideration for hourly gridded meteorological data </w:t>
      </w:r>
      <w:r>
        <w:lastRenderedPageBreak/>
        <w:t>from the state of science WRF meteorology model, physical deposition and chemical reaction rates, and hourly-gridded emissions inventory.</w:t>
      </w:r>
      <w:r>
        <w:fldChar w:fldCharType="begin"/>
      </w:r>
      <w:r w:rsidR="00231C44">
        <w:instrText xml:space="preserve"> ADDIN ZOTERO_ITEM CSL_CITATION {"citationID":"Z3UydI9w","properties":{"formattedCitation":"\\super 16\\nosupersub{}","plainCitation":"16","noteIndex":0},"citationItems":[{"id":537,"uris":["http://zotero.org/users/9885460/items/HCMM6HSN"],"itemData":{"id":537,"type":"article-journal","abstract":"Styrene, benzene, toluene, ethylbenzene, and xylenes (SBTEX) are established neurotoxicants. SBTEX contains hazardous air pollutants (HAPs) that are released from the petrochemical industry, combustion process, transport emission, and solvent usage sources. Although several SBTEX toxic assessment studies have been conducted, they have mainly relied on ambient measurements to estimate exposure and limit their scope to specific locations and observational periods. To overcome these spatiotemporal limitations, an air quality modeling system over the US Gulf region was created, predicting the spatially and temporally enhanced SBTEX modeling concentrations from May to September 2012. Due to the incompleteness of SBTEX in the official US Environmental Protection Agency (EPA) National Emission Inventory (NEI), the Hazardous Air Pollutions Imputation (HAPI) program was used to identify and estimate the missing HAP emissions. The improved emission data were processed to generate the chemically speciated hourly gridded emission inputs for the Comprehensive Air Quality Model with Extensions (CAMx) chemical transport model to simulate the SBTEX concentrations over the Gulf modeling region. SBTEX pollutants were modeled using the Reactive Tracer feature in CAMx that accounts for their chemical and physical processes in the atmosphere. The data show that the major SBTEX emissions in this region are contributed by mobile emissions (45 %), wildfire (30 %), and industry (26 %). Most SBTEX emissions are emitted during daytime hours (local time 14:00–17:00), and the emission rate in the model domain is about 20–40 t h−1, which is about 4 times higher than that in the nighttime (local time 24:00–04:00, about 4–10 t h−1). High concentrations of SBTEX (above 1 ppb) occurred near the cities close to the I-10 interstate highway (Houston, Beaumont, Lake Charles, Lafayette, Baton Rouge, New Orleans, and Mobile) and other metropolitan cities (Shreveport and Dallas). High styrene concentrations were co-located with industrial sources, which contribute the most to the styrene emissions. The HAPI program successfully estimated missing emissions of styrene from the chemical industry. The change increased total styrene emissions by 22 %, resulting in maximum ambient concentrations increasing from 0.035 to 1.75 ppb across the model domain. The predicted SBTEX concentrations with imputed emissions present good agreement with observational data, with a correlation coefficient (R) of 0.75 (0.46 to 0.77 for individual SBTEX species) and a normalized mean bias (NMB) of −5.6 % (−24.9 % to 32.1 % for the individual SBTEX species), suggesting their value for supporting any SBTEX-related human health studies in the Gulf region. The SBTEX data were published at Zenodo (https://doi.org/10.5281/zenodo.7967541) (Wang et al., 2023), and the HAPI tool was also published at Zenodo (https://doi.org/10.5281/zenodo.7987106) (Wang and Baek, 2023).","container-title":"Earth System Science Data","DOI":"10.5194/essd-15-5261-2023","ISSN":"1866-3508","issue":"11","language":"English","note":"publisher: Copernicus GmbH","page":"5261-5279","source":"Copernicus Online Journals","title":"Spatiotemporally resolved emissions and concentrations of styrene, benzene, toluene, ethylbenzene, and xylenes (SBTEX) in the US Gulf region","volume":"15","author":[{"family":"Wang","given":"Chi-Tsan"},{"family":"Baek","given":"Bok H."},{"family":"Vizuete","given":"William"},{"family":"Engel","given":"Lawrence S."},{"family":"Xing","given":"Jia"},{"family":"Green","given":"Jaime"},{"family":"Serre","given":"Marc"},{"family":"Strott","given":"Richard"},{"family":"Bowden","given":"Jared"},{"family":"Woo","given":"Jung-Hun"}],"issued":{"date-parts":[["2023",11,28]]}}}],"schema":"https://github.com/citation-style-language/schema/raw/master/csl-citation.json"} </w:instrText>
      </w:r>
      <w:r>
        <w:fldChar w:fldCharType="separate"/>
      </w:r>
      <w:r w:rsidR="000658B0" w:rsidRPr="000658B0">
        <w:rPr>
          <w:rFonts w:cs="Times"/>
          <w:vertAlign w:val="superscript"/>
        </w:rPr>
        <w:t>16</w:t>
      </w:r>
      <w:r>
        <w:fldChar w:fldCharType="end"/>
      </w:r>
      <w:r>
        <w:t xml:space="preserve"> </w:t>
      </w:r>
    </w:p>
    <w:p w14:paraId="328E6CA9" w14:textId="77777777" w:rsidR="006714FF" w:rsidRPr="00DF2D20" w:rsidRDefault="006714FF" w:rsidP="006714FF">
      <w:pPr>
        <w:pStyle w:val="TESupportingInformation"/>
      </w:pPr>
      <w:r w:rsidRPr="00DF2D20">
        <w:t xml:space="preserve">A natural logarithm transformation was applied to </w:t>
      </w:r>
      <w:proofErr w:type="spellStart"/>
      <w:r w:rsidRPr="00DF2D20">
        <w:t>CAMx</w:t>
      </w:r>
      <w:proofErr w:type="spellEnd"/>
      <w:r w:rsidRPr="00DF2D20">
        <w:t xml:space="preserve"> estimates to yield more normally distributed estimates as shown in Figure S3.</w:t>
      </w:r>
    </w:p>
    <w:p w14:paraId="1CEB535B" w14:textId="77777777" w:rsidR="006714FF" w:rsidRDefault="006714FF" w:rsidP="006714FF">
      <w:pPr>
        <w:spacing w:after="0"/>
        <w:rPr>
          <w:rFonts w:ascii="Times New Roman" w:hAnsi="Times New Roman"/>
          <w:sz w:val="22"/>
          <w:szCs w:val="22"/>
        </w:rPr>
      </w:pPr>
    </w:p>
    <w:p w14:paraId="0AE99A3C" w14:textId="77777777" w:rsidR="006714FF" w:rsidRDefault="006714FF" w:rsidP="006714FF">
      <w:pPr>
        <w:spacing w:after="0"/>
        <w:rPr>
          <w:rFonts w:ascii="Times New Roman" w:hAnsi="Times New Roman"/>
          <w:sz w:val="22"/>
          <w:szCs w:val="22"/>
        </w:rPr>
      </w:pPr>
    </w:p>
    <w:p w14:paraId="3ECEB0E9" w14:textId="77777777" w:rsidR="006714FF" w:rsidRDefault="006714FF" w:rsidP="006714FF">
      <w:pPr>
        <w:spacing w:after="0"/>
        <w:rPr>
          <w:rFonts w:ascii="Times New Roman" w:hAnsi="Times New Roman"/>
          <w:sz w:val="22"/>
          <w:szCs w:val="22"/>
        </w:rPr>
      </w:pPr>
    </w:p>
    <w:p w14:paraId="1A65AE91" w14:textId="77777777" w:rsidR="006714FF" w:rsidRDefault="006714FF" w:rsidP="006714FF">
      <w:pPr>
        <w:spacing w:after="0"/>
        <w:rPr>
          <w:rFonts w:ascii="Times New Roman" w:hAnsi="Times New Roman"/>
          <w:sz w:val="22"/>
          <w:szCs w:val="22"/>
        </w:rPr>
      </w:pPr>
    </w:p>
    <w:p w14:paraId="6E367436" w14:textId="77777777" w:rsidR="00B92463" w:rsidRDefault="00B92463" w:rsidP="006714FF">
      <w:pPr>
        <w:spacing w:after="0"/>
        <w:rPr>
          <w:rFonts w:ascii="Times New Roman" w:hAnsi="Times New Roman"/>
          <w:sz w:val="22"/>
          <w:szCs w:val="22"/>
        </w:rPr>
      </w:pPr>
    </w:p>
    <w:p w14:paraId="58B0BAF9" w14:textId="77777777" w:rsidR="00B92463" w:rsidRDefault="00B92463" w:rsidP="006714FF">
      <w:pPr>
        <w:spacing w:after="0"/>
        <w:rPr>
          <w:rFonts w:ascii="Times New Roman" w:hAnsi="Times New Roman"/>
          <w:sz w:val="22"/>
          <w:szCs w:val="22"/>
        </w:rPr>
      </w:pPr>
    </w:p>
    <w:p w14:paraId="52031160" w14:textId="77777777" w:rsidR="00B92463" w:rsidRDefault="00B92463" w:rsidP="006714FF">
      <w:pPr>
        <w:spacing w:after="0"/>
        <w:rPr>
          <w:rFonts w:ascii="Times New Roman" w:hAnsi="Times New Roman"/>
          <w:sz w:val="22"/>
          <w:szCs w:val="22"/>
        </w:rPr>
      </w:pPr>
    </w:p>
    <w:p w14:paraId="549FD206" w14:textId="77777777" w:rsidR="00B92463" w:rsidRDefault="00B92463" w:rsidP="006714FF">
      <w:pPr>
        <w:spacing w:after="0"/>
        <w:rPr>
          <w:rFonts w:ascii="Times New Roman" w:hAnsi="Times New Roman"/>
          <w:sz w:val="22"/>
          <w:szCs w:val="22"/>
        </w:rPr>
      </w:pPr>
    </w:p>
    <w:p w14:paraId="19093CDC" w14:textId="77777777" w:rsidR="00B92463" w:rsidRDefault="00B92463" w:rsidP="006714FF">
      <w:pPr>
        <w:spacing w:after="0"/>
        <w:rPr>
          <w:rFonts w:ascii="Times New Roman" w:hAnsi="Times New Roman"/>
          <w:sz w:val="22"/>
          <w:szCs w:val="22"/>
        </w:rPr>
      </w:pPr>
    </w:p>
    <w:p w14:paraId="00B82930" w14:textId="77777777" w:rsidR="00B92463" w:rsidRDefault="00B92463" w:rsidP="006714FF">
      <w:pPr>
        <w:spacing w:after="0"/>
        <w:rPr>
          <w:rFonts w:ascii="Times New Roman" w:hAnsi="Times New Roman"/>
          <w:sz w:val="22"/>
          <w:szCs w:val="22"/>
        </w:rPr>
      </w:pPr>
    </w:p>
    <w:p w14:paraId="00A3A444" w14:textId="77777777" w:rsidR="00B92463" w:rsidRDefault="00B92463" w:rsidP="006714FF">
      <w:pPr>
        <w:spacing w:after="0"/>
        <w:rPr>
          <w:rFonts w:ascii="Times New Roman" w:hAnsi="Times New Roman"/>
          <w:sz w:val="22"/>
          <w:szCs w:val="22"/>
        </w:rPr>
      </w:pPr>
    </w:p>
    <w:p w14:paraId="04F5FC83" w14:textId="77777777" w:rsidR="00B92463" w:rsidRDefault="00B92463" w:rsidP="006714FF">
      <w:pPr>
        <w:spacing w:after="0"/>
        <w:rPr>
          <w:rFonts w:ascii="Times New Roman" w:hAnsi="Times New Roman"/>
          <w:sz w:val="22"/>
          <w:szCs w:val="22"/>
        </w:rPr>
      </w:pPr>
    </w:p>
    <w:p w14:paraId="47EE4B96" w14:textId="77777777" w:rsidR="00B92463" w:rsidRDefault="00B92463" w:rsidP="006714FF">
      <w:pPr>
        <w:spacing w:after="0"/>
        <w:rPr>
          <w:rFonts w:ascii="Times New Roman" w:hAnsi="Times New Roman"/>
          <w:sz w:val="22"/>
          <w:szCs w:val="22"/>
        </w:rPr>
      </w:pPr>
    </w:p>
    <w:p w14:paraId="13AAE0DD" w14:textId="77777777" w:rsidR="00B92463" w:rsidRDefault="00B92463" w:rsidP="006714FF">
      <w:pPr>
        <w:spacing w:after="0"/>
        <w:rPr>
          <w:rFonts w:ascii="Times New Roman" w:hAnsi="Times New Roman"/>
          <w:sz w:val="22"/>
          <w:szCs w:val="22"/>
        </w:rPr>
      </w:pPr>
    </w:p>
    <w:p w14:paraId="7F39A4B3" w14:textId="77777777" w:rsidR="00B92463" w:rsidRDefault="00B92463" w:rsidP="006714FF">
      <w:pPr>
        <w:spacing w:after="0"/>
        <w:rPr>
          <w:rFonts w:ascii="Times New Roman" w:hAnsi="Times New Roman"/>
          <w:sz w:val="22"/>
          <w:szCs w:val="22"/>
        </w:rPr>
      </w:pPr>
    </w:p>
    <w:p w14:paraId="2FE497CE" w14:textId="77777777" w:rsidR="00B92463" w:rsidRDefault="00B92463" w:rsidP="006714FF">
      <w:pPr>
        <w:spacing w:after="0"/>
        <w:rPr>
          <w:rFonts w:ascii="Times New Roman" w:hAnsi="Times New Roman"/>
          <w:sz w:val="22"/>
          <w:szCs w:val="22"/>
        </w:rPr>
      </w:pPr>
    </w:p>
    <w:p w14:paraId="7993FBF6" w14:textId="77777777" w:rsidR="00B92463" w:rsidRDefault="00B92463" w:rsidP="006714FF">
      <w:pPr>
        <w:spacing w:after="0"/>
        <w:rPr>
          <w:rFonts w:ascii="Times New Roman" w:hAnsi="Times New Roman"/>
          <w:sz w:val="22"/>
          <w:szCs w:val="22"/>
        </w:rPr>
      </w:pPr>
    </w:p>
    <w:p w14:paraId="5EC9408F" w14:textId="77777777" w:rsidR="00B92463" w:rsidRDefault="00B92463" w:rsidP="006714FF">
      <w:pPr>
        <w:spacing w:after="0"/>
        <w:rPr>
          <w:rFonts w:ascii="Times New Roman" w:hAnsi="Times New Roman"/>
          <w:sz w:val="22"/>
          <w:szCs w:val="22"/>
        </w:rPr>
      </w:pPr>
    </w:p>
    <w:p w14:paraId="4F746AA5" w14:textId="77777777" w:rsidR="00B92463" w:rsidRDefault="00B92463" w:rsidP="006714FF">
      <w:pPr>
        <w:spacing w:after="0"/>
        <w:rPr>
          <w:rFonts w:ascii="Times New Roman" w:hAnsi="Times New Roman"/>
          <w:sz w:val="22"/>
          <w:szCs w:val="22"/>
        </w:rPr>
      </w:pPr>
    </w:p>
    <w:p w14:paraId="796E673E" w14:textId="77777777" w:rsidR="00B92463" w:rsidRDefault="00B92463" w:rsidP="006714FF">
      <w:pPr>
        <w:spacing w:after="0"/>
        <w:rPr>
          <w:rFonts w:ascii="Times New Roman" w:hAnsi="Times New Roman"/>
          <w:sz w:val="22"/>
          <w:szCs w:val="22"/>
        </w:rPr>
      </w:pPr>
    </w:p>
    <w:p w14:paraId="74115113" w14:textId="77777777" w:rsidR="00B92463" w:rsidRDefault="00B92463" w:rsidP="006714FF">
      <w:pPr>
        <w:spacing w:after="0"/>
        <w:rPr>
          <w:rFonts w:ascii="Times New Roman" w:hAnsi="Times New Roman"/>
          <w:sz w:val="22"/>
          <w:szCs w:val="22"/>
        </w:rPr>
      </w:pPr>
    </w:p>
    <w:p w14:paraId="238DEA36" w14:textId="77777777" w:rsidR="00B92463" w:rsidRDefault="00B92463" w:rsidP="006714FF">
      <w:pPr>
        <w:spacing w:after="0"/>
        <w:rPr>
          <w:rFonts w:ascii="Times New Roman" w:hAnsi="Times New Roman"/>
          <w:sz w:val="22"/>
          <w:szCs w:val="22"/>
        </w:rPr>
      </w:pPr>
    </w:p>
    <w:p w14:paraId="4EE8F823" w14:textId="77777777" w:rsidR="00B92463" w:rsidRDefault="00B92463" w:rsidP="006714FF">
      <w:pPr>
        <w:spacing w:after="0"/>
        <w:rPr>
          <w:rFonts w:ascii="Times New Roman" w:hAnsi="Times New Roman"/>
          <w:sz w:val="22"/>
          <w:szCs w:val="22"/>
        </w:rPr>
      </w:pPr>
    </w:p>
    <w:p w14:paraId="1FF93EB6" w14:textId="77777777" w:rsidR="00B92463" w:rsidRDefault="00B92463" w:rsidP="006714FF">
      <w:pPr>
        <w:spacing w:after="0"/>
        <w:rPr>
          <w:rFonts w:ascii="Times New Roman" w:hAnsi="Times New Roman"/>
          <w:sz w:val="22"/>
          <w:szCs w:val="22"/>
        </w:rPr>
      </w:pPr>
    </w:p>
    <w:p w14:paraId="4ACE3115" w14:textId="77777777" w:rsidR="00B92463" w:rsidRDefault="00B92463" w:rsidP="006714FF">
      <w:pPr>
        <w:spacing w:after="0"/>
        <w:rPr>
          <w:rFonts w:ascii="Times New Roman" w:hAnsi="Times New Roman"/>
          <w:sz w:val="22"/>
          <w:szCs w:val="22"/>
        </w:rPr>
      </w:pPr>
    </w:p>
    <w:p w14:paraId="57552CAF" w14:textId="77777777" w:rsidR="00B92463" w:rsidRDefault="00B92463" w:rsidP="006714FF">
      <w:pPr>
        <w:spacing w:after="0"/>
        <w:rPr>
          <w:rFonts w:ascii="Times New Roman" w:hAnsi="Times New Roman"/>
          <w:sz w:val="22"/>
          <w:szCs w:val="22"/>
        </w:rPr>
      </w:pPr>
    </w:p>
    <w:p w14:paraId="0DE936C2" w14:textId="77777777" w:rsidR="00B92463" w:rsidRDefault="00B92463" w:rsidP="006714FF">
      <w:pPr>
        <w:spacing w:after="0"/>
        <w:rPr>
          <w:rFonts w:ascii="Times New Roman" w:hAnsi="Times New Roman"/>
          <w:sz w:val="22"/>
          <w:szCs w:val="22"/>
        </w:rPr>
      </w:pPr>
    </w:p>
    <w:p w14:paraId="1195024C" w14:textId="77777777" w:rsidR="00B92463" w:rsidRDefault="00B92463" w:rsidP="006714FF">
      <w:pPr>
        <w:spacing w:after="0"/>
        <w:rPr>
          <w:rFonts w:ascii="Times New Roman" w:hAnsi="Times New Roman"/>
          <w:sz w:val="22"/>
          <w:szCs w:val="22"/>
        </w:rPr>
      </w:pPr>
    </w:p>
    <w:p w14:paraId="53EF9375" w14:textId="77777777" w:rsidR="00B92463" w:rsidRDefault="00B92463" w:rsidP="006714FF">
      <w:pPr>
        <w:spacing w:after="0"/>
        <w:rPr>
          <w:rFonts w:ascii="Times New Roman" w:hAnsi="Times New Roman"/>
          <w:sz w:val="22"/>
          <w:szCs w:val="22"/>
        </w:rPr>
      </w:pPr>
    </w:p>
    <w:p w14:paraId="6D00333D" w14:textId="77777777" w:rsidR="00B92463" w:rsidRDefault="00B92463" w:rsidP="006714FF">
      <w:pPr>
        <w:spacing w:after="0"/>
        <w:rPr>
          <w:rFonts w:ascii="Times New Roman" w:hAnsi="Times New Roman"/>
          <w:sz w:val="22"/>
          <w:szCs w:val="22"/>
        </w:rPr>
      </w:pPr>
    </w:p>
    <w:p w14:paraId="0294E8D0" w14:textId="77777777" w:rsidR="00B92463" w:rsidRDefault="00B92463" w:rsidP="006714FF">
      <w:pPr>
        <w:spacing w:after="0"/>
        <w:rPr>
          <w:rFonts w:ascii="Times New Roman" w:hAnsi="Times New Roman"/>
          <w:sz w:val="22"/>
          <w:szCs w:val="22"/>
        </w:rPr>
      </w:pPr>
    </w:p>
    <w:p w14:paraId="0B8C9956" w14:textId="77777777" w:rsidR="00B92463" w:rsidRDefault="00B92463" w:rsidP="006714FF">
      <w:pPr>
        <w:spacing w:after="0"/>
        <w:rPr>
          <w:rFonts w:ascii="Times New Roman" w:hAnsi="Times New Roman"/>
          <w:sz w:val="22"/>
          <w:szCs w:val="22"/>
        </w:rPr>
      </w:pPr>
    </w:p>
    <w:p w14:paraId="49E6B4EF" w14:textId="77777777" w:rsidR="006714FF" w:rsidRPr="00221BEB" w:rsidRDefault="006714FF" w:rsidP="006714FF">
      <w:pPr>
        <w:spacing w:after="0"/>
        <w:rPr>
          <w:rFonts w:ascii="Times New Roman" w:hAnsi="Times New Roman"/>
          <w:sz w:val="22"/>
          <w:szCs w:val="22"/>
        </w:rPr>
      </w:pPr>
    </w:p>
    <w:p w14:paraId="32B820DF" w14:textId="77777777" w:rsidR="006714FF" w:rsidRDefault="006714FF" w:rsidP="006714FF">
      <w:pPr>
        <w:spacing w:after="0"/>
      </w:pPr>
      <w:r>
        <w:rPr>
          <w:noProof/>
        </w:rPr>
        <w:lastRenderedPageBreak/>
        <w:drawing>
          <wp:inline distT="0" distB="0" distL="0" distR="0" wp14:anchorId="5A32C1E2" wp14:editId="398C1224">
            <wp:extent cx="1828800" cy="1371600"/>
            <wp:effectExtent l="0" t="0" r="0" b="0"/>
            <wp:docPr id="1602847942" name="Picture 1602847942"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47942" name="Picture 1602847942" descr="A graph of a number of objects&#10;&#10;Description automatically generated with medium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36E5CDFA" wp14:editId="13A7538A">
            <wp:extent cx="1828800" cy="1371600"/>
            <wp:effectExtent l="0" t="0" r="0" b="0"/>
            <wp:docPr id="1558291870" name="Picture 1558291870" descr="A graph of a tall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91870" name="Picture 1558291870" descr="A graph of a tall tower&#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5CD1E201" w14:textId="77777777" w:rsidR="006714FF" w:rsidRDefault="006714FF" w:rsidP="006714FF">
      <w:pPr>
        <w:spacing w:after="0"/>
      </w:pPr>
      <w:r>
        <w:rPr>
          <w:noProof/>
        </w:rPr>
        <w:drawing>
          <wp:inline distT="0" distB="0" distL="0" distR="0" wp14:anchorId="2A5EE6B5" wp14:editId="153CA190">
            <wp:extent cx="1828800" cy="1371600"/>
            <wp:effectExtent l="0" t="0" r="0" b="0"/>
            <wp:docPr id="44906532" name="Picture 44906532" descr="A graph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6532" name="Picture 44906532" descr="A graph of a number&#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514F592C" wp14:editId="520ECF47">
            <wp:extent cx="1828800" cy="1371600"/>
            <wp:effectExtent l="0" t="0" r="0" b="0"/>
            <wp:docPr id="1837080517" name="Picture 1837080517" descr="A graph of a tall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80517" name="Picture 1837080517" descr="A graph of a tall tower&#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7AD815C7" w14:textId="77777777" w:rsidR="006714FF" w:rsidRDefault="006714FF" w:rsidP="006714FF">
      <w:pPr>
        <w:spacing w:after="0"/>
      </w:pPr>
      <w:r>
        <w:rPr>
          <w:noProof/>
        </w:rPr>
        <w:drawing>
          <wp:inline distT="0" distB="0" distL="0" distR="0" wp14:anchorId="286E8E08" wp14:editId="1D32B8F4">
            <wp:extent cx="1828800" cy="1371600"/>
            <wp:effectExtent l="0" t="0" r="0" b="0"/>
            <wp:docPr id="572564660" name="Picture 572564660"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64660" name="Picture 572564660" descr="A graph of a number of people&#10;&#10;Description automatically generated with medium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518A6F45" wp14:editId="3DEE1A2B">
            <wp:extent cx="1828800" cy="1371600"/>
            <wp:effectExtent l="0" t="0" r="0" b="0"/>
            <wp:docPr id="1377202010" name="Picture 1377202010"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202010" name="Picture 1377202010" descr="A graph of a graph&#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4EC87631" w14:textId="77777777" w:rsidR="006714FF" w:rsidRDefault="006714FF" w:rsidP="006714FF">
      <w:pPr>
        <w:spacing w:after="0"/>
      </w:pPr>
      <w:r>
        <w:rPr>
          <w:noProof/>
        </w:rPr>
        <w:drawing>
          <wp:inline distT="0" distB="0" distL="0" distR="0" wp14:anchorId="6EC1E88E" wp14:editId="726EBFEE">
            <wp:extent cx="1828800" cy="1371600"/>
            <wp:effectExtent l="0" t="0" r="0" b="0"/>
            <wp:docPr id="1439944087" name="Picture 1439944087" descr="A graph of a number of blu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44087" name="Picture 1439944087" descr="A graph of a number of blue lines&#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3FDEB61A" wp14:editId="1DC60546">
            <wp:extent cx="1828800" cy="1371600"/>
            <wp:effectExtent l="0" t="0" r="0" b="0"/>
            <wp:docPr id="1076260031" name="Picture 1076260031"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60031" name="Picture 1076260031" descr="A graph of a graph&#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7B6B1C39" w14:textId="77777777" w:rsidR="006714FF" w:rsidRDefault="006714FF" w:rsidP="006714FF">
      <w:pPr>
        <w:spacing w:after="0"/>
      </w:pPr>
      <w:r>
        <w:rPr>
          <w:noProof/>
        </w:rPr>
        <w:drawing>
          <wp:inline distT="0" distB="0" distL="0" distR="0" wp14:anchorId="46FEBF7F" wp14:editId="50C512FD">
            <wp:extent cx="1828800" cy="1371600"/>
            <wp:effectExtent l="0" t="0" r="0" b="0"/>
            <wp:docPr id="2119862295" name="Picture 2119862295" descr="A graph of a number of blu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62295" name="Picture 2119862295" descr="A graph of a number of blue lines&#10;&#10;Description automatically generated with medium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025C6632" wp14:editId="33765578">
            <wp:extent cx="1828800" cy="1371600"/>
            <wp:effectExtent l="0" t="0" r="0" b="0"/>
            <wp:docPr id="716814535" name="Picture 716814535"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14535" name="Picture 716814535" descr="A graph of a graph&#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5726C286" w14:textId="77777777" w:rsidR="006714FF" w:rsidRDefault="006714FF" w:rsidP="006714FF">
      <w:pPr>
        <w:pStyle w:val="VAFigureCaption"/>
      </w:pPr>
      <w:r w:rsidRPr="009E43C8">
        <w:rPr>
          <w:b/>
          <w:bCs/>
        </w:rPr>
        <w:t>Figure S3.</w:t>
      </w:r>
      <w:r w:rsidRPr="4C49152D">
        <w:t xml:space="preserve"> Density-scaled histograms of SBTEX </w:t>
      </w:r>
      <w:proofErr w:type="spellStart"/>
      <w:r w:rsidRPr="4C49152D">
        <w:t>CAMx</w:t>
      </w:r>
      <w:proofErr w:type="spellEnd"/>
      <w:r w:rsidRPr="4C49152D">
        <w:t xml:space="preserve"> estimates from 2011 to 2012. From top to bottom, row 1: styrene; row 2: benzene; row 3: toluene, row 4: ethylbenzene; row 5: xylenes. Left column: concentrations; right column: </w:t>
      </w:r>
      <w:r>
        <w:t>log-</w:t>
      </w:r>
      <w:r w:rsidRPr="4C49152D">
        <w:t>concentrations.</w:t>
      </w:r>
    </w:p>
    <w:p w14:paraId="0501666D" w14:textId="77777777" w:rsidR="006714FF" w:rsidRDefault="006714FF" w:rsidP="006714FF">
      <w:pPr>
        <w:spacing w:after="0"/>
        <w:rPr>
          <w:rFonts w:ascii="Times New Roman" w:hAnsi="Times New Roman"/>
          <w:sz w:val="20"/>
        </w:rPr>
      </w:pPr>
    </w:p>
    <w:p w14:paraId="21C30B9D" w14:textId="77777777" w:rsidR="006714FF" w:rsidRPr="009E43C8" w:rsidRDefault="006714FF" w:rsidP="006714FF">
      <w:pPr>
        <w:pStyle w:val="TESupportingInformation"/>
        <w:rPr>
          <w:b/>
          <w:bCs/>
        </w:rPr>
      </w:pPr>
      <w:r w:rsidRPr="009E43C8">
        <w:rPr>
          <w:b/>
          <w:bCs/>
        </w:rPr>
        <w:lastRenderedPageBreak/>
        <w:t>S5. Constant Air Model Performance Correction of Model Data</w:t>
      </w:r>
    </w:p>
    <w:p w14:paraId="52A1395C" w14:textId="77777777" w:rsidR="006714FF" w:rsidRPr="0034394B" w:rsidRDefault="006714FF" w:rsidP="006714FF">
      <w:pPr>
        <w:pStyle w:val="TESupportingInformation"/>
      </w:pPr>
      <w:r w:rsidRPr="0034394B">
        <w:t xml:space="preserve">Constant Air Model Performance (CAMP) correction of </w:t>
      </w:r>
      <w:proofErr w:type="spellStart"/>
      <w:r w:rsidRPr="0034394B">
        <w:t>CAMx</w:t>
      </w:r>
      <w:proofErr w:type="spellEnd"/>
      <w:r w:rsidRPr="0034394B">
        <w:t xml:space="preserve"> data was performed for 2011 and 2012 separately. Figures S4-S8 demonstrate that </w:t>
      </w:r>
      <w:proofErr w:type="spellStart"/>
      <w:r w:rsidRPr="0034394B">
        <w:t>CAMx</w:t>
      </w:r>
      <w:proofErr w:type="spellEnd"/>
      <w:r w:rsidRPr="0034394B">
        <w:t xml:space="preserve"> tended to underpredict observed values when </w:t>
      </w:r>
      <w:proofErr w:type="spellStart"/>
      <w:r w:rsidRPr="0034394B">
        <w:t>CAMx</w:t>
      </w:r>
      <w:proofErr w:type="spellEnd"/>
      <w:r w:rsidRPr="0034394B">
        <w:t xml:space="preserve"> predicted low (1:1 line was below the </w:t>
      </w:r>
      <w:r w:rsidRPr="0034394B">
        <w:sym w:font="Symbol" w:char="F06C"/>
      </w:r>
      <w:r w:rsidRPr="0034394B">
        <w:rPr>
          <w:vertAlign w:val="subscript"/>
        </w:rPr>
        <w:t>1</w:t>
      </w:r>
      <w:r w:rsidRPr="0034394B">
        <w:t xml:space="preserve">) and overpredict observed values when </w:t>
      </w:r>
      <w:proofErr w:type="spellStart"/>
      <w:r w:rsidRPr="0034394B">
        <w:t>CAMx</w:t>
      </w:r>
      <w:proofErr w:type="spellEnd"/>
      <w:r w:rsidRPr="0034394B">
        <w:t xml:space="preserve"> predicted high (1:1 line was above the </w:t>
      </w:r>
      <w:r w:rsidRPr="0034394B">
        <w:sym w:font="Symbol" w:char="F06C"/>
      </w:r>
      <w:r w:rsidRPr="0034394B">
        <w:rPr>
          <w:vertAlign w:val="subscript"/>
        </w:rPr>
        <w:t>1</w:t>
      </w:r>
      <w:r w:rsidRPr="0034394B">
        <w:t>).</w:t>
      </w:r>
    </w:p>
    <w:p w14:paraId="0E226886" w14:textId="77777777" w:rsidR="006714FF" w:rsidRDefault="006714FF" w:rsidP="006714FF">
      <w:pPr>
        <w:spacing w:after="0"/>
      </w:pPr>
    </w:p>
    <w:p w14:paraId="591097F2" w14:textId="77777777" w:rsidR="006714FF" w:rsidRDefault="006714FF" w:rsidP="006714FF">
      <w:pPr>
        <w:spacing w:after="0"/>
      </w:pPr>
      <w:r>
        <w:rPr>
          <w:noProof/>
        </w:rPr>
        <w:drawing>
          <wp:inline distT="0" distB="0" distL="0" distR="0" wp14:anchorId="1CDD6548" wp14:editId="01EC9534">
            <wp:extent cx="2926080" cy="2194560"/>
            <wp:effectExtent l="0" t="0" r="0" b="0"/>
            <wp:docPr id="1548543101" name="Picture 1548543101" descr="A graph of a model correction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43101" name="Picture 1548543101" descr="A graph of a model correction curves&#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r>
        <w:rPr>
          <w:noProof/>
        </w:rPr>
        <w:drawing>
          <wp:inline distT="0" distB="0" distL="0" distR="0" wp14:anchorId="684D46C3" wp14:editId="50AC6D5E">
            <wp:extent cx="2926080" cy="2194560"/>
            <wp:effectExtent l="0" t="0" r="0" b="0"/>
            <wp:docPr id="272499489" name="Picture 272499489" descr="A graph of a model correction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99489" name="Picture 272499489" descr="A graph of a model correction curves&#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p>
    <w:p w14:paraId="6CA212C0" w14:textId="77777777" w:rsidR="006714FF" w:rsidRDefault="006714FF" w:rsidP="006714FF">
      <w:pPr>
        <w:pStyle w:val="VAFigureCaption"/>
      </w:pPr>
      <w:r w:rsidRPr="009E43C8">
        <w:rPr>
          <w:b/>
          <w:bCs/>
        </w:rPr>
        <w:t>Figure S4.</w:t>
      </w:r>
      <w:r w:rsidRPr="57EE44F5">
        <w:t xml:space="preserve"> CAMP correction for </w:t>
      </w:r>
      <w:proofErr w:type="spellStart"/>
      <w:r w:rsidRPr="57EE44F5">
        <w:t>CAMx</w:t>
      </w:r>
      <w:proofErr w:type="spellEnd"/>
      <w:r w:rsidRPr="57EE44F5">
        <w:t xml:space="preserve">-modeled </w:t>
      </w:r>
      <w:r>
        <w:t>log-</w:t>
      </w:r>
      <w:r w:rsidRPr="57EE44F5">
        <w:t xml:space="preserve">styrene in 2011 (left panel) and 2012 (right panel). Green dots represent </w:t>
      </w:r>
      <w:r>
        <w:t>log-</w:t>
      </w:r>
      <w:proofErr w:type="spellStart"/>
      <w:r w:rsidRPr="57EE44F5">
        <w:t>CAMx</w:t>
      </w:r>
      <w:proofErr w:type="spellEnd"/>
      <w:r w:rsidRPr="57EE44F5">
        <w:t xml:space="preserve"> and </w:t>
      </w:r>
      <w:r>
        <w:t>log-</w:t>
      </w:r>
      <w:r w:rsidRPr="57EE44F5">
        <w:t xml:space="preserve">observed concentrations. Black vertical lines represent </w:t>
      </w:r>
      <w:proofErr w:type="spellStart"/>
      <w:r w:rsidRPr="57EE44F5">
        <w:t>CAMx</w:t>
      </w:r>
      <w:proofErr w:type="spellEnd"/>
      <w:r w:rsidRPr="57EE44F5">
        <w:t xml:space="preserve"> model decile bounds. λ</w:t>
      </w:r>
      <w:r w:rsidRPr="57EE44F5">
        <w:rPr>
          <w:vertAlign w:val="subscript"/>
        </w:rPr>
        <w:t>1</w:t>
      </w:r>
      <w:r w:rsidRPr="57EE44F5">
        <w:t xml:space="preserve"> (dark blue line) is the (monotonically increasing) mean observed value within each decile bin (left axis). λ</w:t>
      </w:r>
      <w:r w:rsidRPr="57EE44F5">
        <w:rPr>
          <w:vertAlign w:val="subscript"/>
        </w:rPr>
        <w:t>2</w:t>
      </w:r>
      <w:r w:rsidRPr="57EE44F5">
        <w:t xml:space="preserve"> (orange line) is the </w:t>
      </w:r>
      <w:proofErr w:type="spellStart"/>
      <w:r w:rsidRPr="57EE44F5">
        <w:t>CAMx</w:t>
      </w:r>
      <w:proofErr w:type="spellEnd"/>
      <w:r w:rsidRPr="57EE44F5">
        <w:t xml:space="preserve"> variance within each decile bin (right axis). </w:t>
      </w:r>
      <w:proofErr w:type="spellStart"/>
      <w:r w:rsidRPr="57EE44F5">
        <w:t>CAMx</w:t>
      </w:r>
      <w:proofErr w:type="spellEnd"/>
      <w:r w:rsidRPr="57EE44F5">
        <w:t xml:space="preserve">-observed value one-to-one line represented by </w:t>
      </w:r>
      <w:r>
        <w:t xml:space="preserve">the </w:t>
      </w:r>
      <w:r w:rsidRPr="57EE44F5">
        <w:t xml:space="preserve">thin blue line. </w:t>
      </w:r>
    </w:p>
    <w:p w14:paraId="20B648E9" w14:textId="77777777" w:rsidR="006714FF" w:rsidRDefault="006714FF" w:rsidP="006714FF">
      <w:pPr>
        <w:pStyle w:val="VAFigureCaption"/>
      </w:pPr>
      <w:r>
        <w:rPr>
          <w:noProof/>
        </w:rPr>
        <w:lastRenderedPageBreak/>
        <w:drawing>
          <wp:inline distT="0" distB="0" distL="0" distR="0" wp14:anchorId="669A40AB" wp14:editId="5F4AB91D">
            <wp:extent cx="2926080" cy="2194560"/>
            <wp:effectExtent l="0" t="0" r="0" b="0"/>
            <wp:docPr id="262197104" name="Picture 262197104" descr="A graph of a model correction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197104" name="Picture 262197104" descr="A graph of a model correction curves&#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r>
        <w:rPr>
          <w:noProof/>
        </w:rPr>
        <w:drawing>
          <wp:inline distT="0" distB="0" distL="0" distR="0" wp14:anchorId="63BF2783" wp14:editId="7A490B7D">
            <wp:extent cx="2926080" cy="2194560"/>
            <wp:effectExtent l="0" t="0" r="0" b="0"/>
            <wp:docPr id="605026532" name="Picture 605026532" descr="A graph showing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26532" name="Picture 605026532" descr="A graph showing a line graph&#10;&#10;Description automatically generated with medium confiden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p>
    <w:p w14:paraId="0C17E18C" w14:textId="77777777" w:rsidR="006714FF" w:rsidRDefault="006714FF" w:rsidP="006714FF">
      <w:pPr>
        <w:pStyle w:val="VAFigureCaption"/>
      </w:pPr>
      <w:r w:rsidRPr="009E43C8">
        <w:rPr>
          <w:b/>
          <w:bCs/>
        </w:rPr>
        <w:t>Figure S5.</w:t>
      </w:r>
      <w:r w:rsidRPr="57EE44F5">
        <w:t xml:space="preserve"> CAMP correction for </w:t>
      </w:r>
      <w:proofErr w:type="spellStart"/>
      <w:r w:rsidRPr="57EE44F5">
        <w:t>CAMx</w:t>
      </w:r>
      <w:proofErr w:type="spellEnd"/>
      <w:r w:rsidRPr="57EE44F5">
        <w:t xml:space="preserve">-modeled </w:t>
      </w:r>
      <w:r>
        <w:t>log-</w:t>
      </w:r>
      <w:r w:rsidRPr="57EE44F5">
        <w:t xml:space="preserve">benzene in 2011 (left panel) and 2012 (right panel). Green dots represent </w:t>
      </w:r>
      <w:r>
        <w:t>log-</w:t>
      </w:r>
      <w:proofErr w:type="spellStart"/>
      <w:r w:rsidRPr="57EE44F5">
        <w:t>CAMx</w:t>
      </w:r>
      <w:proofErr w:type="spellEnd"/>
      <w:r w:rsidRPr="57EE44F5">
        <w:t xml:space="preserve"> and </w:t>
      </w:r>
      <w:r>
        <w:t>log-</w:t>
      </w:r>
      <w:r w:rsidRPr="57EE44F5">
        <w:t xml:space="preserve">observed concentrations. Black vertical lines represent </w:t>
      </w:r>
      <w:proofErr w:type="spellStart"/>
      <w:r w:rsidRPr="57EE44F5">
        <w:t>CAMx</w:t>
      </w:r>
      <w:proofErr w:type="spellEnd"/>
      <w:r w:rsidRPr="57EE44F5">
        <w:t xml:space="preserve"> model decile bounds. λ</w:t>
      </w:r>
      <w:r w:rsidRPr="57EE44F5">
        <w:rPr>
          <w:vertAlign w:val="subscript"/>
        </w:rPr>
        <w:t>1</w:t>
      </w:r>
      <w:r w:rsidRPr="57EE44F5">
        <w:t xml:space="preserve"> (dark blue line) is the (monotonically increasing) mean observed value within each decile bin (left axis). λ</w:t>
      </w:r>
      <w:r w:rsidRPr="57EE44F5">
        <w:rPr>
          <w:vertAlign w:val="subscript"/>
        </w:rPr>
        <w:t>2</w:t>
      </w:r>
      <w:r w:rsidRPr="57EE44F5">
        <w:t xml:space="preserve"> (orange line) is the </w:t>
      </w:r>
      <w:proofErr w:type="spellStart"/>
      <w:r w:rsidRPr="57EE44F5">
        <w:t>CAMx</w:t>
      </w:r>
      <w:proofErr w:type="spellEnd"/>
      <w:r w:rsidRPr="57EE44F5">
        <w:t xml:space="preserve"> variance within each decile bin (right axis). </w:t>
      </w:r>
      <w:proofErr w:type="spellStart"/>
      <w:r w:rsidRPr="57EE44F5">
        <w:t>CAMx</w:t>
      </w:r>
      <w:proofErr w:type="spellEnd"/>
      <w:r w:rsidRPr="57EE44F5">
        <w:t xml:space="preserve">-observed value one-to-one line represented by </w:t>
      </w:r>
      <w:r>
        <w:t xml:space="preserve">the </w:t>
      </w:r>
      <w:r w:rsidRPr="57EE44F5">
        <w:t>thin blue line.</w:t>
      </w:r>
    </w:p>
    <w:p w14:paraId="0B34759B" w14:textId="77777777" w:rsidR="006714FF" w:rsidRDefault="006714FF" w:rsidP="006714FF"/>
    <w:p w14:paraId="76906232" w14:textId="77777777" w:rsidR="006714FF" w:rsidRDefault="006714FF" w:rsidP="006714FF"/>
    <w:p w14:paraId="1C13FC6C" w14:textId="77777777" w:rsidR="006714FF" w:rsidRDefault="006714FF" w:rsidP="006714FF"/>
    <w:p w14:paraId="45C77035" w14:textId="77777777" w:rsidR="006714FF" w:rsidRDefault="006714FF" w:rsidP="006714FF"/>
    <w:p w14:paraId="0F288B35" w14:textId="77777777" w:rsidR="006714FF" w:rsidRPr="005D115D" w:rsidRDefault="006714FF" w:rsidP="006714FF"/>
    <w:p w14:paraId="21711D96" w14:textId="77777777" w:rsidR="006714FF" w:rsidRDefault="006714FF" w:rsidP="006714FF">
      <w:pPr>
        <w:pStyle w:val="VAFigureCaption"/>
      </w:pPr>
      <w:r>
        <w:rPr>
          <w:noProof/>
        </w:rPr>
        <w:lastRenderedPageBreak/>
        <w:drawing>
          <wp:inline distT="0" distB="0" distL="0" distR="0" wp14:anchorId="5628AC4C" wp14:editId="1DD472E9">
            <wp:extent cx="2926080" cy="2194560"/>
            <wp:effectExtent l="0" t="0" r="0" b="0"/>
            <wp:docPr id="431118299" name="Picture 431118299" descr="A diagram of a model correction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18299" name="Picture 431118299" descr="A diagram of a model correction curves&#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r>
        <w:rPr>
          <w:noProof/>
        </w:rPr>
        <w:drawing>
          <wp:inline distT="0" distB="0" distL="0" distR="0" wp14:anchorId="10C215F7" wp14:editId="2A551A08">
            <wp:extent cx="2926080" cy="2194560"/>
            <wp:effectExtent l="0" t="0" r="0" b="0"/>
            <wp:docPr id="1878648236" name="Picture 1878648236" descr="A graph of a model correction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48236" name="Picture 1878648236" descr="A graph of a model correction curves&#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p>
    <w:p w14:paraId="0B88D937" w14:textId="77777777" w:rsidR="006714FF" w:rsidRDefault="006714FF" w:rsidP="006714FF">
      <w:pPr>
        <w:pStyle w:val="VAFigureCaption"/>
      </w:pPr>
      <w:r w:rsidRPr="009E43C8">
        <w:rPr>
          <w:b/>
          <w:bCs/>
        </w:rPr>
        <w:t>Figure S6.</w:t>
      </w:r>
      <w:r w:rsidRPr="57EE44F5">
        <w:t xml:space="preserve"> CAMP correction for </w:t>
      </w:r>
      <w:proofErr w:type="spellStart"/>
      <w:r w:rsidRPr="57EE44F5">
        <w:t>CAMx</w:t>
      </w:r>
      <w:proofErr w:type="spellEnd"/>
      <w:r w:rsidRPr="57EE44F5">
        <w:t xml:space="preserve">-modeled </w:t>
      </w:r>
      <w:r>
        <w:t>log-</w:t>
      </w:r>
      <w:r w:rsidRPr="57EE44F5">
        <w:t xml:space="preserve">toluene in 2011 (left panel) and 2012 (right panel). Green dots represent </w:t>
      </w:r>
      <w:r>
        <w:t>log-</w:t>
      </w:r>
      <w:proofErr w:type="spellStart"/>
      <w:r w:rsidRPr="57EE44F5">
        <w:t>CAMx</w:t>
      </w:r>
      <w:proofErr w:type="spellEnd"/>
      <w:r w:rsidRPr="57EE44F5">
        <w:t xml:space="preserve"> and </w:t>
      </w:r>
      <w:r>
        <w:t>log-</w:t>
      </w:r>
      <w:r w:rsidRPr="57EE44F5">
        <w:t xml:space="preserve">observed concentrations. Black vertical lines represent </w:t>
      </w:r>
      <w:proofErr w:type="spellStart"/>
      <w:r w:rsidRPr="57EE44F5">
        <w:t>CAMx</w:t>
      </w:r>
      <w:proofErr w:type="spellEnd"/>
      <w:r w:rsidRPr="57EE44F5">
        <w:t xml:space="preserve"> model decile bounds. λ</w:t>
      </w:r>
      <w:r w:rsidRPr="57EE44F5">
        <w:rPr>
          <w:vertAlign w:val="subscript"/>
        </w:rPr>
        <w:t>1</w:t>
      </w:r>
      <w:r w:rsidRPr="57EE44F5">
        <w:t xml:space="preserve"> (dark blue line) is the (monotonically increasing) mean observed value within each decile bin (left axis). λ</w:t>
      </w:r>
      <w:r w:rsidRPr="57EE44F5">
        <w:rPr>
          <w:vertAlign w:val="subscript"/>
        </w:rPr>
        <w:t>2</w:t>
      </w:r>
      <w:r w:rsidRPr="57EE44F5">
        <w:t xml:space="preserve"> (orange line) is the </w:t>
      </w:r>
      <w:proofErr w:type="spellStart"/>
      <w:r w:rsidRPr="57EE44F5">
        <w:t>CAMx</w:t>
      </w:r>
      <w:proofErr w:type="spellEnd"/>
      <w:r w:rsidRPr="57EE44F5">
        <w:t xml:space="preserve"> variance within each decile bin (right axis). </w:t>
      </w:r>
      <w:proofErr w:type="spellStart"/>
      <w:r w:rsidRPr="57EE44F5">
        <w:t>CAMx</w:t>
      </w:r>
      <w:proofErr w:type="spellEnd"/>
      <w:r w:rsidRPr="57EE44F5">
        <w:t xml:space="preserve">-observed value one-to-one line represented by </w:t>
      </w:r>
      <w:r>
        <w:t xml:space="preserve">the </w:t>
      </w:r>
      <w:r w:rsidRPr="57EE44F5">
        <w:t>thin blue line.</w:t>
      </w:r>
    </w:p>
    <w:p w14:paraId="1C01BEAB" w14:textId="77777777" w:rsidR="006714FF" w:rsidRDefault="006714FF" w:rsidP="006714FF"/>
    <w:p w14:paraId="09FC55A1" w14:textId="77777777" w:rsidR="006714FF" w:rsidRDefault="006714FF" w:rsidP="006714FF"/>
    <w:p w14:paraId="306DBB1C" w14:textId="77777777" w:rsidR="006714FF" w:rsidRDefault="006714FF" w:rsidP="006714FF"/>
    <w:p w14:paraId="7CAFEECB" w14:textId="77777777" w:rsidR="006714FF" w:rsidRPr="005D115D" w:rsidRDefault="006714FF" w:rsidP="006714FF"/>
    <w:p w14:paraId="0468E8D9" w14:textId="77777777" w:rsidR="006714FF" w:rsidRDefault="006714FF" w:rsidP="006714FF">
      <w:pPr>
        <w:pStyle w:val="VAFigureCaption"/>
      </w:pPr>
      <w:r>
        <w:rPr>
          <w:noProof/>
        </w:rPr>
        <w:lastRenderedPageBreak/>
        <w:drawing>
          <wp:inline distT="0" distB="0" distL="0" distR="0" wp14:anchorId="7A6B3856" wp14:editId="12999E28">
            <wp:extent cx="2926080" cy="2194560"/>
            <wp:effectExtent l="0" t="0" r="0" b="0"/>
            <wp:docPr id="1764888413" name="Picture 1764888413" descr="A graph of colored lines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88413" name="Picture 1764888413" descr="A graph of colored lines and dots&#10;&#10;Description automatically generated with medium confidenc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r>
        <w:rPr>
          <w:noProof/>
        </w:rPr>
        <w:drawing>
          <wp:inline distT="0" distB="0" distL="0" distR="0" wp14:anchorId="58D2AC4E" wp14:editId="17C8EF86">
            <wp:extent cx="2926080" cy="2194560"/>
            <wp:effectExtent l="0" t="0" r="0" b="0"/>
            <wp:docPr id="1768429289" name="Picture 1768429289" descr="A diagram of a model correction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29289" name="Picture 1768429289" descr="A diagram of a model correction curves&#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r w:rsidRPr="009E43C8">
        <w:rPr>
          <w:b/>
          <w:bCs/>
        </w:rPr>
        <w:t>Figure S7.</w:t>
      </w:r>
      <w:r w:rsidRPr="57EE44F5">
        <w:t xml:space="preserve"> CAMP correction for </w:t>
      </w:r>
      <w:proofErr w:type="spellStart"/>
      <w:r w:rsidRPr="57EE44F5">
        <w:t>CAMx</w:t>
      </w:r>
      <w:proofErr w:type="spellEnd"/>
      <w:r w:rsidRPr="57EE44F5">
        <w:t xml:space="preserve">-modeled </w:t>
      </w:r>
      <w:r>
        <w:t>log-</w:t>
      </w:r>
      <w:r w:rsidRPr="57EE44F5">
        <w:t xml:space="preserve">ethylbenzene in 2011 (left panel) and 2012 (right panel). Green dots represent </w:t>
      </w:r>
      <w:r>
        <w:t>log-</w:t>
      </w:r>
      <w:proofErr w:type="spellStart"/>
      <w:r w:rsidRPr="57EE44F5">
        <w:t>CAMx</w:t>
      </w:r>
      <w:proofErr w:type="spellEnd"/>
      <w:r w:rsidRPr="57EE44F5">
        <w:t xml:space="preserve"> and </w:t>
      </w:r>
      <w:r>
        <w:t>log-</w:t>
      </w:r>
      <w:r w:rsidRPr="57EE44F5">
        <w:t xml:space="preserve">observed concentrations. Black vertical lines represent </w:t>
      </w:r>
      <w:proofErr w:type="spellStart"/>
      <w:r w:rsidRPr="57EE44F5">
        <w:t>CAMx</w:t>
      </w:r>
      <w:proofErr w:type="spellEnd"/>
      <w:r w:rsidRPr="57EE44F5">
        <w:t xml:space="preserve"> model decile bounds. λ</w:t>
      </w:r>
      <w:r w:rsidRPr="57EE44F5">
        <w:rPr>
          <w:vertAlign w:val="subscript"/>
        </w:rPr>
        <w:t>1</w:t>
      </w:r>
      <w:r w:rsidRPr="57EE44F5">
        <w:t xml:space="preserve"> (dark blue line) is the (monotonically increasing) mean observed value within each decile bin (left axis). λ</w:t>
      </w:r>
      <w:r w:rsidRPr="57EE44F5">
        <w:rPr>
          <w:vertAlign w:val="subscript"/>
        </w:rPr>
        <w:t>2</w:t>
      </w:r>
      <w:r w:rsidRPr="57EE44F5">
        <w:t xml:space="preserve"> (orange line) is the </w:t>
      </w:r>
      <w:proofErr w:type="spellStart"/>
      <w:r w:rsidRPr="57EE44F5">
        <w:t>CAMx</w:t>
      </w:r>
      <w:proofErr w:type="spellEnd"/>
      <w:r w:rsidRPr="57EE44F5">
        <w:t xml:space="preserve"> variance within each decile bin (right axis). </w:t>
      </w:r>
      <w:proofErr w:type="spellStart"/>
      <w:r w:rsidRPr="57EE44F5">
        <w:t>CAMx</w:t>
      </w:r>
      <w:proofErr w:type="spellEnd"/>
      <w:r w:rsidRPr="57EE44F5">
        <w:t xml:space="preserve">-observed value one-to-one line represented by </w:t>
      </w:r>
      <w:r>
        <w:t xml:space="preserve">the </w:t>
      </w:r>
      <w:r w:rsidRPr="57EE44F5">
        <w:t>thin blue line.</w:t>
      </w:r>
    </w:p>
    <w:p w14:paraId="47B96D20" w14:textId="77777777" w:rsidR="006714FF" w:rsidRDefault="006714FF" w:rsidP="006714FF">
      <w:pPr>
        <w:pStyle w:val="VAFigureCaption"/>
      </w:pPr>
    </w:p>
    <w:p w14:paraId="2F9C497B" w14:textId="77777777" w:rsidR="006714FF" w:rsidRDefault="006714FF" w:rsidP="006714FF"/>
    <w:p w14:paraId="19BBB9E5" w14:textId="77777777" w:rsidR="006714FF" w:rsidRDefault="006714FF" w:rsidP="006714FF"/>
    <w:p w14:paraId="51D7413C" w14:textId="77777777" w:rsidR="006714FF" w:rsidRPr="005D115D" w:rsidRDefault="006714FF" w:rsidP="006714FF"/>
    <w:p w14:paraId="49EE79BB" w14:textId="77777777" w:rsidR="006714FF" w:rsidRDefault="006714FF" w:rsidP="006714FF">
      <w:pPr>
        <w:pStyle w:val="VAFigureCaption"/>
      </w:pPr>
      <w:r>
        <w:rPr>
          <w:noProof/>
        </w:rPr>
        <w:lastRenderedPageBreak/>
        <w:drawing>
          <wp:inline distT="0" distB="0" distL="0" distR="0" wp14:anchorId="3199C120" wp14:editId="2E0F309E">
            <wp:extent cx="2926080" cy="2194560"/>
            <wp:effectExtent l="0" t="0" r="0" b="0"/>
            <wp:docPr id="1225359857" name="Picture 1225359857" descr="A diagram of a model correction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59857" name="Picture 1225359857" descr="A diagram of a model correction curve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r>
        <w:rPr>
          <w:noProof/>
        </w:rPr>
        <w:drawing>
          <wp:inline distT="0" distB="0" distL="0" distR="0" wp14:anchorId="00BCFD9E" wp14:editId="53097D0D">
            <wp:extent cx="2926080" cy="2194560"/>
            <wp:effectExtent l="0" t="0" r="0" b="0"/>
            <wp:docPr id="608821360" name="Picture 608821360" descr="A graph of a model correction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21360" name="Picture 608821360" descr="A graph of a model correction curves&#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r w:rsidRPr="009E43C8">
        <w:rPr>
          <w:b/>
          <w:bCs/>
        </w:rPr>
        <w:t>Figure S8.</w:t>
      </w:r>
      <w:r w:rsidRPr="57EE44F5">
        <w:t xml:space="preserve"> CAMP correction for </w:t>
      </w:r>
      <w:proofErr w:type="spellStart"/>
      <w:r w:rsidRPr="57EE44F5">
        <w:t>CAMx</w:t>
      </w:r>
      <w:proofErr w:type="spellEnd"/>
      <w:r w:rsidRPr="57EE44F5">
        <w:t xml:space="preserve">-modeled </w:t>
      </w:r>
      <w:r>
        <w:t>log-</w:t>
      </w:r>
      <w:r w:rsidRPr="57EE44F5">
        <w:t xml:space="preserve">xylenes in 2011 (left panel) and 2012 (right panel). Green dots represent </w:t>
      </w:r>
      <w:r>
        <w:t>log-</w:t>
      </w:r>
      <w:proofErr w:type="spellStart"/>
      <w:r w:rsidRPr="57EE44F5">
        <w:t>CAMx</w:t>
      </w:r>
      <w:proofErr w:type="spellEnd"/>
      <w:r w:rsidRPr="57EE44F5">
        <w:t xml:space="preserve"> and </w:t>
      </w:r>
      <w:r>
        <w:t>log-</w:t>
      </w:r>
      <w:r w:rsidRPr="57EE44F5">
        <w:t xml:space="preserve">observed concentrations. Black vertical lines represent </w:t>
      </w:r>
      <w:proofErr w:type="spellStart"/>
      <w:r w:rsidRPr="57EE44F5">
        <w:t>CAMx</w:t>
      </w:r>
      <w:proofErr w:type="spellEnd"/>
      <w:r w:rsidRPr="57EE44F5">
        <w:t xml:space="preserve"> model decile bounds. λ</w:t>
      </w:r>
      <w:r w:rsidRPr="57EE44F5">
        <w:rPr>
          <w:vertAlign w:val="subscript"/>
        </w:rPr>
        <w:t>1</w:t>
      </w:r>
      <w:r w:rsidRPr="57EE44F5">
        <w:t xml:space="preserve"> (dark blue line) is the (monotonically increasing) mean observed value within each decile bin (left axis). λ</w:t>
      </w:r>
      <w:r w:rsidRPr="57EE44F5">
        <w:rPr>
          <w:vertAlign w:val="subscript"/>
        </w:rPr>
        <w:t>2</w:t>
      </w:r>
      <w:r w:rsidRPr="57EE44F5">
        <w:t xml:space="preserve"> (orange line) is the </w:t>
      </w:r>
      <w:proofErr w:type="spellStart"/>
      <w:r w:rsidRPr="57EE44F5">
        <w:t>CAMx</w:t>
      </w:r>
      <w:proofErr w:type="spellEnd"/>
      <w:r w:rsidRPr="57EE44F5">
        <w:t xml:space="preserve"> variance within each decile bin (right axis). </w:t>
      </w:r>
      <w:proofErr w:type="spellStart"/>
      <w:r w:rsidRPr="57EE44F5">
        <w:t>CAMx</w:t>
      </w:r>
      <w:proofErr w:type="spellEnd"/>
      <w:r w:rsidRPr="57EE44F5">
        <w:t xml:space="preserve">-observed value one-to-one line represented by </w:t>
      </w:r>
      <w:r>
        <w:t xml:space="preserve">the </w:t>
      </w:r>
      <w:r w:rsidRPr="57EE44F5">
        <w:t>thin blue line</w:t>
      </w:r>
      <w:r>
        <w:t>.</w:t>
      </w:r>
    </w:p>
    <w:p w14:paraId="5CC0DA17" w14:textId="77777777" w:rsidR="006714FF" w:rsidRPr="009E43C8" w:rsidRDefault="006714FF" w:rsidP="006714FF">
      <w:pPr>
        <w:pStyle w:val="TESupportingInformation"/>
        <w:rPr>
          <w:b/>
          <w:bCs/>
        </w:rPr>
      </w:pPr>
      <w:r w:rsidRPr="009E43C8">
        <w:rPr>
          <w:b/>
          <w:bCs/>
        </w:rPr>
        <w:t>S6. BME Framework Description</w:t>
      </w:r>
    </w:p>
    <w:p w14:paraId="6D7B986B" w14:textId="77777777" w:rsidR="006714FF" w:rsidRDefault="006714FF" w:rsidP="006714FF">
      <w:pPr>
        <w:pStyle w:val="TESupportingInformation"/>
        <w:rPr>
          <w:color w:val="000000" w:themeColor="text1"/>
        </w:rPr>
      </w:pPr>
      <w:r>
        <w:rPr>
          <w:color w:val="000000" w:themeColor="text1"/>
        </w:rPr>
        <w:t xml:space="preserve">The first step of the BME analysis consists of developing, for each SBTEX compound, global offsets at three resolutions: flat, medium, and fine. This was done by developing 10 </w:t>
      </w:r>
      <w:r w:rsidRPr="0034394B">
        <w:rPr>
          <w:color w:val="000000" w:themeColor="text1"/>
        </w:rPr>
        <w:t>global offsets</w:t>
      </w:r>
      <w:r>
        <w:rPr>
          <w:color w:val="000000" w:themeColor="text1"/>
        </w:rPr>
        <w:t xml:space="preserve">, labeled go0, go1, …, and go9, and assigning them to the three desired resolutions. These global offsets are described in Tables S2-S6 for styrene, benzene, toluene, ethylbenzene, and xylenes, respectively. Taking styrene (Table S2) as an example, the 10 global offsets are as follows: </w:t>
      </w:r>
    </w:p>
    <w:p w14:paraId="39932893" w14:textId="77777777" w:rsidR="006714FF" w:rsidRDefault="006714FF" w:rsidP="006714FF">
      <w:pPr>
        <w:pStyle w:val="TESupportingInformation"/>
        <w:numPr>
          <w:ilvl w:val="0"/>
          <w:numId w:val="29"/>
        </w:numPr>
        <w:rPr>
          <w:color w:val="000000" w:themeColor="text1"/>
        </w:rPr>
      </w:pPr>
      <w:r w:rsidRPr="007F10A1">
        <w:rPr>
          <w:color w:val="000000" w:themeColor="text1"/>
        </w:rPr>
        <w:t>Global offsets go0 and go1 ha</w:t>
      </w:r>
      <w:r>
        <w:rPr>
          <w:color w:val="000000" w:themeColor="text1"/>
        </w:rPr>
        <w:t>d</w:t>
      </w:r>
      <w:r w:rsidRPr="007F10A1">
        <w:rPr>
          <w:color w:val="000000" w:themeColor="text1"/>
        </w:rPr>
        <w:t xml:space="preserve"> values set to 0 and to a constant (the average of all log concentrations for each SBTEX compound), respectively, which correspond</w:t>
      </w:r>
      <w:r>
        <w:rPr>
          <w:color w:val="000000" w:themeColor="text1"/>
        </w:rPr>
        <w:t>ed</w:t>
      </w:r>
      <w:r w:rsidRPr="007F10A1">
        <w:rPr>
          <w:color w:val="000000" w:themeColor="text1"/>
        </w:rPr>
        <w:t xml:space="preserve"> to the flat resolution. </w:t>
      </w:r>
    </w:p>
    <w:p w14:paraId="5D8851DD" w14:textId="77777777" w:rsidR="006714FF" w:rsidRDefault="006714FF" w:rsidP="006714FF">
      <w:pPr>
        <w:pStyle w:val="TESupportingInformation"/>
        <w:numPr>
          <w:ilvl w:val="0"/>
          <w:numId w:val="29"/>
        </w:numPr>
        <w:rPr>
          <w:color w:val="000000" w:themeColor="text1"/>
        </w:rPr>
      </w:pPr>
      <w:r w:rsidRPr="009E43C8">
        <w:rPr>
          <w:color w:val="000000" w:themeColor="text1"/>
        </w:rPr>
        <w:lastRenderedPageBreak/>
        <w:t xml:space="preserve">Global offsets go2 to go5 were created with a spatial component, </w:t>
      </w:r>
      <m:oMath>
        <m:sSub>
          <m:sSubPr>
            <m:ctrlPr>
              <w:rPr>
                <w:rFonts w:ascii="Cambria Math" w:hAnsi="Cambria Math"/>
                <w:i/>
              </w:rPr>
            </m:ctrlPr>
          </m:sSubPr>
          <m:e>
            <m:r>
              <w:rPr>
                <w:rFonts w:ascii="Cambria Math" w:hAnsi="Cambria Math"/>
              </w:rPr>
              <m:t>o</m:t>
            </m:r>
          </m:e>
          <m:sub>
            <m:r>
              <w:rPr>
                <w:rFonts w:ascii="Cambria Math" w:hAnsi="Cambria Math"/>
              </w:rPr>
              <m:t>α,s</m:t>
            </m:r>
          </m:sub>
        </m:sSub>
        <m:d>
          <m:dPr>
            <m:ctrlPr>
              <w:rPr>
                <w:rFonts w:ascii="Cambria Math" w:hAnsi="Cambria Math"/>
                <w:i/>
              </w:rPr>
            </m:ctrlPr>
          </m:dPr>
          <m:e>
            <m:r>
              <m:rPr>
                <m:sty m:val="bi"/>
              </m:rPr>
              <w:rPr>
                <w:rFonts w:ascii="Cambria Math" w:hAnsi="Cambria Math"/>
              </w:rPr>
              <m:t>s</m:t>
            </m:r>
          </m:e>
        </m:d>
      </m:oMath>
      <w:r>
        <w:t>,</w:t>
      </w:r>
      <w:r w:rsidRPr="007F10A1">
        <w:t xml:space="preserve"> </w:t>
      </w:r>
      <w:r w:rsidRPr="009E43C8">
        <w:rPr>
          <w:color w:val="000000" w:themeColor="text1"/>
        </w:rPr>
        <w:t xml:space="preserve">and temporal component, </w:t>
      </w:r>
      <m:oMath>
        <m:sSub>
          <m:sSubPr>
            <m:ctrlPr>
              <w:rPr>
                <w:rFonts w:ascii="Cambria Math" w:hAnsi="Cambria Math"/>
                <w:i/>
              </w:rPr>
            </m:ctrlPr>
          </m:sSubPr>
          <m:e>
            <m:r>
              <w:rPr>
                <w:rFonts w:ascii="Cambria Math" w:hAnsi="Cambria Math"/>
              </w:rPr>
              <m:t>o</m:t>
            </m:r>
          </m:e>
          <m:sub>
            <m:r>
              <w:rPr>
                <w:rFonts w:ascii="Cambria Math" w:hAnsi="Cambria Math"/>
              </w:rPr>
              <m:t>α,t</m:t>
            </m:r>
          </m:sub>
        </m:sSub>
        <m:d>
          <m:dPr>
            <m:ctrlPr>
              <w:rPr>
                <w:rFonts w:ascii="Cambria Math" w:hAnsi="Cambria Math"/>
                <w:i/>
              </w:rPr>
            </m:ctrlPr>
          </m:dPr>
          <m:e>
            <m:r>
              <w:rPr>
                <w:rFonts w:ascii="Cambria Math" w:hAnsi="Cambria Math"/>
              </w:rPr>
              <m:t>t</m:t>
            </m:r>
          </m:e>
        </m:d>
      </m:oMath>
      <w:r>
        <w:t>,</w:t>
      </w:r>
      <w:r w:rsidRPr="007F10A1">
        <w:t xml:space="preserve"> obtained from </w:t>
      </w:r>
      <w:r w:rsidRPr="009E43C8">
        <w:rPr>
          <w:color w:val="000000" w:themeColor="text1"/>
        </w:rPr>
        <w:t>e</w:t>
      </w:r>
      <w:r w:rsidRPr="007F10A1">
        <w:t xml:space="preserve">xponential Kernel Smoothing (KS) of spatially- and time-averaged observational log concentrations, respectively, as described in Akita et al. (2007), and henceforward referred </w:t>
      </w:r>
      <w:r>
        <w:t xml:space="preserve">to </w:t>
      </w:r>
      <w:r w:rsidRPr="007F10A1">
        <w:t>as global offset</w:t>
      </w:r>
      <w:r>
        <w:t>s</w:t>
      </w:r>
      <w:r w:rsidRPr="007F10A1">
        <w:t xml:space="preserve"> of type Spatial &amp; Temporal Kernel Smoothing</w:t>
      </w:r>
      <w:r>
        <w:t xml:space="preserve">, </w:t>
      </w:r>
      <w:r w:rsidRPr="007F10A1">
        <w:t xml:space="preserve">or, in short, S/T-KS type. The resolution of go2 to go5 </w:t>
      </w:r>
      <w:r>
        <w:t>were</w:t>
      </w:r>
      <w:r w:rsidRPr="007F10A1">
        <w:t xml:space="preserve"> set by their kernel smoothing range parameters, with spatial and temporal ranges varying from large (</w:t>
      </w:r>
      <w:r w:rsidRPr="009E43C8">
        <w:rPr>
          <w:i/>
          <w:iCs/>
        </w:rPr>
        <w:t>i.e.,</w:t>
      </w:r>
      <w:r w:rsidRPr="007F10A1">
        <w:t xml:space="preserve"> 7.5 degree and 730 days) values for go2 </w:t>
      </w:r>
      <w:r>
        <w:t xml:space="preserve">and progressively becoming finer from go2 to go4 till they reach </w:t>
      </w:r>
      <w:r w:rsidRPr="007F10A1">
        <w:t>small (</w:t>
      </w:r>
      <w:r w:rsidRPr="009E43C8">
        <w:rPr>
          <w:i/>
          <w:iCs/>
        </w:rPr>
        <w:t>i.e.,</w:t>
      </w:r>
      <w:r w:rsidRPr="007F10A1">
        <w:t xml:space="preserve"> 0.2 degree and 90 days) values for go4. </w:t>
      </w:r>
      <w:r>
        <w:t>Global offsets</w:t>
      </w:r>
      <w:r w:rsidRPr="007F10A1">
        <w:t xml:space="preserve"> go2 and g3 </w:t>
      </w:r>
      <w:r>
        <w:t>were</w:t>
      </w:r>
      <w:r w:rsidRPr="007F10A1">
        <w:t xml:space="preserve"> classified as medium resolution and </w:t>
      </w:r>
      <w:r>
        <w:t>global offsets</w:t>
      </w:r>
      <w:r w:rsidRPr="003A79A5">
        <w:t xml:space="preserve"> </w:t>
      </w:r>
      <w:r w:rsidRPr="007F10A1">
        <w:t xml:space="preserve">go4 and go5 are classified as fine resolution. </w:t>
      </w:r>
    </w:p>
    <w:p w14:paraId="51B9698B" w14:textId="77777777" w:rsidR="006714FF" w:rsidRPr="009E43C8" w:rsidRDefault="006714FF" w:rsidP="006714FF">
      <w:pPr>
        <w:pStyle w:val="TESupportingInformation"/>
        <w:numPr>
          <w:ilvl w:val="0"/>
          <w:numId w:val="29"/>
        </w:numPr>
        <w:rPr>
          <w:color w:val="000000" w:themeColor="text1"/>
        </w:rPr>
      </w:pPr>
      <w:r w:rsidRPr="007F10A1">
        <w:t>Global offsets go6 to go9 ha</w:t>
      </w:r>
      <w:r>
        <w:t>d</w:t>
      </w:r>
      <w:r w:rsidRPr="007F10A1">
        <w:t xml:space="preserve"> the same temporal component</w:t>
      </w:r>
      <w:r>
        <w:t>,</w:t>
      </w:r>
      <w:r w:rsidRPr="007F10A1">
        <w:t xml:space="preserve"> </w:t>
      </w:r>
      <m:oMath>
        <m:sSub>
          <m:sSubPr>
            <m:ctrlPr>
              <w:rPr>
                <w:rFonts w:ascii="Cambria Math" w:hAnsi="Cambria Math"/>
                <w:i/>
              </w:rPr>
            </m:ctrlPr>
          </m:sSubPr>
          <m:e>
            <m:r>
              <w:rPr>
                <w:rFonts w:ascii="Cambria Math" w:hAnsi="Cambria Math"/>
              </w:rPr>
              <m:t>o</m:t>
            </m:r>
          </m:e>
          <m:sub>
            <m:r>
              <w:rPr>
                <w:rFonts w:ascii="Cambria Math" w:hAnsi="Cambria Math"/>
              </w:rPr>
              <m:t>α,t</m:t>
            </m:r>
          </m:sub>
        </m:sSub>
        <m:d>
          <m:dPr>
            <m:ctrlPr>
              <w:rPr>
                <w:rFonts w:ascii="Cambria Math" w:hAnsi="Cambria Math"/>
                <w:i/>
              </w:rPr>
            </m:ctrlPr>
          </m:dPr>
          <m:e>
            <m:r>
              <w:rPr>
                <w:rFonts w:ascii="Cambria Math" w:hAnsi="Cambria Math"/>
              </w:rPr>
              <m:t>t</m:t>
            </m:r>
          </m:e>
        </m:d>
      </m:oMath>
      <w:r>
        <w:t>,</w:t>
      </w:r>
      <w:r w:rsidRPr="003A79A5">
        <w:t xml:space="preserve"> </w:t>
      </w:r>
      <w:r w:rsidRPr="007F10A1">
        <w:t xml:space="preserve">as go2 to go5, </w:t>
      </w:r>
      <w:r>
        <w:t xml:space="preserve">respectively, </w:t>
      </w:r>
      <w:r w:rsidRPr="007F10A1">
        <w:t>but their spatial components</w:t>
      </w:r>
      <w:r>
        <w:t>,</w:t>
      </w:r>
      <w:r w:rsidRPr="007F10A1">
        <w:t xml:space="preserve"> </w:t>
      </w:r>
      <m:oMath>
        <m:sSub>
          <m:sSubPr>
            <m:ctrlPr>
              <w:rPr>
                <w:rFonts w:ascii="Cambria Math" w:hAnsi="Cambria Math"/>
                <w:i/>
              </w:rPr>
            </m:ctrlPr>
          </m:sSubPr>
          <m:e>
            <m:r>
              <w:rPr>
                <w:rFonts w:ascii="Cambria Math" w:hAnsi="Cambria Math"/>
              </w:rPr>
              <m:t>o</m:t>
            </m:r>
          </m:e>
          <m:sub>
            <m:r>
              <w:rPr>
                <w:rFonts w:ascii="Cambria Math" w:hAnsi="Cambria Math"/>
              </w:rPr>
              <m:t>α,s</m:t>
            </m:r>
          </m:sub>
        </m:sSub>
        <m:d>
          <m:dPr>
            <m:ctrlPr>
              <w:rPr>
                <w:rFonts w:ascii="Cambria Math" w:hAnsi="Cambria Math"/>
                <w:i/>
              </w:rPr>
            </m:ctrlPr>
          </m:dPr>
          <m:e>
            <m:r>
              <m:rPr>
                <m:sty m:val="bi"/>
              </m:rPr>
              <w:rPr>
                <w:rFonts w:ascii="Cambria Math" w:hAnsi="Cambria Math"/>
              </w:rPr>
              <m:t>s</m:t>
            </m:r>
          </m:e>
        </m:d>
      </m:oMath>
      <w:r>
        <w:t>,</w:t>
      </w:r>
      <w:r w:rsidRPr="003A79A5">
        <w:t xml:space="preserve"> </w:t>
      </w:r>
      <w:r>
        <w:t xml:space="preserve">were </w:t>
      </w:r>
      <w:r w:rsidRPr="007F10A1">
        <w:t>replaced with the LUR model</w:t>
      </w:r>
      <w:r>
        <w:t xml:space="preserve"> (such that go6 to go9 share the same spatial component)</w:t>
      </w:r>
      <w:r w:rsidRPr="007F10A1">
        <w:t xml:space="preserve">. </w:t>
      </w:r>
      <w:r>
        <w:t>Since their spatial component was obtained from LUR, and their temporal component was obtained from KS, t</w:t>
      </w:r>
      <w:r w:rsidRPr="007F10A1">
        <w:t xml:space="preserve">hey are referred </w:t>
      </w:r>
      <w:r>
        <w:t xml:space="preserve">to </w:t>
      </w:r>
      <w:r w:rsidRPr="007F10A1">
        <w:t xml:space="preserve">as being of </w:t>
      </w:r>
      <w:r>
        <w:t xml:space="preserve">type </w:t>
      </w:r>
      <w:r w:rsidRPr="57EE44F5">
        <w:t>Spatial LUR &amp; Temporal Kernel Smoothing</w:t>
      </w:r>
      <w:r>
        <w:t xml:space="preserve">, or, </w:t>
      </w:r>
      <w:r w:rsidRPr="003A79A5">
        <w:t xml:space="preserve">in short, </w:t>
      </w:r>
      <w:r w:rsidRPr="108B7E4C">
        <w:t>S-LUR+T-KS</w:t>
      </w:r>
      <w:r w:rsidRPr="003A79A5">
        <w:t xml:space="preserve"> type</w:t>
      </w:r>
      <w:r>
        <w:t xml:space="preserve">. Global offsets </w:t>
      </w:r>
      <w:r w:rsidRPr="007F10A1">
        <w:t xml:space="preserve">go6 and g7 </w:t>
      </w:r>
      <w:r>
        <w:t>were</w:t>
      </w:r>
      <w:r w:rsidRPr="007F10A1">
        <w:t xml:space="preserve"> classified as medium resolution and go8 and go9 are classified as fine resolution. </w:t>
      </w:r>
    </w:p>
    <w:p w14:paraId="5112E6AA" w14:textId="77777777" w:rsidR="006714FF" w:rsidRPr="009E43C8" w:rsidRDefault="006714FF" w:rsidP="006714FF">
      <w:pPr>
        <w:pStyle w:val="TESupportingInformation"/>
        <w:rPr>
          <w:color w:val="000000" w:themeColor="text1"/>
        </w:rPr>
      </w:pPr>
      <w:r>
        <w:rPr>
          <w:color w:val="000000" w:themeColor="text1"/>
        </w:rPr>
        <w:t xml:space="preserve">As can be seen from the description above, there were several global offsets corresponding to each of the resolutions; global offsets go0 and go1 had a flat resolution, global offsets go2, go3, go6, and go7 had a medium resolution, and global offsets go3, go4, go8, and go9 had a fine resolution. Evaluating each of these global offsets would be too computationally expensive. Therefore, only one global offset per resolution was fully evaluated. They are the global offset </w:t>
      </w:r>
      <w:r>
        <w:rPr>
          <w:color w:val="000000" w:themeColor="text1"/>
        </w:rPr>
        <w:lastRenderedPageBreak/>
        <w:t xml:space="preserve">shown in boldface in Tables S2-S6. For example, in the case of styrene (Table S2), the selected global offsets were go1 (flat), go2 (medium resolution of type </w:t>
      </w:r>
      <w:r w:rsidRPr="003A79A5">
        <w:t>S/T-KS</w:t>
      </w:r>
      <w:r>
        <w:rPr>
          <w:color w:val="000000" w:themeColor="text1"/>
        </w:rPr>
        <w:t xml:space="preserve">), and go5 (fine resolution of type </w:t>
      </w:r>
      <w:r w:rsidRPr="003A79A5">
        <w:t>S/T-KS</w:t>
      </w:r>
      <w:r>
        <w:rPr>
          <w:color w:val="000000" w:themeColor="text1"/>
        </w:rPr>
        <w:t>), while for benzene (Table S3), the selected global offsets were go1 (flat), go6 (medium resolution</w:t>
      </w:r>
      <w:r w:rsidRPr="00C43438">
        <w:rPr>
          <w:color w:val="000000" w:themeColor="text1"/>
        </w:rPr>
        <w:t xml:space="preserve"> </w:t>
      </w:r>
      <w:r>
        <w:rPr>
          <w:color w:val="000000" w:themeColor="text1"/>
        </w:rPr>
        <w:t xml:space="preserve">of type </w:t>
      </w:r>
      <w:r w:rsidRPr="108B7E4C">
        <w:t>S-LUR+T-KS</w:t>
      </w:r>
      <w:r>
        <w:rPr>
          <w:color w:val="000000" w:themeColor="text1"/>
        </w:rPr>
        <w:t xml:space="preserve">), and go8 (fine resolution of type </w:t>
      </w:r>
      <w:r w:rsidRPr="108B7E4C">
        <w:t>S-LUR+T-KS</w:t>
      </w:r>
      <w:r>
        <w:rPr>
          <w:color w:val="000000" w:themeColor="text1"/>
        </w:rPr>
        <w:t xml:space="preserve">). The selected global offsets were obtained by choosing those with the best performance at a cross-validation radius of 3 degrees. </w:t>
      </w:r>
    </w:p>
    <w:p w14:paraId="5D27FA8C" w14:textId="77777777" w:rsidR="006714FF" w:rsidRDefault="006714FF" w:rsidP="006714FF">
      <w:pPr>
        <w:pStyle w:val="VDTableTitle"/>
      </w:pPr>
      <w:r w:rsidRPr="009E43C8">
        <w:rPr>
          <w:b/>
          <w:bCs/>
        </w:rPr>
        <w:t>Table S2.</w:t>
      </w:r>
      <w:r w:rsidRPr="57EE44F5">
        <w:t xml:space="preserve"> </w:t>
      </w:r>
      <w:r>
        <w:t>Log-</w:t>
      </w:r>
      <w:r w:rsidRPr="57EE44F5">
        <w:t>styrene global offset parameters. Bolded global offset scenarios were used during method evaluation and determined using 3-degree RCV sensitivity analyses.</w:t>
      </w:r>
    </w:p>
    <w:tbl>
      <w:tblPr>
        <w:tblW w:w="830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077"/>
        <w:gridCol w:w="1077"/>
        <w:gridCol w:w="1041"/>
        <w:gridCol w:w="877"/>
        <w:gridCol w:w="808"/>
        <w:gridCol w:w="904"/>
        <w:gridCol w:w="810"/>
        <w:gridCol w:w="935"/>
        <w:gridCol w:w="775"/>
      </w:tblGrid>
      <w:tr w:rsidR="006714FF" w14:paraId="3DB7D55A" w14:textId="77777777" w:rsidTr="00B77C41">
        <w:trPr>
          <w:trHeight w:val="300"/>
        </w:trPr>
        <w:tc>
          <w:tcPr>
            <w:tcW w:w="1077" w:type="dxa"/>
            <w:vMerge w:val="restart"/>
            <w:shd w:val="clear" w:color="auto" w:fill="FFFFFF" w:themeFill="background1"/>
            <w:vAlign w:val="bottom"/>
          </w:tcPr>
          <w:p w14:paraId="61C3B130" w14:textId="77777777" w:rsidR="006714FF" w:rsidRPr="57EE44F5"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Global Offset </w:t>
            </w:r>
            <w:r>
              <w:rPr>
                <w:rFonts w:ascii="Times New Roman" w:hAnsi="Times New Roman"/>
                <w:sz w:val="22"/>
                <w:szCs w:val="22"/>
              </w:rPr>
              <w:t>Name</w:t>
            </w:r>
          </w:p>
        </w:tc>
        <w:tc>
          <w:tcPr>
            <w:tcW w:w="1077" w:type="dxa"/>
            <w:vMerge w:val="restart"/>
            <w:shd w:val="clear" w:color="auto" w:fill="FFFFFF" w:themeFill="background1"/>
            <w:tcMar>
              <w:top w:w="15" w:type="dxa"/>
              <w:left w:w="15" w:type="dxa"/>
              <w:right w:w="15" w:type="dxa"/>
            </w:tcMar>
            <w:vAlign w:val="bottom"/>
          </w:tcPr>
          <w:p w14:paraId="2B71609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41" w:type="dxa"/>
            <w:vMerge w:val="restart"/>
            <w:shd w:val="clear" w:color="auto" w:fill="FFFFFF" w:themeFill="background1"/>
            <w:tcMar>
              <w:top w:w="15" w:type="dxa"/>
              <w:left w:w="15" w:type="dxa"/>
              <w:right w:w="15" w:type="dxa"/>
            </w:tcMar>
            <w:vAlign w:val="bottom"/>
          </w:tcPr>
          <w:p w14:paraId="37937F1C" w14:textId="77777777" w:rsidR="006714FF" w:rsidRDefault="006714FF" w:rsidP="00B77C41">
            <w:pPr>
              <w:spacing w:after="0" w:line="278" w:lineRule="auto"/>
              <w:jc w:val="center"/>
              <w:rPr>
                <w:rFonts w:ascii="Times New Roman" w:hAnsi="Times New Roman"/>
                <w:sz w:val="22"/>
                <w:szCs w:val="22"/>
              </w:rPr>
            </w:pPr>
            <w:r w:rsidRPr="57EE44F5">
              <w:rPr>
                <w:rFonts w:ascii="Times New Roman" w:hAnsi="Times New Roman"/>
                <w:sz w:val="22"/>
                <w:szCs w:val="22"/>
              </w:rPr>
              <w:t>Global Offset Resolution</w:t>
            </w:r>
          </w:p>
        </w:tc>
        <w:tc>
          <w:tcPr>
            <w:tcW w:w="877" w:type="dxa"/>
            <w:vMerge w:val="restart"/>
            <w:shd w:val="clear" w:color="auto" w:fill="FFFFFF" w:themeFill="background1"/>
            <w:tcMar>
              <w:top w:w="15" w:type="dxa"/>
              <w:left w:w="15" w:type="dxa"/>
              <w:right w:w="15" w:type="dxa"/>
            </w:tcMar>
            <w:vAlign w:val="bottom"/>
          </w:tcPr>
          <w:p w14:paraId="3080317C"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712" w:type="dxa"/>
            <w:gridSpan w:val="2"/>
            <w:shd w:val="clear" w:color="auto" w:fill="FFFFFF" w:themeFill="background1"/>
            <w:vAlign w:val="center"/>
          </w:tcPr>
          <w:p w14:paraId="40F7337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Kernel Smoothing Parameters</w:t>
            </w:r>
          </w:p>
        </w:tc>
        <w:tc>
          <w:tcPr>
            <w:tcW w:w="2520" w:type="dxa"/>
            <w:gridSpan w:val="3"/>
            <w:shd w:val="clear" w:color="auto" w:fill="FFFFFF" w:themeFill="background1"/>
            <w:tcMar>
              <w:top w:w="15" w:type="dxa"/>
              <w:left w:w="15" w:type="dxa"/>
              <w:right w:w="15" w:type="dxa"/>
            </w:tcMar>
            <w:vAlign w:val="center"/>
          </w:tcPr>
          <w:p w14:paraId="667F539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SEDC LUR Parameters (</w:t>
            </w:r>
            <w:r w:rsidRPr="009A30AA">
              <w:rPr>
                <w:sz w:val="22"/>
                <w:szCs w:val="22"/>
              </w:rPr>
              <w:sym w:font="Symbol" w:char="F064"/>
            </w:r>
            <w:r w:rsidRPr="57EE44F5">
              <w:rPr>
                <w:rFonts w:ascii="Times New Roman" w:hAnsi="Times New Roman"/>
                <w:sz w:val="22"/>
                <w:szCs w:val="22"/>
              </w:rPr>
              <w:t>)</w:t>
            </w:r>
          </w:p>
        </w:tc>
      </w:tr>
      <w:tr w:rsidR="006714FF" w14:paraId="7EBEF692" w14:textId="77777777" w:rsidTr="00B77C41">
        <w:trPr>
          <w:trHeight w:val="300"/>
        </w:trPr>
        <w:tc>
          <w:tcPr>
            <w:tcW w:w="1077" w:type="dxa"/>
            <w:vMerge/>
            <w:vAlign w:val="center"/>
          </w:tcPr>
          <w:p w14:paraId="5080A853" w14:textId="77777777" w:rsidR="006714FF" w:rsidRDefault="006714FF" w:rsidP="00B77C41"/>
        </w:tc>
        <w:tc>
          <w:tcPr>
            <w:tcW w:w="1077" w:type="dxa"/>
            <w:vMerge/>
            <w:vAlign w:val="center"/>
          </w:tcPr>
          <w:p w14:paraId="72C64EB1" w14:textId="77777777" w:rsidR="006714FF" w:rsidRDefault="006714FF" w:rsidP="00B77C41"/>
        </w:tc>
        <w:tc>
          <w:tcPr>
            <w:tcW w:w="1041" w:type="dxa"/>
            <w:vMerge/>
          </w:tcPr>
          <w:p w14:paraId="3CC5D4A3" w14:textId="77777777" w:rsidR="006714FF" w:rsidRDefault="006714FF" w:rsidP="00B77C41"/>
        </w:tc>
        <w:tc>
          <w:tcPr>
            <w:tcW w:w="877" w:type="dxa"/>
            <w:vMerge/>
            <w:vAlign w:val="center"/>
          </w:tcPr>
          <w:p w14:paraId="0C7B4045" w14:textId="77777777" w:rsidR="006714FF" w:rsidRDefault="006714FF" w:rsidP="00B77C41"/>
        </w:tc>
        <w:tc>
          <w:tcPr>
            <w:tcW w:w="808" w:type="dxa"/>
            <w:shd w:val="clear" w:color="auto" w:fill="FFFFFF" w:themeFill="background1"/>
            <w:tcMar>
              <w:top w:w="15" w:type="dxa"/>
              <w:left w:w="15" w:type="dxa"/>
              <w:right w:w="15" w:type="dxa"/>
            </w:tcMar>
            <w:vAlign w:val="bottom"/>
          </w:tcPr>
          <w:p w14:paraId="6F5D3C6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Range (deg.)</w:t>
            </w:r>
          </w:p>
        </w:tc>
        <w:tc>
          <w:tcPr>
            <w:tcW w:w="904" w:type="dxa"/>
            <w:shd w:val="clear" w:color="auto" w:fill="FFFFFF" w:themeFill="background1"/>
            <w:tcMar>
              <w:top w:w="15" w:type="dxa"/>
              <w:left w:w="15" w:type="dxa"/>
              <w:right w:w="15" w:type="dxa"/>
            </w:tcMar>
            <w:vAlign w:val="bottom"/>
          </w:tcPr>
          <w:p w14:paraId="66E2409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Temporal Range (day)</w:t>
            </w:r>
          </w:p>
        </w:tc>
        <w:tc>
          <w:tcPr>
            <w:tcW w:w="810" w:type="dxa"/>
            <w:shd w:val="clear" w:color="auto" w:fill="FFFFFF" w:themeFill="background1"/>
            <w:tcMar>
              <w:top w:w="15" w:type="dxa"/>
              <w:left w:w="15" w:type="dxa"/>
              <w:right w:w="15" w:type="dxa"/>
            </w:tcMar>
            <w:vAlign w:val="bottom"/>
          </w:tcPr>
          <w:p w14:paraId="10D585C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Point (deg.)</w:t>
            </w:r>
          </w:p>
        </w:tc>
        <w:tc>
          <w:tcPr>
            <w:tcW w:w="935" w:type="dxa"/>
            <w:shd w:val="clear" w:color="auto" w:fill="FFFFFF" w:themeFill="background1"/>
            <w:tcMar>
              <w:top w:w="15" w:type="dxa"/>
              <w:left w:w="15" w:type="dxa"/>
              <w:right w:w="15" w:type="dxa"/>
            </w:tcMar>
            <w:vAlign w:val="bottom"/>
          </w:tcPr>
          <w:p w14:paraId="6A78F1D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Nonpoint (deg.)</w:t>
            </w:r>
          </w:p>
        </w:tc>
        <w:tc>
          <w:tcPr>
            <w:tcW w:w="775" w:type="dxa"/>
            <w:shd w:val="clear" w:color="auto" w:fill="FFFFFF" w:themeFill="background1"/>
            <w:tcMar>
              <w:top w:w="15" w:type="dxa"/>
              <w:left w:w="15" w:type="dxa"/>
              <w:right w:w="15" w:type="dxa"/>
            </w:tcMar>
            <w:vAlign w:val="bottom"/>
          </w:tcPr>
          <w:p w14:paraId="3CE3805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On road (deg.)</w:t>
            </w:r>
          </w:p>
        </w:tc>
      </w:tr>
      <w:tr w:rsidR="006714FF" w14:paraId="7334AF77" w14:textId="77777777" w:rsidTr="00B77C41">
        <w:trPr>
          <w:trHeight w:val="285"/>
        </w:trPr>
        <w:tc>
          <w:tcPr>
            <w:tcW w:w="1077" w:type="dxa"/>
            <w:shd w:val="clear" w:color="auto" w:fill="FFFFFF" w:themeFill="background1"/>
            <w:vAlign w:val="center"/>
          </w:tcPr>
          <w:p w14:paraId="7F0639FE"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0</w:t>
            </w:r>
          </w:p>
        </w:tc>
        <w:tc>
          <w:tcPr>
            <w:tcW w:w="1077" w:type="dxa"/>
            <w:shd w:val="clear" w:color="auto" w:fill="FFFFFF" w:themeFill="background1"/>
            <w:tcMar>
              <w:top w:w="15" w:type="dxa"/>
              <w:left w:w="15" w:type="dxa"/>
              <w:right w:w="15" w:type="dxa"/>
            </w:tcMar>
            <w:vAlign w:val="center"/>
          </w:tcPr>
          <w:p w14:paraId="2CEBC85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41" w:type="dxa"/>
            <w:shd w:val="clear" w:color="auto" w:fill="D0D0D0"/>
            <w:tcMar>
              <w:top w:w="15" w:type="dxa"/>
              <w:left w:w="15" w:type="dxa"/>
              <w:right w:w="15" w:type="dxa"/>
            </w:tcMar>
            <w:vAlign w:val="center"/>
          </w:tcPr>
          <w:p w14:paraId="6C70E626" w14:textId="77777777" w:rsidR="006714FF" w:rsidRDefault="006714FF" w:rsidP="00B77C41">
            <w:pPr>
              <w:jc w:val="center"/>
              <w:rPr>
                <w:rFonts w:ascii="Times New Roman" w:hAnsi="Times New Roman"/>
                <w:sz w:val="22"/>
                <w:szCs w:val="22"/>
              </w:rPr>
            </w:pPr>
          </w:p>
        </w:tc>
        <w:tc>
          <w:tcPr>
            <w:tcW w:w="877" w:type="dxa"/>
            <w:shd w:val="clear" w:color="auto" w:fill="D0D0D0"/>
            <w:tcMar>
              <w:top w:w="15" w:type="dxa"/>
              <w:left w:w="15" w:type="dxa"/>
              <w:right w:w="15" w:type="dxa"/>
            </w:tcMar>
            <w:vAlign w:val="center"/>
          </w:tcPr>
          <w:p w14:paraId="423A436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808" w:type="dxa"/>
            <w:shd w:val="clear" w:color="auto" w:fill="D0D0D0"/>
            <w:tcMar>
              <w:top w:w="15" w:type="dxa"/>
              <w:left w:w="15" w:type="dxa"/>
              <w:right w:w="15" w:type="dxa"/>
            </w:tcMar>
            <w:vAlign w:val="bottom"/>
          </w:tcPr>
          <w:p w14:paraId="5037B89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D0D0D0"/>
            <w:tcMar>
              <w:top w:w="15" w:type="dxa"/>
              <w:left w:w="15" w:type="dxa"/>
              <w:right w:w="15" w:type="dxa"/>
            </w:tcMar>
            <w:vAlign w:val="bottom"/>
          </w:tcPr>
          <w:p w14:paraId="04B0E58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810" w:type="dxa"/>
            <w:shd w:val="clear" w:color="auto" w:fill="D0D0D0"/>
            <w:tcMar>
              <w:top w:w="15" w:type="dxa"/>
              <w:left w:w="15" w:type="dxa"/>
              <w:right w:w="15" w:type="dxa"/>
            </w:tcMar>
            <w:vAlign w:val="bottom"/>
          </w:tcPr>
          <w:p w14:paraId="116224C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7D2939E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31A071A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2ACA85FA" w14:textId="77777777" w:rsidTr="00B77C41">
        <w:trPr>
          <w:trHeight w:val="285"/>
        </w:trPr>
        <w:tc>
          <w:tcPr>
            <w:tcW w:w="1077" w:type="dxa"/>
            <w:shd w:val="clear" w:color="auto" w:fill="FFFFFF" w:themeFill="background1"/>
            <w:vAlign w:val="center"/>
          </w:tcPr>
          <w:p w14:paraId="473C50FB" w14:textId="77777777" w:rsidR="006714FF"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1</w:t>
            </w:r>
          </w:p>
        </w:tc>
        <w:tc>
          <w:tcPr>
            <w:tcW w:w="1077" w:type="dxa"/>
            <w:shd w:val="clear" w:color="auto" w:fill="FFFFFF" w:themeFill="background1"/>
            <w:tcMar>
              <w:top w:w="15" w:type="dxa"/>
              <w:left w:w="15" w:type="dxa"/>
              <w:right w:w="15" w:type="dxa"/>
            </w:tcMar>
            <w:vAlign w:val="center"/>
          </w:tcPr>
          <w:p w14:paraId="6FFB849F" w14:textId="77777777" w:rsidR="006714FF" w:rsidRDefault="006714FF" w:rsidP="00B77C41">
            <w:pPr>
              <w:spacing w:after="0"/>
              <w:jc w:val="center"/>
              <w:rPr>
                <w:rFonts w:ascii="Times New Roman" w:hAnsi="Times New Roman"/>
                <w:b/>
                <w:bCs/>
                <w:sz w:val="22"/>
                <w:szCs w:val="22"/>
              </w:rPr>
            </w:pPr>
            <w:r>
              <w:rPr>
                <w:rFonts w:ascii="Times New Roman" w:hAnsi="Times New Roman"/>
                <w:b/>
                <w:bCs/>
                <w:sz w:val="22"/>
                <w:szCs w:val="22"/>
              </w:rPr>
              <w:t>Constant</w:t>
            </w:r>
          </w:p>
        </w:tc>
        <w:tc>
          <w:tcPr>
            <w:tcW w:w="1041" w:type="dxa"/>
            <w:shd w:val="clear" w:color="auto" w:fill="FFFFFF" w:themeFill="background1"/>
            <w:tcMar>
              <w:top w:w="15" w:type="dxa"/>
              <w:left w:w="15" w:type="dxa"/>
              <w:right w:w="15" w:type="dxa"/>
            </w:tcMar>
            <w:vAlign w:val="bottom"/>
          </w:tcPr>
          <w:p w14:paraId="1F1BC6FE" w14:textId="77777777" w:rsidR="006714FF" w:rsidRPr="007A3E31" w:rsidRDefault="006714FF" w:rsidP="00B77C41">
            <w:pPr>
              <w:spacing w:after="0"/>
              <w:jc w:val="center"/>
              <w:rPr>
                <w:rFonts w:ascii="Times New Roman" w:hAnsi="Times New Roman"/>
                <w:b/>
                <w:bCs/>
                <w:sz w:val="22"/>
                <w:szCs w:val="22"/>
              </w:rPr>
            </w:pPr>
            <w:r>
              <w:rPr>
                <w:rFonts w:ascii="Times New Roman" w:hAnsi="Times New Roman"/>
                <w:b/>
                <w:bCs/>
                <w:sz w:val="22"/>
                <w:szCs w:val="22"/>
              </w:rPr>
              <w:t>Flat</w:t>
            </w:r>
          </w:p>
        </w:tc>
        <w:tc>
          <w:tcPr>
            <w:tcW w:w="877" w:type="dxa"/>
            <w:shd w:val="clear" w:color="auto" w:fill="D0D0D0"/>
            <w:tcMar>
              <w:top w:w="15" w:type="dxa"/>
              <w:left w:w="15" w:type="dxa"/>
              <w:right w:w="15" w:type="dxa"/>
            </w:tcMar>
            <w:vAlign w:val="center"/>
          </w:tcPr>
          <w:p w14:paraId="07ADC23D"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 xml:space="preserve"> </w:t>
            </w:r>
          </w:p>
        </w:tc>
        <w:tc>
          <w:tcPr>
            <w:tcW w:w="808" w:type="dxa"/>
            <w:shd w:val="clear" w:color="auto" w:fill="FFFFFF" w:themeFill="background1"/>
            <w:tcMar>
              <w:top w:w="15" w:type="dxa"/>
              <w:left w:w="15" w:type="dxa"/>
              <w:right w:w="15" w:type="dxa"/>
            </w:tcMar>
            <w:vAlign w:val="bottom"/>
          </w:tcPr>
          <w:p w14:paraId="300147F9"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904" w:type="dxa"/>
            <w:shd w:val="clear" w:color="auto" w:fill="FFFFFF" w:themeFill="background1"/>
            <w:tcMar>
              <w:top w:w="15" w:type="dxa"/>
              <w:left w:w="15" w:type="dxa"/>
              <w:right w:w="15" w:type="dxa"/>
            </w:tcMar>
            <w:vAlign w:val="bottom"/>
          </w:tcPr>
          <w:p w14:paraId="3C32DC9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810" w:type="dxa"/>
            <w:shd w:val="clear" w:color="auto" w:fill="D0D0D0"/>
            <w:tcMar>
              <w:top w:w="15" w:type="dxa"/>
              <w:left w:w="15" w:type="dxa"/>
              <w:right w:w="15" w:type="dxa"/>
            </w:tcMar>
            <w:vAlign w:val="bottom"/>
          </w:tcPr>
          <w:p w14:paraId="0644A0F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11DFC1A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5014032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6A415C04" w14:textId="77777777" w:rsidTr="00B77C41">
        <w:trPr>
          <w:trHeight w:val="1155"/>
        </w:trPr>
        <w:tc>
          <w:tcPr>
            <w:tcW w:w="1077" w:type="dxa"/>
            <w:shd w:val="clear" w:color="auto" w:fill="FFFFFF" w:themeFill="background1"/>
            <w:vAlign w:val="center"/>
          </w:tcPr>
          <w:p w14:paraId="36829D3D" w14:textId="77777777" w:rsidR="006714FF" w:rsidRPr="57EE44F5"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2</w:t>
            </w:r>
          </w:p>
        </w:tc>
        <w:tc>
          <w:tcPr>
            <w:tcW w:w="1077" w:type="dxa"/>
            <w:vMerge w:val="restart"/>
            <w:shd w:val="clear" w:color="auto" w:fill="FFFFFF" w:themeFill="background1"/>
            <w:tcMar>
              <w:top w:w="15" w:type="dxa"/>
              <w:left w:w="15" w:type="dxa"/>
              <w:right w:w="15" w:type="dxa"/>
            </w:tcMar>
            <w:vAlign w:val="center"/>
          </w:tcPr>
          <w:p w14:paraId="4BD709B2"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&amp; Temporal Kernel Smoothing</w:t>
            </w:r>
          </w:p>
        </w:tc>
        <w:tc>
          <w:tcPr>
            <w:tcW w:w="1041" w:type="dxa"/>
            <w:vMerge w:val="restart"/>
            <w:shd w:val="clear" w:color="auto" w:fill="FFFFFF" w:themeFill="background1"/>
            <w:tcMar>
              <w:top w:w="15" w:type="dxa"/>
              <w:left w:w="15" w:type="dxa"/>
              <w:right w:w="15" w:type="dxa"/>
            </w:tcMar>
            <w:vAlign w:val="center"/>
          </w:tcPr>
          <w:p w14:paraId="139BD805" w14:textId="77777777" w:rsidR="006714FF" w:rsidRDefault="006714FF" w:rsidP="00B77C41">
            <w:pPr>
              <w:jc w:val="center"/>
              <w:rPr>
                <w:rFonts w:ascii="Times New Roman" w:hAnsi="Times New Roman"/>
                <w:b/>
                <w:bCs/>
                <w:sz w:val="22"/>
                <w:szCs w:val="22"/>
              </w:rPr>
            </w:pPr>
            <w:r w:rsidRPr="57EE44F5">
              <w:rPr>
                <w:rFonts w:ascii="Times New Roman" w:hAnsi="Times New Roman"/>
                <w:b/>
                <w:bCs/>
                <w:sz w:val="22"/>
                <w:szCs w:val="22"/>
              </w:rPr>
              <w:t>Medium</w:t>
            </w:r>
          </w:p>
        </w:tc>
        <w:tc>
          <w:tcPr>
            <w:tcW w:w="877" w:type="dxa"/>
            <w:shd w:val="clear" w:color="auto" w:fill="FFFFFF" w:themeFill="background1"/>
            <w:tcMar>
              <w:top w:w="15" w:type="dxa"/>
              <w:left w:w="15" w:type="dxa"/>
              <w:right w:w="15" w:type="dxa"/>
            </w:tcMar>
            <w:vAlign w:val="center"/>
          </w:tcPr>
          <w:p w14:paraId="5CBAEFF0"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808" w:type="dxa"/>
            <w:shd w:val="clear" w:color="auto" w:fill="FFFFFF" w:themeFill="background1"/>
            <w:tcMar>
              <w:top w:w="15" w:type="dxa"/>
              <w:left w:w="15" w:type="dxa"/>
              <w:right w:w="15" w:type="dxa"/>
            </w:tcMar>
            <w:vAlign w:val="bottom"/>
          </w:tcPr>
          <w:p w14:paraId="0A93A5E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7.5</w:t>
            </w:r>
          </w:p>
        </w:tc>
        <w:tc>
          <w:tcPr>
            <w:tcW w:w="904" w:type="dxa"/>
            <w:shd w:val="clear" w:color="auto" w:fill="FFFFFF" w:themeFill="background1"/>
            <w:tcMar>
              <w:top w:w="15" w:type="dxa"/>
              <w:left w:w="15" w:type="dxa"/>
              <w:right w:w="15" w:type="dxa"/>
            </w:tcMar>
            <w:vAlign w:val="bottom"/>
          </w:tcPr>
          <w:p w14:paraId="5D504EFB"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730</w:t>
            </w:r>
          </w:p>
        </w:tc>
        <w:tc>
          <w:tcPr>
            <w:tcW w:w="810" w:type="dxa"/>
            <w:shd w:val="clear" w:color="auto" w:fill="D0D0D0"/>
            <w:tcMar>
              <w:top w:w="15" w:type="dxa"/>
              <w:left w:w="15" w:type="dxa"/>
              <w:right w:w="15" w:type="dxa"/>
            </w:tcMar>
            <w:vAlign w:val="bottom"/>
          </w:tcPr>
          <w:p w14:paraId="6CF2D8A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3B6DBCC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7BF111B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6C6EF7B5" w14:textId="77777777" w:rsidTr="00B77C41">
        <w:trPr>
          <w:trHeight w:val="285"/>
        </w:trPr>
        <w:tc>
          <w:tcPr>
            <w:tcW w:w="1077" w:type="dxa"/>
            <w:vAlign w:val="center"/>
          </w:tcPr>
          <w:p w14:paraId="6873EAAE"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3</w:t>
            </w:r>
          </w:p>
        </w:tc>
        <w:tc>
          <w:tcPr>
            <w:tcW w:w="1077" w:type="dxa"/>
            <w:vMerge/>
            <w:vAlign w:val="center"/>
          </w:tcPr>
          <w:p w14:paraId="41FEFE43" w14:textId="77777777" w:rsidR="006714FF" w:rsidRDefault="006714FF" w:rsidP="00B77C41"/>
        </w:tc>
        <w:tc>
          <w:tcPr>
            <w:tcW w:w="1041" w:type="dxa"/>
            <w:vMerge/>
            <w:tcMar>
              <w:top w:w="15" w:type="dxa"/>
              <w:left w:w="15" w:type="dxa"/>
              <w:right w:w="15" w:type="dxa"/>
            </w:tcMar>
            <w:vAlign w:val="center"/>
          </w:tcPr>
          <w:p w14:paraId="6E6D1D24" w14:textId="77777777" w:rsidR="006714FF" w:rsidRDefault="006714FF" w:rsidP="00B77C41"/>
        </w:tc>
        <w:tc>
          <w:tcPr>
            <w:tcW w:w="877" w:type="dxa"/>
            <w:shd w:val="clear" w:color="auto" w:fill="FFFFFF" w:themeFill="background1"/>
            <w:tcMar>
              <w:top w:w="15" w:type="dxa"/>
              <w:left w:w="15" w:type="dxa"/>
              <w:right w:w="15" w:type="dxa"/>
            </w:tcMar>
            <w:vAlign w:val="center"/>
          </w:tcPr>
          <w:p w14:paraId="6B03CEE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FFFFFF" w:themeFill="background1"/>
            <w:tcMar>
              <w:top w:w="15" w:type="dxa"/>
              <w:left w:w="15" w:type="dxa"/>
              <w:right w:w="15" w:type="dxa"/>
            </w:tcMar>
            <w:vAlign w:val="bottom"/>
          </w:tcPr>
          <w:p w14:paraId="0C24A80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w:t>
            </w:r>
          </w:p>
        </w:tc>
        <w:tc>
          <w:tcPr>
            <w:tcW w:w="904" w:type="dxa"/>
            <w:shd w:val="clear" w:color="auto" w:fill="FFFFFF" w:themeFill="background1"/>
            <w:tcMar>
              <w:top w:w="15" w:type="dxa"/>
              <w:left w:w="15" w:type="dxa"/>
              <w:right w:w="15" w:type="dxa"/>
            </w:tcMar>
            <w:vAlign w:val="bottom"/>
          </w:tcPr>
          <w:p w14:paraId="754E7B4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D0D0D0"/>
            <w:tcMar>
              <w:top w:w="15" w:type="dxa"/>
              <w:left w:w="15" w:type="dxa"/>
              <w:right w:w="15" w:type="dxa"/>
            </w:tcMar>
            <w:vAlign w:val="bottom"/>
          </w:tcPr>
          <w:p w14:paraId="5EDCBDE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556EB9E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13DEFBC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540405EC" w14:textId="77777777" w:rsidTr="00B77C41">
        <w:trPr>
          <w:trHeight w:val="285"/>
        </w:trPr>
        <w:tc>
          <w:tcPr>
            <w:tcW w:w="1077" w:type="dxa"/>
            <w:vAlign w:val="center"/>
          </w:tcPr>
          <w:p w14:paraId="7821CDD7"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4</w:t>
            </w:r>
          </w:p>
        </w:tc>
        <w:tc>
          <w:tcPr>
            <w:tcW w:w="1077" w:type="dxa"/>
            <w:vMerge/>
            <w:vAlign w:val="center"/>
          </w:tcPr>
          <w:p w14:paraId="43E2B14F"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6AB8F572" w14:textId="77777777" w:rsidR="006714FF" w:rsidRDefault="006714FF" w:rsidP="00B77C41">
            <w:pPr>
              <w:jc w:val="center"/>
              <w:rPr>
                <w:rFonts w:ascii="Times New Roman" w:hAnsi="Times New Roman"/>
                <w:b/>
                <w:bCs/>
                <w:sz w:val="22"/>
                <w:szCs w:val="22"/>
              </w:rPr>
            </w:pPr>
            <w:r w:rsidRPr="57EE44F5">
              <w:rPr>
                <w:rFonts w:ascii="Times New Roman" w:hAnsi="Times New Roman"/>
                <w:b/>
                <w:bCs/>
                <w:sz w:val="22"/>
                <w:szCs w:val="22"/>
              </w:rPr>
              <w:t>Fine</w:t>
            </w:r>
          </w:p>
        </w:tc>
        <w:tc>
          <w:tcPr>
            <w:tcW w:w="877" w:type="dxa"/>
            <w:shd w:val="clear" w:color="auto" w:fill="FFFFFF" w:themeFill="background1"/>
            <w:tcMar>
              <w:top w:w="15" w:type="dxa"/>
              <w:left w:w="15" w:type="dxa"/>
              <w:right w:w="15" w:type="dxa"/>
            </w:tcMar>
            <w:vAlign w:val="center"/>
          </w:tcPr>
          <w:p w14:paraId="54ACF6C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FFFFFF" w:themeFill="background1"/>
            <w:tcMar>
              <w:top w:w="15" w:type="dxa"/>
              <w:left w:w="15" w:type="dxa"/>
              <w:right w:w="15" w:type="dxa"/>
            </w:tcMar>
            <w:vAlign w:val="bottom"/>
          </w:tcPr>
          <w:p w14:paraId="0A83D40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w:t>
            </w:r>
          </w:p>
        </w:tc>
        <w:tc>
          <w:tcPr>
            <w:tcW w:w="904" w:type="dxa"/>
            <w:shd w:val="clear" w:color="auto" w:fill="FFFFFF" w:themeFill="background1"/>
            <w:tcMar>
              <w:top w:w="15" w:type="dxa"/>
              <w:left w:w="15" w:type="dxa"/>
              <w:right w:w="15" w:type="dxa"/>
            </w:tcMar>
            <w:vAlign w:val="bottom"/>
          </w:tcPr>
          <w:p w14:paraId="7E6A296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D0D0D0"/>
            <w:tcMar>
              <w:top w:w="15" w:type="dxa"/>
              <w:left w:w="15" w:type="dxa"/>
              <w:right w:w="15" w:type="dxa"/>
            </w:tcMar>
            <w:vAlign w:val="bottom"/>
          </w:tcPr>
          <w:p w14:paraId="49C2F68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5777CBF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29D7B9E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490109B7" w14:textId="77777777" w:rsidTr="00B77C41">
        <w:trPr>
          <w:trHeight w:val="285"/>
        </w:trPr>
        <w:tc>
          <w:tcPr>
            <w:tcW w:w="1077" w:type="dxa"/>
            <w:vAlign w:val="center"/>
          </w:tcPr>
          <w:p w14:paraId="39640640" w14:textId="77777777" w:rsidR="006714FF" w:rsidRDefault="006714FF" w:rsidP="00B77C41">
            <w:pPr>
              <w:spacing w:after="0" w:line="278" w:lineRule="auto"/>
              <w:jc w:val="center"/>
            </w:pPr>
            <w:r>
              <w:rPr>
                <w:rFonts w:ascii="Times New Roman" w:hAnsi="Times New Roman"/>
                <w:b/>
                <w:bCs/>
                <w:sz w:val="22"/>
                <w:szCs w:val="22"/>
              </w:rPr>
              <w:t>GO=</w:t>
            </w:r>
            <w:r w:rsidRPr="57EE44F5">
              <w:rPr>
                <w:rFonts w:ascii="Times New Roman" w:hAnsi="Times New Roman"/>
                <w:b/>
                <w:bCs/>
                <w:sz w:val="22"/>
                <w:szCs w:val="22"/>
              </w:rPr>
              <w:t>5</w:t>
            </w:r>
          </w:p>
        </w:tc>
        <w:tc>
          <w:tcPr>
            <w:tcW w:w="1077" w:type="dxa"/>
            <w:vMerge/>
            <w:vAlign w:val="center"/>
          </w:tcPr>
          <w:p w14:paraId="4D50A515" w14:textId="77777777" w:rsidR="006714FF" w:rsidRDefault="006714FF" w:rsidP="00B77C41"/>
        </w:tc>
        <w:tc>
          <w:tcPr>
            <w:tcW w:w="1041" w:type="dxa"/>
            <w:vMerge/>
            <w:tcMar>
              <w:top w:w="15" w:type="dxa"/>
              <w:left w:w="15" w:type="dxa"/>
              <w:right w:w="15" w:type="dxa"/>
            </w:tcMar>
            <w:vAlign w:val="center"/>
          </w:tcPr>
          <w:p w14:paraId="29D9FCAF" w14:textId="77777777" w:rsidR="006714FF" w:rsidRDefault="006714FF" w:rsidP="00B77C41"/>
        </w:tc>
        <w:tc>
          <w:tcPr>
            <w:tcW w:w="877" w:type="dxa"/>
            <w:shd w:val="clear" w:color="auto" w:fill="FFFFFF" w:themeFill="background1"/>
            <w:tcMar>
              <w:top w:w="15" w:type="dxa"/>
              <w:left w:w="15" w:type="dxa"/>
              <w:right w:w="15" w:type="dxa"/>
            </w:tcMar>
            <w:vAlign w:val="center"/>
          </w:tcPr>
          <w:p w14:paraId="2ABF8830"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Local</w:t>
            </w:r>
          </w:p>
        </w:tc>
        <w:tc>
          <w:tcPr>
            <w:tcW w:w="808" w:type="dxa"/>
            <w:shd w:val="clear" w:color="auto" w:fill="FFFFFF" w:themeFill="background1"/>
            <w:tcMar>
              <w:top w:w="15" w:type="dxa"/>
              <w:left w:w="15" w:type="dxa"/>
              <w:right w:w="15" w:type="dxa"/>
            </w:tcMar>
            <w:vAlign w:val="bottom"/>
          </w:tcPr>
          <w:p w14:paraId="10D85F4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w:t>
            </w:r>
          </w:p>
        </w:tc>
        <w:tc>
          <w:tcPr>
            <w:tcW w:w="904" w:type="dxa"/>
            <w:shd w:val="clear" w:color="auto" w:fill="FFFFFF" w:themeFill="background1"/>
            <w:tcMar>
              <w:top w:w="15" w:type="dxa"/>
              <w:left w:w="15" w:type="dxa"/>
              <w:right w:w="15" w:type="dxa"/>
            </w:tcMar>
            <w:vAlign w:val="bottom"/>
          </w:tcPr>
          <w:p w14:paraId="57CBBEF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w:t>
            </w:r>
          </w:p>
        </w:tc>
        <w:tc>
          <w:tcPr>
            <w:tcW w:w="810" w:type="dxa"/>
            <w:shd w:val="clear" w:color="auto" w:fill="D0D0D0"/>
            <w:tcMar>
              <w:top w:w="15" w:type="dxa"/>
              <w:left w:w="15" w:type="dxa"/>
              <w:right w:w="15" w:type="dxa"/>
            </w:tcMar>
            <w:vAlign w:val="bottom"/>
          </w:tcPr>
          <w:p w14:paraId="3E6B09D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2B644DD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420B5D2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6E523646" w14:textId="77777777" w:rsidTr="00B77C41">
        <w:trPr>
          <w:trHeight w:val="1155"/>
        </w:trPr>
        <w:tc>
          <w:tcPr>
            <w:tcW w:w="1077" w:type="dxa"/>
            <w:shd w:val="clear" w:color="auto" w:fill="FFFFFF" w:themeFill="background1"/>
            <w:vAlign w:val="center"/>
          </w:tcPr>
          <w:p w14:paraId="47DE90F0"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6</w:t>
            </w:r>
          </w:p>
        </w:tc>
        <w:tc>
          <w:tcPr>
            <w:tcW w:w="1077" w:type="dxa"/>
            <w:vMerge w:val="restart"/>
            <w:shd w:val="clear" w:color="auto" w:fill="FFFFFF" w:themeFill="background1"/>
            <w:tcMar>
              <w:top w:w="15" w:type="dxa"/>
              <w:left w:w="15" w:type="dxa"/>
              <w:right w:w="15" w:type="dxa"/>
            </w:tcMar>
            <w:vAlign w:val="center"/>
          </w:tcPr>
          <w:p w14:paraId="406B30C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LUR &amp; Temporal Kernel Smoothing</w:t>
            </w:r>
          </w:p>
        </w:tc>
        <w:tc>
          <w:tcPr>
            <w:tcW w:w="1041" w:type="dxa"/>
            <w:vMerge w:val="restart"/>
            <w:shd w:val="clear" w:color="auto" w:fill="FFFFFF" w:themeFill="background1"/>
            <w:tcMar>
              <w:top w:w="15" w:type="dxa"/>
              <w:left w:w="15" w:type="dxa"/>
              <w:right w:w="15" w:type="dxa"/>
            </w:tcMar>
            <w:vAlign w:val="center"/>
          </w:tcPr>
          <w:p w14:paraId="6B3A800E" w14:textId="77777777" w:rsidR="006714FF" w:rsidRDefault="006714FF" w:rsidP="00B77C41">
            <w:pPr>
              <w:jc w:val="center"/>
              <w:rPr>
                <w:rFonts w:ascii="Times New Roman" w:hAnsi="Times New Roman"/>
                <w:sz w:val="22"/>
                <w:szCs w:val="22"/>
              </w:rPr>
            </w:pPr>
            <w:r w:rsidRPr="07D655FC">
              <w:rPr>
                <w:rFonts w:ascii="Times New Roman" w:hAnsi="Times New Roman"/>
                <w:sz w:val="22"/>
                <w:szCs w:val="22"/>
              </w:rPr>
              <w:t>Medium</w:t>
            </w:r>
          </w:p>
        </w:tc>
        <w:tc>
          <w:tcPr>
            <w:tcW w:w="877" w:type="dxa"/>
            <w:shd w:val="clear" w:color="auto" w:fill="FFFFFF" w:themeFill="background1"/>
            <w:tcMar>
              <w:top w:w="15" w:type="dxa"/>
              <w:left w:w="15" w:type="dxa"/>
              <w:right w:w="15" w:type="dxa"/>
            </w:tcMar>
            <w:vAlign w:val="center"/>
          </w:tcPr>
          <w:p w14:paraId="3E4F836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808" w:type="dxa"/>
            <w:shd w:val="clear" w:color="auto" w:fill="D0D0D0"/>
            <w:tcMar>
              <w:top w:w="15" w:type="dxa"/>
              <w:left w:w="15" w:type="dxa"/>
              <w:right w:w="15" w:type="dxa"/>
            </w:tcMar>
            <w:vAlign w:val="bottom"/>
          </w:tcPr>
          <w:p w14:paraId="0B71236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0E67A1C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730</w:t>
            </w:r>
          </w:p>
        </w:tc>
        <w:tc>
          <w:tcPr>
            <w:tcW w:w="810" w:type="dxa"/>
            <w:shd w:val="clear" w:color="auto" w:fill="FFFFFF" w:themeFill="background1"/>
            <w:tcMar>
              <w:top w:w="15" w:type="dxa"/>
              <w:left w:w="15" w:type="dxa"/>
              <w:right w:w="15" w:type="dxa"/>
            </w:tcMar>
            <w:vAlign w:val="bottom"/>
          </w:tcPr>
          <w:p w14:paraId="38B5F8B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0.02</w:t>
            </w:r>
          </w:p>
        </w:tc>
        <w:tc>
          <w:tcPr>
            <w:tcW w:w="935" w:type="dxa"/>
            <w:shd w:val="clear" w:color="auto" w:fill="FFFFFF" w:themeFill="background1"/>
            <w:tcMar>
              <w:top w:w="15" w:type="dxa"/>
              <w:left w:w="15" w:type="dxa"/>
              <w:right w:w="15" w:type="dxa"/>
            </w:tcMar>
            <w:vAlign w:val="bottom"/>
          </w:tcPr>
          <w:p w14:paraId="3813E29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w:t>
            </w:r>
          </w:p>
        </w:tc>
        <w:tc>
          <w:tcPr>
            <w:tcW w:w="775" w:type="dxa"/>
            <w:shd w:val="clear" w:color="auto" w:fill="FFFFFF" w:themeFill="background1"/>
            <w:tcMar>
              <w:top w:w="15" w:type="dxa"/>
              <w:left w:w="15" w:type="dxa"/>
              <w:right w:w="15" w:type="dxa"/>
            </w:tcMar>
            <w:vAlign w:val="bottom"/>
          </w:tcPr>
          <w:p w14:paraId="6DE7BD3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w:t>
            </w:r>
          </w:p>
        </w:tc>
      </w:tr>
      <w:tr w:rsidR="006714FF" w14:paraId="4AE89C45" w14:textId="77777777" w:rsidTr="00B77C41">
        <w:trPr>
          <w:trHeight w:val="285"/>
        </w:trPr>
        <w:tc>
          <w:tcPr>
            <w:tcW w:w="1077" w:type="dxa"/>
            <w:vAlign w:val="center"/>
          </w:tcPr>
          <w:p w14:paraId="62F9193C"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7</w:t>
            </w:r>
          </w:p>
        </w:tc>
        <w:tc>
          <w:tcPr>
            <w:tcW w:w="1077" w:type="dxa"/>
            <w:vMerge/>
            <w:vAlign w:val="center"/>
          </w:tcPr>
          <w:p w14:paraId="0949EBBE" w14:textId="77777777" w:rsidR="006714FF" w:rsidRDefault="006714FF" w:rsidP="00B77C41"/>
        </w:tc>
        <w:tc>
          <w:tcPr>
            <w:tcW w:w="1041" w:type="dxa"/>
            <w:vMerge/>
            <w:tcMar>
              <w:top w:w="15" w:type="dxa"/>
              <w:left w:w="15" w:type="dxa"/>
              <w:right w:w="15" w:type="dxa"/>
            </w:tcMar>
            <w:vAlign w:val="center"/>
          </w:tcPr>
          <w:p w14:paraId="73E57C70" w14:textId="77777777" w:rsidR="006714FF" w:rsidRDefault="006714FF" w:rsidP="00B77C41"/>
        </w:tc>
        <w:tc>
          <w:tcPr>
            <w:tcW w:w="877" w:type="dxa"/>
            <w:shd w:val="clear" w:color="auto" w:fill="FFFFFF" w:themeFill="background1"/>
            <w:tcMar>
              <w:top w:w="15" w:type="dxa"/>
              <w:left w:w="15" w:type="dxa"/>
              <w:right w:w="15" w:type="dxa"/>
            </w:tcMar>
            <w:vAlign w:val="center"/>
          </w:tcPr>
          <w:p w14:paraId="45E3B92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D0D0D0"/>
            <w:tcMar>
              <w:top w:w="15" w:type="dxa"/>
              <w:left w:w="15" w:type="dxa"/>
              <w:right w:w="15" w:type="dxa"/>
            </w:tcMar>
            <w:vAlign w:val="bottom"/>
          </w:tcPr>
          <w:p w14:paraId="4C43706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523CDC3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FFFFFF" w:themeFill="background1"/>
            <w:tcMar>
              <w:top w:w="15" w:type="dxa"/>
              <w:left w:w="15" w:type="dxa"/>
              <w:right w:w="15" w:type="dxa"/>
            </w:tcMar>
            <w:vAlign w:val="bottom"/>
          </w:tcPr>
          <w:p w14:paraId="03D902E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0.02</w:t>
            </w:r>
          </w:p>
        </w:tc>
        <w:tc>
          <w:tcPr>
            <w:tcW w:w="935" w:type="dxa"/>
            <w:shd w:val="clear" w:color="auto" w:fill="FFFFFF" w:themeFill="background1"/>
            <w:tcMar>
              <w:top w:w="15" w:type="dxa"/>
              <w:left w:w="15" w:type="dxa"/>
              <w:right w:w="15" w:type="dxa"/>
            </w:tcMar>
            <w:vAlign w:val="bottom"/>
          </w:tcPr>
          <w:p w14:paraId="3751E28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w:t>
            </w:r>
          </w:p>
        </w:tc>
        <w:tc>
          <w:tcPr>
            <w:tcW w:w="775" w:type="dxa"/>
            <w:shd w:val="clear" w:color="auto" w:fill="FFFFFF" w:themeFill="background1"/>
            <w:tcMar>
              <w:top w:w="15" w:type="dxa"/>
              <w:left w:w="15" w:type="dxa"/>
              <w:right w:w="15" w:type="dxa"/>
            </w:tcMar>
            <w:vAlign w:val="bottom"/>
          </w:tcPr>
          <w:p w14:paraId="5B6BA01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w:t>
            </w:r>
          </w:p>
        </w:tc>
      </w:tr>
      <w:tr w:rsidR="006714FF" w14:paraId="362A514D" w14:textId="77777777" w:rsidTr="00B77C41">
        <w:trPr>
          <w:trHeight w:val="285"/>
        </w:trPr>
        <w:tc>
          <w:tcPr>
            <w:tcW w:w="1077" w:type="dxa"/>
            <w:vAlign w:val="center"/>
          </w:tcPr>
          <w:p w14:paraId="58BFD2B7"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8</w:t>
            </w:r>
          </w:p>
        </w:tc>
        <w:tc>
          <w:tcPr>
            <w:tcW w:w="1077" w:type="dxa"/>
            <w:vMerge/>
            <w:vAlign w:val="center"/>
          </w:tcPr>
          <w:p w14:paraId="5203938A"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6E4005E6" w14:textId="77777777" w:rsidR="006714FF" w:rsidRDefault="006714FF" w:rsidP="00B77C41">
            <w:pPr>
              <w:jc w:val="center"/>
              <w:rPr>
                <w:rFonts w:ascii="Times New Roman" w:hAnsi="Times New Roman"/>
                <w:sz w:val="22"/>
                <w:szCs w:val="22"/>
              </w:rPr>
            </w:pPr>
            <w:r w:rsidRPr="07D655FC">
              <w:rPr>
                <w:rFonts w:ascii="Times New Roman" w:hAnsi="Times New Roman"/>
                <w:sz w:val="22"/>
                <w:szCs w:val="22"/>
              </w:rPr>
              <w:t>Fine</w:t>
            </w:r>
          </w:p>
        </w:tc>
        <w:tc>
          <w:tcPr>
            <w:tcW w:w="877" w:type="dxa"/>
            <w:shd w:val="clear" w:color="auto" w:fill="FFFFFF" w:themeFill="background1"/>
            <w:tcMar>
              <w:top w:w="15" w:type="dxa"/>
              <w:left w:w="15" w:type="dxa"/>
              <w:right w:w="15" w:type="dxa"/>
            </w:tcMar>
            <w:vAlign w:val="center"/>
          </w:tcPr>
          <w:p w14:paraId="292F308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D0D0D0"/>
            <w:tcMar>
              <w:top w:w="15" w:type="dxa"/>
              <w:left w:w="15" w:type="dxa"/>
              <w:right w:w="15" w:type="dxa"/>
            </w:tcMar>
            <w:vAlign w:val="bottom"/>
          </w:tcPr>
          <w:p w14:paraId="126695E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04924C8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FFFFFF" w:themeFill="background1"/>
            <w:tcMar>
              <w:top w:w="15" w:type="dxa"/>
              <w:left w:w="15" w:type="dxa"/>
              <w:right w:w="15" w:type="dxa"/>
            </w:tcMar>
            <w:vAlign w:val="bottom"/>
          </w:tcPr>
          <w:p w14:paraId="7B8E05E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0.02</w:t>
            </w:r>
          </w:p>
        </w:tc>
        <w:tc>
          <w:tcPr>
            <w:tcW w:w="935" w:type="dxa"/>
            <w:shd w:val="clear" w:color="auto" w:fill="FFFFFF" w:themeFill="background1"/>
            <w:tcMar>
              <w:top w:w="15" w:type="dxa"/>
              <w:left w:w="15" w:type="dxa"/>
              <w:right w:w="15" w:type="dxa"/>
            </w:tcMar>
            <w:vAlign w:val="bottom"/>
          </w:tcPr>
          <w:p w14:paraId="128506E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w:t>
            </w:r>
          </w:p>
        </w:tc>
        <w:tc>
          <w:tcPr>
            <w:tcW w:w="775" w:type="dxa"/>
            <w:shd w:val="clear" w:color="auto" w:fill="FFFFFF" w:themeFill="background1"/>
            <w:tcMar>
              <w:top w:w="15" w:type="dxa"/>
              <w:left w:w="15" w:type="dxa"/>
              <w:right w:w="15" w:type="dxa"/>
            </w:tcMar>
            <w:vAlign w:val="bottom"/>
          </w:tcPr>
          <w:p w14:paraId="14665DD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w:t>
            </w:r>
          </w:p>
        </w:tc>
      </w:tr>
      <w:tr w:rsidR="006714FF" w14:paraId="67276417" w14:textId="77777777" w:rsidTr="00B77C41">
        <w:trPr>
          <w:trHeight w:val="285"/>
        </w:trPr>
        <w:tc>
          <w:tcPr>
            <w:tcW w:w="1077" w:type="dxa"/>
            <w:vAlign w:val="center"/>
          </w:tcPr>
          <w:p w14:paraId="107DD529"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9</w:t>
            </w:r>
          </w:p>
        </w:tc>
        <w:tc>
          <w:tcPr>
            <w:tcW w:w="1077" w:type="dxa"/>
            <w:vMerge/>
            <w:vAlign w:val="center"/>
          </w:tcPr>
          <w:p w14:paraId="466745BC" w14:textId="77777777" w:rsidR="006714FF" w:rsidRDefault="006714FF" w:rsidP="00B77C41"/>
        </w:tc>
        <w:tc>
          <w:tcPr>
            <w:tcW w:w="1041" w:type="dxa"/>
            <w:vMerge/>
            <w:tcMar>
              <w:top w:w="15" w:type="dxa"/>
              <w:left w:w="15" w:type="dxa"/>
              <w:right w:w="15" w:type="dxa"/>
            </w:tcMar>
            <w:vAlign w:val="center"/>
          </w:tcPr>
          <w:p w14:paraId="02EB0DD9" w14:textId="77777777" w:rsidR="006714FF" w:rsidRDefault="006714FF" w:rsidP="00B77C41"/>
        </w:tc>
        <w:tc>
          <w:tcPr>
            <w:tcW w:w="877" w:type="dxa"/>
            <w:shd w:val="clear" w:color="auto" w:fill="FFFFFF" w:themeFill="background1"/>
            <w:tcMar>
              <w:top w:w="15" w:type="dxa"/>
              <w:left w:w="15" w:type="dxa"/>
              <w:right w:w="15" w:type="dxa"/>
            </w:tcMar>
            <w:vAlign w:val="center"/>
          </w:tcPr>
          <w:p w14:paraId="0E7EFB6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808" w:type="dxa"/>
            <w:shd w:val="clear" w:color="auto" w:fill="D0D0D0"/>
            <w:tcMar>
              <w:top w:w="15" w:type="dxa"/>
              <w:left w:w="15" w:type="dxa"/>
              <w:right w:w="15" w:type="dxa"/>
            </w:tcMar>
            <w:vAlign w:val="bottom"/>
          </w:tcPr>
          <w:p w14:paraId="388043E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2BBA452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w:t>
            </w:r>
          </w:p>
        </w:tc>
        <w:tc>
          <w:tcPr>
            <w:tcW w:w="810" w:type="dxa"/>
            <w:shd w:val="clear" w:color="auto" w:fill="FFFFFF" w:themeFill="background1"/>
            <w:tcMar>
              <w:top w:w="15" w:type="dxa"/>
              <w:left w:w="15" w:type="dxa"/>
              <w:right w:w="15" w:type="dxa"/>
            </w:tcMar>
            <w:vAlign w:val="bottom"/>
          </w:tcPr>
          <w:p w14:paraId="23FB6DD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0.02</w:t>
            </w:r>
          </w:p>
        </w:tc>
        <w:tc>
          <w:tcPr>
            <w:tcW w:w="935" w:type="dxa"/>
            <w:shd w:val="clear" w:color="auto" w:fill="FFFFFF" w:themeFill="background1"/>
            <w:tcMar>
              <w:top w:w="15" w:type="dxa"/>
              <w:left w:w="15" w:type="dxa"/>
              <w:right w:w="15" w:type="dxa"/>
            </w:tcMar>
            <w:vAlign w:val="bottom"/>
          </w:tcPr>
          <w:p w14:paraId="7FB0A87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w:t>
            </w:r>
          </w:p>
        </w:tc>
        <w:tc>
          <w:tcPr>
            <w:tcW w:w="775" w:type="dxa"/>
            <w:shd w:val="clear" w:color="auto" w:fill="FFFFFF" w:themeFill="background1"/>
            <w:tcMar>
              <w:top w:w="15" w:type="dxa"/>
              <w:left w:w="15" w:type="dxa"/>
              <w:right w:w="15" w:type="dxa"/>
            </w:tcMar>
            <w:vAlign w:val="bottom"/>
          </w:tcPr>
          <w:p w14:paraId="373AD5C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w:t>
            </w:r>
          </w:p>
        </w:tc>
      </w:tr>
    </w:tbl>
    <w:p w14:paraId="6D37C6C8" w14:textId="77777777" w:rsidR="006714FF" w:rsidRDefault="006714FF" w:rsidP="006714FF">
      <w:pPr>
        <w:spacing w:after="0" w:line="259" w:lineRule="auto"/>
      </w:pPr>
    </w:p>
    <w:p w14:paraId="0FD1CD3D" w14:textId="77777777" w:rsidR="006714FF" w:rsidRDefault="006714FF" w:rsidP="006714FF">
      <w:pPr>
        <w:spacing w:after="0" w:line="259" w:lineRule="auto"/>
      </w:pPr>
    </w:p>
    <w:p w14:paraId="7EBB43E5" w14:textId="77777777" w:rsidR="006714FF" w:rsidRPr="009E43C8" w:rsidRDefault="006714FF" w:rsidP="006714FF">
      <w:pPr>
        <w:pStyle w:val="VDTableTitle"/>
      </w:pPr>
      <w:r w:rsidRPr="009E43C8">
        <w:rPr>
          <w:b/>
          <w:bCs/>
        </w:rPr>
        <w:lastRenderedPageBreak/>
        <w:t>Table S3.</w:t>
      </w:r>
      <w:r w:rsidRPr="009E43C8">
        <w:t xml:space="preserve"> Log-benzene global offset parameters. Bolded global offset scenarios were used during method evaluation and determined using 3-degree RCV sensitivity analyses.</w:t>
      </w:r>
    </w:p>
    <w:tbl>
      <w:tblPr>
        <w:tblW w:w="830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077"/>
        <w:gridCol w:w="1077"/>
        <w:gridCol w:w="1041"/>
        <w:gridCol w:w="877"/>
        <w:gridCol w:w="808"/>
        <w:gridCol w:w="904"/>
        <w:gridCol w:w="810"/>
        <w:gridCol w:w="935"/>
        <w:gridCol w:w="775"/>
      </w:tblGrid>
      <w:tr w:rsidR="006714FF" w14:paraId="27E81A38" w14:textId="77777777" w:rsidTr="00B77C41">
        <w:trPr>
          <w:trHeight w:val="300"/>
        </w:trPr>
        <w:tc>
          <w:tcPr>
            <w:tcW w:w="1077" w:type="dxa"/>
            <w:vMerge w:val="restart"/>
            <w:shd w:val="clear" w:color="auto" w:fill="FFFFFF" w:themeFill="background1"/>
            <w:vAlign w:val="bottom"/>
          </w:tcPr>
          <w:p w14:paraId="7128A4DF" w14:textId="77777777" w:rsidR="006714FF" w:rsidRPr="57EE44F5"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Global Offset </w:t>
            </w:r>
            <w:r>
              <w:rPr>
                <w:rFonts w:ascii="Times New Roman" w:hAnsi="Times New Roman"/>
                <w:sz w:val="22"/>
                <w:szCs w:val="22"/>
              </w:rPr>
              <w:t>Name</w:t>
            </w:r>
          </w:p>
        </w:tc>
        <w:tc>
          <w:tcPr>
            <w:tcW w:w="1077" w:type="dxa"/>
            <w:vMerge w:val="restart"/>
            <w:shd w:val="clear" w:color="auto" w:fill="FFFFFF" w:themeFill="background1"/>
            <w:tcMar>
              <w:top w:w="15" w:type="dxa"/>
              <w:left w:w="15" w:type="dxa"/>
              <w:right w:w="15" w:type="dxa"/>
            </w:tcMar>
            <w:vAlign w:val="bottom"/>
          </w:tcPr>
          <w:p w14:paraId="3F49E27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41" w:type="dxa"/>
            <w:vMerge w:val="restart"/>
            <w:shd w:val="clear" w:color="auto" w:fill="FFFFFF" w:themeFill="background1"/>
            <w:tcMar>
              <w:top w:w="15" w:type="dxa"/>
              <w:left w:w="15" w:type="dxa"/>
              <w:right w:w="15" w:type="dxa"/>
            </w:tcMar>
            <w:vAlign w:val="bottom"/>
          </w:tcPr>
          <w:p w14:paraId="1080E464" w14:textId="77777777" w:rsidR="006714FF" w:rsidRDefault="006714FF" w:rsidP="00B77C41">
            <w:pPr>
              <w:spacing w:after="0" w:line="278" w:lineRule="auto"/>
              <w:jc w:val="center"/>
              <w:rPr>
                <w:rFonts w:ascii="Times New Roman" w:hAnsi="Times New Roman"/>
                <w:sz w:val="22"/>
                <w:szCs w:val="22"/>
              </w:rPr>
            </w:pPr>
            <w:r w:rsidRPr="57EE44F5">
              <w:rPr>
                <w:rFonts w:ascii="Times New Roman" w:hAnsi="Times New Roman"/>
                <w:sz w:val="22"/>
                <w:szCs w:val="22"/>
              </w:rPr>
              <w:t>Global Offset Resolution</w:t>
            </w:r>
          </w:p>
        </w:tc>
        <w:tc>
          <w:tcPr>
            <w:tcW w:w="877" w:type="dxa"/>
            <w:vMerge w:val="restart"/>
            <w:shd w:val="clear" w:color="auto" w:fill="FFFFFF" w:themeFill="background1"/>
            <w:tcMar>
              <w:top w:w="15" w:type="dxa"/>
              <w:left w:w="15" w:type="dxa"/>
              <w:right w:w="15" w:type="dxa"/>
            </w:tcMar>
            <w:vAlign w:val="bottom"/>
          </w:tcPr>
          <w:p w14:paraId="3BC693EA"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712" w:type="dxa"/>
            <w:gridSpan w:val="2"/>
            <w:shd w:val="clear" w:color="auto" w:fill="FFFFFF" w:themeFill="background1"/>
            <w:vAlign w:val="center"/>
          </w:tcPr>
          <w:p w14:paraId="4C254BB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Kernel Smoothing Parameters</w:t>
            </w:r>
          </w:p>
        </w:tc>
        <w:tc>
          <w:tcPr>
            <w:tcW w:w="2520" w:type="dxa"/>
            <w:gridSpan w:val="3"/>
            <w:shd w:val="clear" w:color="auto" w:fill="FFFFFF" w:themeFill="background1"/>
            <w:tcMar>
              <w:top w:w="15" w:type="dxa"/>
              <w:left w:w="15" w:type="dxa"/>
              <w:right w:w="15" w:type="dxa"/>
            </w:tcMar>
            <w:vAlign w:val="center"/>
          </w:tcPr>
          <w:p w14:paraId="4DD60E1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SEDC LUR Parameters (</w:t>
            </w:r>
            <w:r w:rsidRPr="00B77C41">
              <w:rPr>
                <w:sz w:val="22"/>
                <w:szCs w:val="22"/>
              </w:rPr>
              <w:sym w:font="Symbol" w:char="F064"/>
            </w:r>
            <w:r w:rsidRPr="57EE44F5">
              <w:rPr>
                <w:rFonts w:ascii="Times New Roman" w:hAnsi="Times New Roman"/>
                <w:sz w:val="22"/>
                <w:szCs w:val="22"/>
              </w:rPr>
              <w:t>)</w:t>
            </w:r>
          </w:p>
        </w:tc>
      </w:tr>
      <w:tr w:rsidR="006714FF" w14:paraId="0A4F9D2B" w14:textId="77777777" w:rsidTr="00B77C41">
        <w:trPr>
          <w:trHeight w:val="300"/>
        </w:trPr>
        <w:tc>
          <w:tcPr>
            <w:tcW w:w="1077" w:type="dxa"/>
            <w:vMerge/>
            <w:vAlign w:val="center"/>
          </w:tcPr>
          <w:p w14:paraId="0E42AC37" w14:textId="77777777" w:rsidR="006714FF" w:rsidRDefault="006714FF" w:rsidP="00B77C41"/>
        </w:tc>
        <w:tc>
          <w:tcPr>
            <w:tcW w:w="1077" w:type="dxa"/>
            <w:vMerge/>
            <w:vAlign w:val="center"/>
          </w:tcPr>
          <w:p w14:paraId="2ED5739A" w14:textId="77777777" w:rsidR="006714FF" w:rsidRDefault="006714FF" w:rsidP="00B77C41"/>
        </w:tc>
        <w:tc>
          <w:tcPr>
            <w:tcW w:w="1041" w:type="dxa"/>
            <w:vMerge/>
          </w:tcPr>
          <w:p w14:paraId="4DC0A892" w14:textId="77777777" w:rsidR="006714FF" w:rsidRDefault="006714FF" w:rsidP="00B77C41"/>
        </w:tc>
        <w:tc>
          <w:tcPr>
            <w:tcW w:w="877" w:type="dxa"/>
            <w:vMerge/>
            <w:vAlign w:val="center"/>
          </w:tcPr>
          <w:p w14:paraId="730FC9C5" w14:textId="77777777" w:rsidR="006714FF" w:rsidRDefault="006714FF" w:rsidP="00B77C41"/>
        </w:tc>
        <w:tc>
          <w:tcPr>
            <w:tcW w:w="808" w:type="dxa"/>
            <w:shd w:val="clear" w:color="auto" w:fill="FFFFFF" w:themeFill="background1"/>
            <w:tcMar>
              <w:top w:w="15" w:type="dxa"/>
              <w:left w:w="15" w:type="dxa"/>
              <w:right w:w="15" w:type="dxa"/>
            </w:tcMar>
            <w:vAlign w:val="bottom"/>
          </w:tcPr>
          <w:p w14:paraId="3FBC778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Range (deg.)</w:t>
            </w:r>
          </w:p>
        </w:tc>
        <w:tc>
          <w:tcPr>
            <w:tcW w:w="904" w:type="dxa"/>
            <w:shd w:val="clear" w:color="auto" w:fill="FFFFFF" w:themeFill="background1"/>
            <w:tcMar>
              <w:top w:w="15" w:type="dxa"/>
              <w:left w:w="15" w:type="dxa"/>
              <w:right w:w="15" w:type="dxa"/>
            </w:tcMar>
            <w:vAlign w:val="bottom"/>
          </w:tcPr>
          <w:p w14:paraId="3C41BAA0"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Temporal Range (day)</w:t>
            </w:r>
          </w:p>
        </w:tc>
        <w:tc>
          <w:tcPr>
            <w:tcW w:w="810" w:type="dxa"/>
            <w:shd w:val="clear" w:color="auto" w:fill="FFFFFF" w:themeFill="background1"/>
            <w:tcMar>
              <w:top w:w="15" w:type="dxa"/>
              <w:left w:w="15" w:type="dxa"/>
              <w:right w:w="15" w:type="dxa"/>
            </w:tcMar>
            <w:vAlign w:val="bottom"/>
          </w:tcPr>
          <w:p w14:paraId="40A1646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Point (deg.)</w:t>
            </w:r>
          </w:p>
        </w:tc>
        <w:tc>
          <w:tcPr>
            <w:tcW w:w="935" w:type="dxa"/>
            <w:shd w:val="clear" w:color="auto" w:fill="FFFFFF" w:themeFill="background1"/>
            <w:tcMar>
              <w:top w:w="15" w:type="dxa"/>
              <w:left w:w="15" w:type="dxa"/>
              <w:right w:w="15" w:type="dxa"/>
            </w:tcMar>
            <w:vAlign w:val="bottom"/>
          </w:tcPr>
          <w:p w14:paraId="0A95291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Nonpoint (deg.)</w:t>
            </w:r>
          </w:p>
        </w:tc>
        <w:tc>
          <w:tcPr>
            <w:tcW w:w="775" w:type="dxa"/>
            <w:shd w:val="clear" w:color="auto" w:fill="FFFFFF" w:themeFill="background1"/>
            <w:tcMar>
              <w:top w:w="15" w:type="dxa"/>
              <w:left w:w="15" w:type="dxa"/>
              <w:right w:w="15" w:type="dxa"/>
            </w:tcMar>
            <w:vAlign w:val="bottom"/>
          </w:tcPr>
          <w:p w14:paraId="1757471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On road (deg.)</w:t>
            </w:r>
          </w:p>
        </w:tc>
      </w:tr>
      <w:tr w:rsidR="006714FF" w14:paraId="786CCB45" w14:textId="77777777" w:rsidTr="00B77C41">
        <w:trPr>
          <w:trHeight w:val="285"/>
        </w:trPr>
        <w:tc>
          <w:tcPr>
            <w:tcW w:w="1077" w:type="dxa"/>
            <w:shd w:val="clear" w:color="auto" w:fill="FFFFFF" w:themeFill="background1"/>
            <w:vAlign w:val="center"/>
          </w:tcPr>
          <w:p w14:paraId="2B4D439A"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0</w:t>
            </w:r>
          </w:p>
        </w:tc>
        <w:tc>
          <w:tcPr>
            <w:tcW w:w="1077" w:type="dxa"/>
            <w:shd w:val="clear" w:color="auto" w:fill="FFFFFF" w:themeFill="background1"/>
            <w:tcMar>
              <w:top w:w="15" w:type="dxa"/>
              <w:left w:w="15" w:type="dxa"/>
              <w:right w:w="15" w:type="dxa"/>
            </w:tcMar>
            <w:vAlign w:val="center"/>
          </w:tcPr>
          <w:p w14:paraId="4E2741A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41" w:type="dxa"/>
            <w:shd w:val="clear" w:color="auto" w:fill="D0D0D0"/>
            <w:tcMar>
              <w:top w:w="15" w:type="dxa"/>
              <w:left w:w="15" w:type="dxa"/>
              <w:right w:w="15" w:type="dxa"/>
            </w:tcMar>
            <w:vAlign w:val="center"/>
          </w:tcPr>
          <w:p w14:paraId="530DEA1F" w14:textId="77777777" w:rsidR="006714FF" w:rsidRDefault="006714FF" w:rsidP="00B77C41">
            <w:pPr>
              <w:jc w:val="center"/>
              <w:rPr>
                <w:rFonts w:ascii="Times New Roman" w:hAnsi="Times New Roman"/>
                <w:sz w:val="22"/>
                <w:szCs w:val="22"/>
              </w:rPr>
            </w:pPr>
          </w:p>
        </w:tc>
        <w:tc>
          <w:tcPr>
            <w:tcW w:w="877" w:type="dxa"/>
            <w:shd w:val="clear" w:color="auto" w:fill="D0D0D0"/>
            <w:tcMar>
              <w:top w:w="15" w:type="dxa"/>
              <w:left w:w="15" w:type="dxa"/>
              <w:right w:w="15" w:type="dxa"/>
            </w:tcMar>
            <w:vAlign w:val="center"/>
          </w:tcPr>
          <w:p w14:paraId="57DB944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808" w:type="dxa"/>
            <w:shd w:val="clear" w:color="auto" w:fill="D0D0D0"/>
            <w:tcMar>
              <w:top w:w="15" w:type="dxa"/>
              <w:left w:w="15" w:type="dxa"/>
              <w:right w:w="15" w:type="dxa"/>
            </w:tcMar>
            <w:vAlign w:val="bottom"/>
          </w:tcPr>
          <w:p w14:paraId="1DD4730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D0D0D0"/>
            <w:tcMar>
              <w:top w:w="15" w:type="dxa"/>
              <w:left w:w="15" w:type="dxa"/>
              <w:right w:w="15" w:type="dxa"/>
            </w:tcMar>
            <w:vAlign w:val="bottom"/>
          </w:tcPr>
          <w:p w14:paraId="7A4D004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810" w:type="dxa"/>
            <w:shd w:val="clear" w:color="auto" w:fill="D0D0D0"/>
            <w:tcMar>
              <w:top w:w="15" w:type="dxa"/>
              <w:left w:w="15" w:type="dxa"/>
              <w:right w:w="15" w:type="dxa"/>
            </w:tcMar>
            <w:vAlign w:val="bottom"/>
          </w:tcPr>
          <w:p w14:paraId="7711450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6C91896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26507A3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5C279704" w14:textId="77777777" w:rsidTr="00B77C41">
        <w:trPr>
          <w:trHeight w:val="285"/>
        </w:trPr>
        <w:tc>
          <w:tcPr>
            <w:tcW w:w="1077" w:type="dxa"/>
            <w:shd w:val="clear" w:color="auto" w:fill="FFFFFF" w:themeFill="background1"/>
            <w:vAlign w:val="center"/>
          </w:tcPr>
          <w:p w14:paraId="00BF009E" w14:textId="77777777" w:rsidR="006714FF"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1</w:t>
            </w:r>
          </w:p>
        </w:tc>
        <w:tc>
          <w:tcPr>
            <w:tcW w:w="1077" w:type="dxa"/>
            <w:shd w:val="clear" w:color="auto" w:fill="FFFFFF" w:themeFill="background1"/>
            <w:tcMar>
              <w:top w:w="15" w:type="dxa"/>
              <w:left w:w="15" w:type="dxa"/>
              <w:right w:w="15" w:type="dxa"/>
            </w:tcMar>
            <w:vAlign w:val="center"/>
          </w:tcPr>
          <w:p w14:paraId="3A876C44" w14:textId="77777777" w:rsidR="006714FF" w:rsidRDefault="006714FF" w:rsidP="00B77C41">
            <w:pPr>
              <w:spacing w:after="0"/>
              <w:jc w:val="center"/>
              <w:rPr>
                <w:rFonts w:ascii="Times New Roman" w:hAnsi="Times New Roman"/>
                <w:b/>
                <w:bCs/>
                <w:sz w:val="22"/>
                <w:szCs w:val="22"/>
              </w:rPr>
            </w:pPr>
            <w:r>
              <w:rPr>
                <w:rFonts w:ascii="Times New Roman" w:hAnsi="Times New Roman"/>
                <w:b/>
                <w:bCs/>
                <w:sz w:val="22"/>
                <w:szCs w:val="22"/>
              </w:rPr>
              <w:t>Constant</w:t>
            </w:r>
          </w:p>
        </w:tc>
        <w:tc>
          <w:tcPr>
            <w:tcW w:w="1041" w:type="dxa"/>
            <w:shd w:val="clear" w:color="auto" w:fill="FFFFFF" w:themeFill="background1"/>
            <w:tcMar>
              <w:top w:w="15" w:type="dxa"/>
              <w:left w:w="15" w:type="dxa"/>
              <w:right w:w="15" w:type="dxa"/>
            </w:tcMar>
            <w:vAlign w:val="bottom"/>
          </w:tcPr>
          <w:p w14:paraId="78512F63" w14:textId="77777777" w:rsidR="006714FF" w:rsidRPr="007A3E31" w:rsidRDefault="006714FF" w:rsidP="00B77C41">
            <w:pPr>
              <w:spacing w:after="0"/>
              <w:jc w:val="center"/>
              <w:rPr>
                <w:rFonts w:ascii="Times New Roman" w:hAnsi="Times New Roman"/>
                <w:b/>
                <w:bCs/>
                <w:sz w:val="22"/>
                <w:szCs w:val="22"/>
              </w:rPr>
            </w:pPr>
            <w:r>
              <w:rPr>
                <w:rFonts w:ascii="Times New Roman" w:hAnsi="Times New Roman"/>
                <w:b/>
                <w:bCs/>
                <w:sz w:val="22"/>
                <w:szCs w:val="22"/>
              </w:rPr>
              <w:t>Flat</w:t>
            </w:r>
          </w:p>
        </w:tc>
        <w:tc>
          <w:tcPr>
            <w:tcW w:w="877" w:type="dxa"/>
            <w:shd w:val="clear" w:color="auto" w:fill="D0D0D0"/>
            <w:tcMar>
              <w:top w:w="15" w:type="dxa"/>
              <w:left w:w="15" w:type="dxa"/>
              <w:right w:w="15" w:type="dxa"/>
            </w:tcMar>
            <w:vAlign w:val="center"/>
          </w:tcPr>
          <w:p w14:paraId="5D93E798"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 xml:space="preserve"> </w:t>
            </w:r>
          </w:p>
        </w:tc>
        <w:tc>
          <w:tcPr>
            <w:tcW w:w="808" w:type="dxa"/>
            <w:shd w:val="clear" w:color="auto" w:fill="FFFFFF" w:themeFill="background1"/>
            <w:tcMar>
              <w:top w:w="15" w:type="dxa"/>
              <w:left w:w="15" w:type="dxa"/>
              <w:right w:w="15" w:type="dxa"/>
            </w:tcMar>
            <w:vAlign w:val="bottom"/>
          </w:tcPr>
          <w:p w14:paraId="0E288B29"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904" w:type="dxa"/>
            <w:shd w:val="clear" w:color="auto" w:fill="FFFFFF" w:themeFill="background1"/>
            <w:tcMar>
              <w:top w:w="15" w:type="dxa"/>
              <w:left w:w="15" w:type="dxa"/>
              <w:right w:w="15" w:type="dxa"/>
            </w:tcMar>
            <w:vAlign w:val="bottom"/>
          </w:tcPr>
          <w:p w14:paraId="446F6EA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810" w:type="dxa"/>
            <w:shd w:val="clear" w:color="auto" w:fill="D0D0D0"/>
            <w:tcMar>
              <w:top w:w="15" w:type="dxa"/>
              <w:left w:w="15" w:type="dxa"/>
              <w:right w:w="15" w:type="dxa"/>
            </w:tcMar>
            <w:vAlign w:val="bottom"/>
          </w:tcPr>
          <w:p w14:paraId="01F5A0F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472CED7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219E978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3D15882C" w14:textId="77777777" w:rsidTr="00B77C41">
        <w:trPr>
          <w:trHeight w:val="1155"/>
        </w:trPr>
        <w:tc>
          <w:tcPr>
            <w:tcW w:w="1077" w:type="dxa"/>
            <w:shd w:val="clear" w:color="auto" w:fill="FFFFFF" w:themeFill="background1"/>
            <w:vAlign w:val="center"/>
          </w:tcPr>
          <w:p w14:paraId="75D95C27" w14:textId="77777777" w:rsidR="006714FF" w:rsidRPr="00FC0C36" w:rsidRDefault="006714FF" w:rsidP="00B77C41">
            <w:pPr>
              <w:spacing w:after="0" w:line="278" w:lineRule="auto"/>
              <w:jc w:val="center"/>
              <w:rPr>
                <w:rFonts w:ascii="Times New Roman" w:hAnsi="Times New Roman"/>
                <w:sz w:val="22"/>
                <w:szCs w:val="22"/>
              </w:rPr>
            </w:pPr>
            <w:r w:rsidRPr="00FC0C36">
              <w:rPr>
                <w:rFonts w:ascii="Times New Roman" w:hAnsi="Times New Roman"/>
                <w:sz w:val="22"/>
                <w:szCs w:val="22"/>
              </w:rPr>
              <w:t>GO=2</w:t>
            </w:r>
          </w:p>
        </w:tc>
        <w:tc>
          <w:tcPr>
            <w:tcW w:w="1077" w:type="dxa"/>
            <w:vMerge w:val="restart"/>
            <w:shd w:val="clear" w:color="auto" w:fill="FFFFFF" w:themeFill="background1"/>
            <w:tcMar>
              <w:top w:w="15" w:type="dxa"/>
              <w:left w:w="15" w:type="dxa"/>
              <w:right w:w="15" w:type="dxa"/>
            </w:tcMar>
            <w:vAlign w:val="center"/>
          </w:tcPr>
          <w:p w14:paraId="2EB12CFE" w14:textId="77777777" w:rsidR="006714FF" w:rsidRPr="00FC0C36" w:rsidRDefault="006714FF" w:rsidP="00B77C41">
            <w:pPr>
              <w:spacing w:after="0"/>
              <w:jc w:val="center"/>
              <w:rPr>
                <w:rFonts w:ascii="Times New Roman" w:hAnsi="Times New Roman"/>
                <w:sz w:val="22"/>
                <w:szCs w:val="22"/>
              </w:rPr>
            </w:pPr>
            <w:r w:rsidRPr="00FC0C36">
              <w:rPr>
                <w:rFonts w:ascii="Times New Roman" w:hAnsi="Times New Roman"/>
                <w:sz w:val="22"/>
                <w:szCs w:val="22"/>
              </w:rPr>
              <w:t>Spatial &amp; Temporal Kernel Smoothing</w:t>
            </w:r>
          </w:p>
        </w:tc>
        <w:tc>
          <w:tcPr>
            <w:tcW w:w="1041" w:type="dxa"/>
            <w:vMerge w:val="restart"/>
            <w:shd w:val="clear" w:color="auto" w:fill="FFFFFF" w:themeFill="background1"/>
            <w:tcMar>
              <w:top w:w="15" w:type="dxa"/>
              <w:left w:w="15" w:type="dxa"/>
              <w:right w:w="15" w:type="dxa"/>
            </w:tcMar>
            <w:vAlign w:val="center"/>
          </w:tcPr>
          <w:p w14:paraId="5E17EA9B" w14:textId="77777777" w:rsidR="006714FF" w:rsidRPr="00FC0C36" w:rsidRDefault="006714FF" w:rsidP="00B77C41">
            <w:pPr>
              <w:jc w:val="center"/>
              <w:rPr>
                <w:rFonts w:ascii="Times New Roman" w:hAnsi="Times New Roman"/>
                <w:sz w:val="22"/>
                <w:szCs w:val="22"/>
              </w:rPr>
            </w:pPr>
            <w:r w:rsidRPr="00FC0C36">
              <w:rPr>
                <w:rFonts w:ascii="Times New Roman" w:hAnsi="Times New Roman"/>
                <w:sz w:val="22"/>
                <w:szCs w:val="22"/>
              </w:rPr>
              <w:t>Medium</w:t>
            </w:r>
          </w:p>
        </w:tc>
        <w:tc>
          <w:tcPr>
            <w:tcW w:w="877" w:type="dxa"/>
            <w:shd w:val="clear" w:color="auto" w:fill="FFFFFF" w:themeFill="background1"/>
            <w:tcMar>
              <w:top w:w="15" w:type="dxa"/>
              <w:left w:w="15" w:type="dxa"/>
              <w:right w:w="15" w:type="dxa"/>
            </w:tcMar>
            <w:vAlign w:val="center"/>
          </w:tcPr>
          <w:p w14:paraId="56903072" w14:textId="77777777" w:rsidR="006714FF" w:rsidRPr="00FC0C36" w:rsidRDefault="006714FF" w:rsidP="00B77C41">
            <w:pPr>
              <w:spacing w:after="0"/>
              <w:jc w:val="center"/>
              <w:rPr>
                <w:rFonts w:ascii="Times New Roman" w:hAnsi="Times New Roman"/>
                <w:sz w:val="22"/>
                <w:szCs w:val="22"/>
              </w:rPr>
            </w:pPr>
            <w:r w:rsidRPr="00FC0C36">
              <w:rPr>
                <w:rFonts w:ascii="Times New Roman" w:hAnsi="Times New Roman"/>
                <w:sz w:val="22"/>
                <w:szCs w:val="22"/>
              </w:rPr>
              <w:t>Domain-wide</w:t>
            </w:r>
          </w:p>
        </w:tc>
        <w:tc>
          <w:tcPr>
            <w:tcW w:w="808" w:type="dxa"/>
            <w:shd w:val="clear" w:color="auto" w:fill="FFFFFF" w:themeFill="background1"/>
            <w:tcMar>
              <w:top w:w="15" w:type="dxa"/>
              <w:left w:w="15" w:type="dxa"/>
              <w:right w:w="15" w:type="dxa"/>
            </w:tcMar>
            <w:vAlign w:val="bottom"/>
          </w:tcPr>
          <w:p w14:paraId="749F741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7.5</w:t>
            </w:r>
          </w:p>
        </w:tc>
        <w:tc>
          <w:tcPr>
            <w:tcW w:w="904" w:type="dxa"/>
            <w:shd w:val="clear" w:color="auto" w:fill="FFFFFF" w:themeFill="background1"/>
            <w:tcMar>
              <w:top w:w="15" w:type="dxa"/>
              <w:left w:w="15" w:type="dxa"/>
              <w:right w:w="15" w:type="dxa"/>
            </w:tcMar>
            <w:vAlign w:val="bottom"/>
          </w:tcPr>
          <w:p w14:paraId="24352E5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730</w:t>
            </w:r>
          </w:p>
        </w:tc>
        <w:tc>
          <w:tcPr>
            <w:tcW w:w="810" w:type="dxa"/>
            <w:shd w:val="clear" w:color="auto" w:fill="D0D0D0"/>
            <w:tcMar>
              <w:top w:w="15" w:type="dxa"/>
              <w:left w:w="15" w:type="dxa"/>
              <w:right w:w="15" w:type="dxa"/>
            </w:tcMar>
            <w:vAlign w:val="bottom"/>
          </w:tcPr>
          <w:p w14:paraId="273F518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4326F83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490E1A5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251E0757" w14:textId="77777777" w:rsidTr="00B77C41">
        <w:trPr>
          <w:trHeight w:val="285"/>
        </w:trPr>
        <w:tc>
          <w:tcPr>
            <w:tcW w:w="1077" w:type="dxa"/>
            <w:vAlign w:val="center"/>
          </w:tcPr>
          <w:p w14:paraId="7E15D087"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3</w:t>
            </w:r>
          </w:p>
        </w:tc>
        <w:tc>
          <w:tcPr>
            <w:tcW w:w="1077" w:type="dxa"/>
            <w:vMerge/>
            <w:vAlign w:val="center"/>
          </w:tcPr>
          <w:p w14:paraId="25EDD55D" w14:textId="77777777" w:rsidR="006714FF" w:rsidRDefault="006714FF" w:rsidP="00B77C41"/>
        </w:tc>
        <w:tc>
          <w:tcPr>
            <w:tcW w:w="1041" w:type="dxa"/>
            <w:vMerge/>
            <w:tcMar>
              <w:top w:w="15" w:type="dxa"/>
              <w:left w:w="15" w:type="dxa"/>
              <w:right w:w="15" w:type="dxa"/>
            </w:tcMar>
            <w:vAlign w:val="center"/>
          </w:tcPr>
          <w:p w14:paraId="301F1040" w14:textId="77777777" w:rsidR="006714FF" w:rsidRDefault="006714FF" w:rsidP="00B77C41"/>
        </w:tc>
        <w:tc>
          <w:tcPr>
            <w:tcW w:w="877" w:type="dxa"/>
            <w:shd w:val="clear" w:color="auto" w:fill="FFFFFF" w:themeFill="background1"/>
            <w:tcMar>
              <w:top w:w="15" w:type="dxa"/>
              <w:left w:w="15" w:type="dxa"/>
              <w:right w:w="15" w:type="dxa"/>
            </w:tcMar>
            <w:vAlign w:val="center"/>
          </w:tcPr>
          <w:p w14:paraId="32BF3B5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FFFFFF" w:themeFill="background1"/>
            <w:tcMar>
              <w:top w:w="15" w:type="dxa"/>
              <w:left w:w="15" w:type="dxa"/>
              <w:right w:w="15" w:type="dxa"/>
            </w:tcMar>
            <w:vAlign w:val="bottom"/>
          </w:tcPr>
          <w:p w14:paraId="6D538AF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w:t>
            </w:r>
          </w:p>
        </w:tc>
        <w:tc>
          <w:tcPr>
            <w:tcW w:w="904" w:type="dxa"/>
            <w:shd w:val="clear" w:color="auto" w:fill="FFFFFF" w:themeFill="background1"/>
            <w:tcMar>
              <w:top w:w="15" w:type="dxa"/>
              <w:left w:w="15" w:type="dxa"/>
              <w:right w:w="15" w:type="dxa"/>
            </w:tcMar>
            <w:vAlign w:val="bottom"/>
          </w:tcPr>
          <w:p w14:paraId="3907C95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D0D0D0"/>
            <w:tcMar>
              <w:top w:w="15" w:type="dxa"/>
              <w:left w:w="15" w:type="dxa"/>
              <w:right w:w="15" w:type="dxa"/>
            </w:tcMar>
            <w:vAlign w:val="bottom"/>
          </w:tcPr>
          <w:p w14:paraId="7AC4596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59A7EC1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1A17FBA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7F499160" w14:textId="77777777" w:rsidTr="00B77C41">
        <w:trPr>
          <w:trHeight w:val="285"/>
        </w:trPr>
        <w:tc>
          <w:tcPr>
            <w:tcW w:w="1077" w:type="dxa"/>
            <w:vAlign w:val="center"/>
          </w:tcPr>
          <w:p w14:paraId="0C0C6E00"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4</w:t>
            </w:r>
          </w:p>
        </w:tc>
        <w:tc>
          <w:tcPr>
            <w:tcW w:w="1077" w:type="dxa"/>
            <w:vMerge/>
            <w:vAlign w:val="center"/>
          </w:tcPr>
          <w:p w14:paraId="53E49DDC"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0488F30B" w14:textId="77777777" w:rsidR="006714FF" w:rsidRDefault="006714FF" w:rsidP="00B77C41">
            <w:pPr>
              <w:jc w:val="center"/>
              <w:rPr>
                <w:rFonts w:ascii="Times New Roman" w:hAnsi="Times New Roman"/>
                <w:b/>
                <w:bCs/>
                <w:sz w:val="22"/>
                <w:szCs w:val="22"/>
              </w:rPr>
            </w:pPr>
            <w:r w:rsidRPr="00FC0C36">
              <w:rPr>
                <w:rFonts w:ascii="Times New Roman" w:hAnsi="Times New Roman"/>
                <w:sz w:val="22"/>
                <w:szCs w:val="22"/>
              </w:rPr>
              <w:t>Fine</w:t>
            </w:r>
          </w:p>
        </w:tc>
        <w:tc>
          <w:tcPr>
            <w:tcW w:w="877" w:type="dxa"/>
            <w:shd w:val="clear" w:color="auto" w:fill="FFFFFF" w:themeFill="background1"/>
            <w:tcMar>
              <w:top w:w="15" w:type="dxa"/>
              <w:left w:w="15" w:type="dxa"/>
              <w:right w:w="15" w:type="dxa"/>
            </w:tcMar>
            <w:vAlign w:val="center"/>
          </w:tcPr>
          <w:p w14:paraId="14E0929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FFFFFF" w:themeFill="background1"/>
            <w:tcMar>
              <w:top w:w="15" w:type="dxa"/>
              <w:left w:w="15" w:type="dxa"/>
              <w:right w:w="15" w:type="dxa"/>
            </w:tcMar>
            <w:vAlign w:val="bottom"/>
          </w:tcPr>
          <w:p w14:paraId="06654B8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w:t>
            </w:r>
          </w:p>
        </w:tc>
        <w:tc>
          <w:tcPr>
            <w:tcW w:w="904" w:type="dxa"/>
            <w:shd w:val="clear" w:color="auto" w:fill="FFFFFF" w:themeFill="background1"/>
            <w:tcMar>
              <w:top w:w="15" w:type="dxa"/>
              <w:left w:w="15" w:type="dxa"/>
              <w:right w:w="15" w:type="dxa"/>
            </w:tcMar>
            <w:vAlign w:val="bottom"/>
          </w:tcPr>
          <w:p w14:paraId="77105B1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D0D0D0"/>
            <w:tcMar>
              <w:top w:w="15" w:type="dxa"/>
              <w:left w:w="15" w:type="dxa"/>
              <w:right w:w="15" w:type="dxa"/>
            </w:tcMar>
            <w:vAlign w:val="bottom"/>
          </w:tcPr>
          <w:p w14:paraId="4983F07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65AC5D4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2083E73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3DD8E5FB" w14:textId="77777777" w:rsidTr="00B77C41">
        <w:trPr>
          <w:trHeight w:val="285"/>
        </w:trPr>
        <w:tc>
          <w:tcPr>
            <w:tcW w:w="1077" w:type="dxa"/>
            <w:vAlign w:val="center"/>
          </w:tcPr>
          <w:p w14:paraId="445B07C3" w14:textId="77777777" w:rsidR="006714FF" w:rsidRPr="00FC0C36" w:rsidRDefault="006714FF" w:rsidP="00B77C41">
            <w:pPr>
              <w:spacing w:after="0" w:line="278" w:lineRule="auto"/>
              <w:jc w:val="center"/>
            </w:pPr>
            <w:r w:rsidRPr="00FC0C36">
              <w:rPr>
                <w:rFonts w:ascii="Times New Roman" w:hAnsi="Times New Roman"/>
                <w:sz w:val="22"/>
                <w:szCs w:val="22"/>
              </w:rPr>
              <w:t>GO=5</w:t>
            </w:r>
          </w:p>
        </w:tc>
        <w:tc>
          <w:tcPr>
            <w:tcW w:w="1077" w:type="dxa"/>
            <w:vMerge/>
            <w:vAlign w:val="center"/>
          </w:tcPr>
          <w:p w14:paraId="73458F4A" w14:textId="77777777" w:rsidR="006714FF" w:rsidRPr="00FC0C36" w:rsidRDefault="006714FF" w:rsidP="00B77C41"/>
        </w:tc>
        <w:tc>
          <w:tcPr>
            <w:tcW w:w="1041" w:type="dxa"/>
            <w:vMerge/>
            <w:tcMar>
              <w:top w:w="15" w:type="dxa"/>
              <w:left w:w="15" w:type="dxa"/>
              <w:right w:w="15" w:type="dxa"/>
            </w:tcMar>
            <w:vAlign w:val="center"/>
          </w:tcPr>
          <w:p w14:paraId="4E9706B6" w14:textId="77777777" w:rsidR="006714FF" w:rsidRPr="00FC0C36" w:rsidRDefault="006714FF" w:rsidP="00B77C41"/>
        </w:tc>
        <w:tc>
          <w:tcPr>
            <w:tcW w:w="877" w:type="dxa"/>
            <w:shd w:val="clear" w:color="auto" w:fill="FFFFFF" w:themeFill="background1"/>
            <w:tcMar>
              <w:top w:w="15" w:type="dxa"/>
              <w:left w:w="15" w:type="dxa"/>
              <w:right w:w="15" w:type="dxa"/>
            </w:tcMar>
            <w:vAlign w:val="center"/>
          </w:tcPr>
          <w:p w14:paraId="12E965A3" w14:textId="77777777" w:rsidR="006714FF" w:rsidRPr="00FC0C36" w:rsidRDefault="006714FF" w:rsidP="00B77C41">
            <w:pPr>
              <w:spacing w:after="0"/>
              <w:jc w:val="center"/>
              <w:rPr>
                <w:rFonts w:ascii="Times New Roman" w:hAnsi="Times New Roman"/>
                <w:sz w:val="22"/>
                <w:szCs w:val="22"/>
              </w:rPr>
            </w:pPr>
            <w:r w:rsidRPr="00FC0C36">
              <w:rPr>
                <w:rFonts w:ascii="Times New Roman" w:hAnsi="Times New Roman"/>
                <w:sz w:val="22"/>
                <w:szCs w:val="22"/>
              </w:rPr>
              <w:t>Local</w:t>
            </w:r>
          </w:p>
        </w:tc>
        <w:tc>
          <w:tcPr>
            <w:tcW w:w="808" w:type="dxa"/>
            <w:shd w:val="clear" w:color="auto" w:fill="FFFFFF" w:themeFill="background1"/>
            <w:tcMar>
              <w:top w:w="15" w:type="dxa"/>
              <w:left w:w="15" w:type="dxa"/>
              <w:right w:w="15" w:type="dxa"/>
            </w:tcMar>
            <w:vAlign w:val="bottom"/>
          </w:tcPr>
          <w:p w14:paraId="1EECD8D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w:t>
            </w:r>
          </w:p>
        </w:tc>
        <w:tc>
          <w:tcPr>
            <w:tcW w:w="904" w:type="dxa"/>
            <w:shd w:val="clear" w:color="auto" w:fill="FFFFFF" w:themeFill="background1"/>
            <w:tcMar>
              <w:top w:w="15" w:type="dxa"/>
              <w:left w:w="15" w:type="dxa"/>
              <w:right w:w="15" w:type="dxa"/>
            </w:tcMar>
            <w:vAlign w:val="bottom"/>
          </w:tcPr>
          <w:p w14:paraId="7F4658A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w:t>
            </w:r>
          </w:p>
        </w:tc>
        <w:tc>
          <w:tcPr>
            <w:tcW w:w="810" w:type="dxa"/>
            <w:shd w:val="clear" w:color="auto" w:fill="D0D0D0"/>
            <w:tcMar>
              <w:top w:w="15" w:type="dxa"/>
              <w:left w:w="15" w:type="dxa"/>
              <w:right w:w="15" w:type="dxa"/>
            </w:tcMar>
            <w:vAlign w:val="bottom"/>
          </w:tcPr>
          <w:p w14:paraId="48C5297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4ED45F5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4459A34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1FAF90A0" w14:textId="77777777" w:rsidTr="00B77C41">
        <w:trPr>
          <w:trHeight w:val="1155"/>
        </w:trPr>
        <w:tc>
          <w:tcPr>
            <w:tcW w:w="1077" w:type="dxa"/>
            <w:shd w:val="clear" w:color="auto" w:fill="FFFFFF" w:themeFill="background1"/>
            <w:vAlign w:val="center"/>
          </w:tcPr>
          <w:p w14:paraId="44FBA134" w14:textId="77777777" w:rsidR="006714FF" w:rsidRPr="00FC0C36" w:rsidRDefault="006714FF" w:rsidP="00B77C41">
            <w:pPr>
              <w:spacing w:after="0" w:line="278" w:lineRule="auto"/>
              <w:jc w:val="center"/>
              <w:rPr>
                <w:rFonts w:ascii="Times New Roman" w:hAnsi="Times New Roman"/>
                <w:b/>
                <w:bCs/>
                <w:sz w:val="22"/>
                <w:szCs w:val="22"/>
              </w:rPr>
            </w:pPr>
            <w:r w:rsidRPr="00FC0C36">
              <w:rPr>
                <w:rFonts w:ascii="Times New Roman" w:hAnsi="Times New Roman"/>
                <w:b/>
                <w:bCs/>
                <w:sz w:val="22"/>
                <w:szCs w:val="22"/>
              </w:rPr>
              <w:t>GO=6</w:t>
            </w:r>
          </w:p>
        </w:tc>
        <w:tc>
          <w:tcPr>
            <w:tcW w:w="1077" w:type="dxa"/>
            <w:vMerge w:val="restart"/>
            <w:shd w:val="clear" w:color="auto" w:fill="FFFFFF" w:themeFill="background1"/>
            <w:tcMar>
              <w:top w:w="15" w:type="dxa"/>
              <w:left w:w="15" w:type="dxa"/>
              <w:right w:w="15" w:type="dxa"/>
            </w:tcMar>
            <w:vAlign w:val="center"/>
          </w:tcPr>
          <w:p w14:paraId="04642BA0" w14:textId="77777777" w:rsidR="006714FF" w:rsidRPr="00FC0C36" w:rsidRDefault="006714FF" w:rsidP="00B77C41">
            <w:pPr>
              <w:spacing w:after="0"/>
              <w:jc w:val="center"/>
              <w:rPr>
                <w:rFonts w:ascii="Times New Roman" w:hAnsi="Times New Roman"/>
                <w:b/>
                <w:bCs/>
                <w:sz w:val="22"/>
                <w:szCs w:val="22"/>
              </w:rPr>
            </w:pPr>
            <w:r w:rsidRPr="00FC0C36">
              <w:rPr>
                <w:rFonts w:ascii="Times New Roman" w:hAnsi="Times New Roman"/>
                <w:b/>
                <w:bCs/>
                <w:sz w:val="22"/>
                <w:szCs w:val="22"/>
              </w:rPr>
              <w:t>Spatial LUR &amp; Temporal Kernel Smoothing</w:t>
            </w:r>
          </w:p>
        </w:tc>
        <w:tc>
          <w:tcPr>
            <w:tcW w:w="1041" w:type="dxa"/>
            <w:vMerge w:val="restart"/>
            <w:shd w:val="clear" w:color="auto" w:fill="FFFFFF" w:themeFill="background1"/>
            <w:tcMar>
              <w:top w:w="15" w:type="dxa"/>
              <w:left w:w="15" w:type="dxa"/>
              <w:right w:w="15" w:type="dxa"/>
            </w:tcMar>
            <w:vAlign w:val="center"/>
          </w:tcPr>
          <w:p w14:paraId="11EA438A" w14:textId="77777777" w:rsidR="006714FF" w:rsidRPr="00FC0C36" w:rsidRDefault="006714FF" w:rsidP="00B77C41">
            <w:pPr>
              <w:jc w:val="center"/>
              <w:rPr>
                <w:rFonts w:ascii="Times New Roman" w:hAnsi="Times New Roman"/>
                <w:b/>
                <w:bCs/>
                <w:sz w:val="22"/>
                <w:szCs w:val="22"/>
              </w:rPr>
            </w:pPr>
            <w:r w:rsidRPr="00FC0C36">
              <w:rPr>
                <w:rFonts w:ascii="Times New Roman" w:hAnsi="Times New Roman"/>
                <w:b/>
                <w:bCs/>
                <w:sz w:val="22"/>
                <w:szCs w:val="22"/>
              </w:rPr>
              <w:t>Medium</w:t>
            </w:r>
          </w:p>
        </w:tc>
        <w:tc>
          <w:tcPr>
            <w:tcW w:w="877" w:type="dxa"/>
            <w:shd w:val="clear" w:color="auto" w:fill="FFFFFF" w:themeFill="background1"/>
            <w:tcMar>
              <w:top w:w="15" w:type="dxa"/>
              <w:left w:w="15" w:type="dxa"/>
              <w:right w:w="15" w:type="dxa"/>
            </w:tcMar>
            <w:vAlign w:val="center"/>
          </w:tcPr>
          <w:p w14:paraId="632DB144" w14:textId="77777777" w:rsidR="006714FF" w:rsidRPr="00FC0C36" w:rsidRDefault="006714FF" w:rsidP="00B77C41">
            <w:pPr>
              <w:spacing w:after="0"/>
              <w:jc w:val="center"/>
              <w:rPr>
                <w:rFonts w:ascii="Times New Roman" w:hAnsi="Times New Roman"/>
                <w:b/>
                <w:bCs/>
                <w:sz w:val="22"/>
                <w:szCs w:val="22"/>
              </w:rPr>
            </w:pPr>
            <w:r w:rsidRPr="00FC0C36">
              <w:rPr>
                <w:rFonts w:ascii="Times New Roman" w:hAnsi="Times New Roman"/>
                <w:b/>
                <w:bCs/>
                <w:sz w:val="22"/>
                <w:szCs w:val="22"/>
              </w:rPr>
              <w:t>Domain-wide</w:t>
            </w:r>
          </w:p>
        </w:tc>
        <w:tc>
          <w:tcPr>
            <w:tcW w:w="808" w:type="dxa"/>
            <w:shd w:val="clear" w:color="auto" w:fill="D0D0D0"/>
            <w:tcMar>
              <w:top w:w="15" w:type="dxa"/>
              <w:left w:w="15" w:type="dxa"/>
              <w:right w:w="15" w:type="dxa"/>
            </w:tcMar>
            <w:vAlign w:val="bottom"/>
          </w:tcPr>
          <w:p w14:paraId="6AF6570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0775221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730</w:t>
            </w:r>
          </w:p>
        </w:tc>
        <w:tc>
          <w:tcPr>
            <w:tcW w:w="810" w:type="dxa"/>
            <w:shd w:val="clear" w:color="auto" w:fill="FFFFFF" w:themeFill="background1"/>
            <w:tcMar>
              <w:top w:w="15" w:type="dxa"/>
              <w:left w:w="15" w:type="dxa"/>
              <w:right w:w="15" w:type="dxa"/>
            </w:tcMar>
            <w:vAlign w:val="bottom"/>
          </w:tcPr>
          <w:p w14:paraId="33A902DA" w14:textId="77777777" w:rsidR="006714FF" w:rsidRDefault="006714FF" w:rsidP="00B77C41">
            <w:pPr>
              <w:spacing w:after="0"/>
              <w:jc w:val="right"/>
              <w:rPr>
                <w:rFonts w:ascii="Times New Roman" w:hAnsi="Times New Roman"/>
                <w:sz w:val="22"/>
                <w:szCs w:val="22"/>
              </w:rPr>
            </w:pPr>
            <w:r w:rsidRPr="57EE44F5">
              <w:rPr>
                <w:rFonts w:ascii="Times New Roman" w:hAnsi="Times New Roman"/>
                <w:b/>
                <w:bCs/>
                <w:sz w:val="22"/>
                <w:szCs w:val="22"/>
              </w:rPr>
              <w:t>0.04</w:t>
            </w:r>
          </w:p>
        </w:tc>
        <w:tc>
          <w:tcPr>
            <w:tcW w:w="935" w:type="dxa"/>
            <w:shd w:val="clear" w:color="auto" w:fill="FFFFFF" w:themeFill="background1"/>
            <w:tcMar>
              <w:top w:w="15" w:type="dxa"/>
              <w:left w:w="15" w:type="dxa"/>
              <w:right w:w="15" w:type="dxa"/>
            </w:tcMar>
            <w:vAlign w:val="bottom"/>
          </w:tcPr>
          <w:p w14:paraId="75DF37C3" w14:textId="77777777" w:rsidR="006714FF" w:rsidRDefault="006714FF" w:rsidP="00B77C41">
            <w:pPr>
              <w:spacing w:after="0"/>
              <w:jc w:val="right"/>
              <w:rPr>
                <w:rFonts w:ascii="Times New Roman" w:hAnsi="Times New Roman"/>
                <w:sz w:val="22"/>
                <w:szCs w:val="22"/>
              </w:rPr>
            </w:pPr>
            <w:r w:rsidRPr="57EE44F5">
              <w:rPr>
                <w:rFonts w:ascii="Times New Roman" w:hAnsi="Times New Roman"/>
                <w:b/>
                <w:bCs/>
                <w:sz w:val="22"/>
                <w:szCs w:val="22"/>
              </w:rPr>
              <w:t>N/A</w:t>
            </w:r>
          </w:p>
        </w:tc>
        <w:tc>
          <w:tcPr>
            <w:tcW w:w="775" w:type="dxa"/>
            <w:shd w:val="clear" w:color="auto" w:fill="FFFFFF" w:themeFill="background1"/>
            <w:tcMar>
              <w:top w:w="15" w:type="dxa"/>
              <w:left w:w="15" w:type="dxa"/>
              <w:right w:w="15" w:type="dxa"/>
            </w:tcMar>
            <w:vAlign w:val="bottom"/>
          </w:tcPr>
          <w:p w14:paraId="0F6B3A7D" w14:textId="77777777" w:rsidR="006714FF" w:rsidRDefault="006714FF" w:rsidP="00B77C41">
            <w:pPr>
              <w:spacing w:after="0"/>
              <w:jc w:val="right"/>
              <w:rPr>
                <w:rFonts w:ascii="Times New Roman" w:hAnsi="Times New Roman"/>
                <w:sz w:val="22"/>
                <w:szCs w:val="22"/>
              </w:rPr>
            </w:pPr>
            <w:r w:rsidRPr="57EE44F5">
              <w:rPr>
                <w:rFonts w:ascii="Times New Roman" w:hAnsi="Times New Roman"/>
                <w:b/>
                <w:bCs/>
                <w:sz w:val="22"/>
                <w:szCs w:val="22"/>
              </w:rPr>
              <w:t>N/A</w:t>
            </w:r>
          </w:p>
        </w:tc>
      </w:tr>
      <w:tr w:rsidR="006714FF" w14:paraId="66E0841A" w14:textId="77777777" w:rsidTr="00B77C41">
        <w:trPr>
          <w:trHeight w:val="285"/>
        </w:trPr>
        <w:tc>
          <w:tcPr>
            <w:tcW w:w="1077" w:type="dxa"/>
            <w:vAlign w:val="center"/>
          </w:tcPr>
          <w:p w14:paraId="2D4BFAFB"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7</w:t>
            </w:r>
          </w:p>
        </w:tc>
        <w:tc>
          <w:tcPr>
            <w:tcW w:w="1077" w:type="dxa"/>
            <w:vMerge/>
            <w:vAlign w:val="center"/>
          </w:tcPr>
          <w:p w14:paraId="56E83324" w14:textId="77777777" w:rsidR="006714FF" w:rsidRPr="00FC0C36" w:rsidRDefault="006714FF" w:rsidP="00B77C41">
            <w:pPr>
              <w:rPr>
                <w:b/>
                <w:bCs/>
              </w:rPr>
            </w:pPr>
          </w:p>
        </w:tc>
        <w:tc>
          <w:tcPr>
            <w:tcW w:w="1041" w:type="dxa"/>
            <w:vMerge/>
            <w:tcMar>
              <w:top w:w="15" w:type="dxa"/>
              <w:left w:w="15" w:type="dxa"/>
              <w:right w:w="15" w:type="dxa"/>
            </w:tcMar>
            <w:vAlign w:val="center"/>
          </w:tcPr>
          <w:p w14:paraId="24FEE29E" w14:textId="77777777" w:rsidR="006714FF" w:rsidRPr="00FC0C36" w:rsidRDefault="006714FF" w:rsidP="00B77C41">
            <w:pPr>
              <w:rPr>
                <w:b/>
                <w:bCs/>
              </w:rPr>
            </w:pPr>
          </w:p>
        </w:tc>
        <w:tc>
          <w:tcPr>
            <w:tcW w:w="877" w:type="dxa"/>
            <w:shd w:val="clear" w:color="auto" w:fill="FFFFFF" w:themeFill="background1"/>
            <w:tcMar>
              <w:top w:w="15" w:type="dxa"/>
              <w:left w:w="15" w:type="dxa"/>
              <w:right w:w="15" w:type="dxa"/>
            </w:tcMar>
            <w:vAlign w:val="center"/>
          </w:tcPr>
          <w:p w14:paraId="6148888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D0D0D0"/>
            <w:tcMar>
              <w:top w:w="15" w:type="dxa"/>
              <w:left w:w="15" w:type="dxa"/>
              <w:right w:w="15" w:type="dxa"/>
            </w:tcMar>
            <w:vAlign w:val="bottom"/>
          </w:tcPr>
          <w:p w14:paraId="36A9DD8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2DA3AED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FFFFFF" w:themeFill="background1"/>
            <w:tcMar>
              <w:top w:w="15" w:type="dxa"/>
              <w:left w:w="15" w:type="dxa"/>
              <w:right w:w="15" w:type="dxa"/>
            </w:tcMar>
            <w:vAlign w:val="bottom"/>
          </w:tcPr>
          <w:p w14:paraId="7B77A6E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0.04</w:t>
            </w:r>
          </w:p>
        </w:tc>
        <w:tc>
          <w:tcPr>
            <w:tcW w:w="935" w:type="dxa"/>
            <w:shd w:val="clear" w:color="auto" w:fill="FFFFFF" w:themeFill="background1"/>
            <w:tcMar>
              <w:top w:w="15" w:type="dxa"/>
              <w:left w:w="15" w:type="dxa"/>
              <w:right w:w="15" w:type="dxa"/>
            </w:tcMar>
            <w:vAlign w:val="bottom"/>
          </w:tcPr>
          <w:p w14:paraId="3849DCB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04A5C76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r>
      <w:tr w:rsidR="006714FF" w14:paraId="7DEF40A6" w14:textId="77777777" w:rsidTr="00B77C41">
        <w:trPr>
          <w:trHeight w:val="285"/>
        </w:trPr>
        <w:tc>
          <w:tcPr>
            <w:tcW w:w="1077" w:type="dxa"/>
            <w:vAlign w:val="center"/>
          </w:tcPr>
          <w:p w14:paraId="4E38BBAD"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8</w:t>
            </w:r>
          </w:p>
        </w:tc>
        <w:tc>
          <w:tcPr>
            <w:tcW w:w="1077" w:type="dxa"/>
            <w:vMerge/>
            <w:vAlign w:val="center"/>
          </w:tcPr>
          <w:p w14:paraId="7184BAB4" w14:textId="77777777" w:rsidR="006714FF" w:rsidRPr="00FC0C36" w:rsidRDefault="006714FF" w:rsidP="00B77C41">
            <w:pPr>
              <w:rPr>
                <w:b/>
                <w:bCs/>
              </w:rPr>
            </w:pPr>
          </w:p>
        </w:tc>
        <w:tc>
          <w:tcPr>
            <w:tcW w:w="1041" w:type="dxa"/>
            <w:vMerge w:val="restart"/>
            <w:shd w:val="clear" w:color="auto" w:fill="FFFFFF" w:themeFill="background1"/>
            <w:tcMar>
              <w:top w:w="15" w:type="dxa"/>
              <w:left w:w="15" w:type="dxa"/>
              <w:right w:w="15" w:type="dxa"/>
            </w:tcMar>
            <w:vAlign w:val="center"/>
          </w:tcPr>
          <w:p w14:paraId="0BFB89F3" w14:textId="77777777" w:rsidR="006714FF" w:rsidRPr="00FC0C36" w:rsidRDefault="006714FF" w:rsidP="00B77C41">
            <w:pPr>
              <w:jc w:val="center"/>
              <w:rPr>
                <w:rFonts w:ascii="Times New Roman" w:hAnsi="Times New Roman"/>
                <w:b/>
                <w:bCs/>
                <w:sz w:val="22"/>
                <w:szCs w:val="22"/>
              </w:rPr>
            </w:pPr>
            <w:r w:rsidRPr="00FC0C36">
              <w:rPr>
                <w:rFonts w:ascii="Times New Roman" w:hAnsi="Times New Roman"/>
                <w:b/>
                <w:bCs/>
                <w:sz w:val="22"/>
                <w:szCs w:val="22"/>
              </w:rPr>
              <w:t>Fine</w:t>
            </w:r>
          </w:p>
        </w:tc>
        <w:tc>
          <w:tcPr>
            <w:tcW w:w="877" w:type="dxa"/>
            <w:shd w:val="clear" w:color="auto" w:fill="FFFFFF" w:themeFill="background1"/>
            <w:tcMar>
              <w:top w:w="15" w:type="dxa"/>
              <w:left w:w="15" w:type="dxa"/>
              <w:right w:w="15" w:type="dxa"/>
            </w:tcMar>
            <w:vAlign w:val="center"/>
          </w:tcPr>
          <w:p w14:paraId="4BE7DACF" w14:textId="77777777" w:rsidR="006714FF" w:rsidRPr="00FC0C36" w:rsidRDefault="006714FF" w:rsidP="00B77C41">
            <w:pPr>
              <w:spacing w:after="0"/>
              <w:jc w:val="center"/>
              <w:rPr>
                <w:rFonts w:ascii="Times New Roman" w:hAnsi="Times New Roman"/>
                <w:b/>
                <w:bCs/>
                <w:sz w:val="22"/>
                <w:szCs w:val="22"/>
              </w:rPr>
            </w:pPr>
            <w:r w:rsidRPr="00FC0C36">
              <w:rPr>
                <w:rFonts w:ascii="Times New Roman" w:hAnsi="Times New Roman"/>
                <w:b/>
                <w:bCs/>
                <w:sz w:val="22"/>
                <w:szCs w:val="22"/>
              </w:rPr>
              <w:t>Semi-local</w:t>
            </w:r>
          </w:p>
        </w:tc>
        <w:tc>
          <w:tcPr>
            <w:tcW w:w="808" w:type="dxa"/>
            <w:shd w:val="clear" w:color="auto" w:fill="D0D0D0"/>
            <w:tcMar>
              <w:top w:w="15" w:type="dxa"/>
              <w:left w:w="15" w:type="dxa"/>
              <w:right w:w="15" w:type="dxa"/>
            </w:tcMar>
            <w:vAlign w:val="bottom"/>
          </w:tcPr>
          <w:p w14:paraId="18C2257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6B253AF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FFFFFF" w:themeFill="background1"/>
            <w:tcMar>
              <w:top w:w="15" w:type="dxa"/>
              <w:left w:w="15" w:type="dxa"/>
              <w:right w:w="15" w:type="dxa"/>
            </w:tcMar>
            <w:vAlign w:val="bottom"/>
          </w:tcPr>
          <w:p w14:paraId="0E553BE1" w14:textId="77777777" w:rsidR="006714FF" w:rsidRDefault="006714FF" w:rsidP="00B77C41">
            <w:pPr>
              <w:spacing w:after="0"/>
              <w:jc w:val="right"/>
              <w:rPr>
                <w:rFonts w:ascii="Times New Roman" w:hAnsi="Times New Roman"/>
                <w:sz w:val="22"/>
                <w:szCs w:val="22"/>
              </w:rPr>
            </w:pPr>
            <w:r w:rsidRPr="57EE44F5">
              <w:rPr>
                <w:rFonts w:ascii="Times New Roman" w:hAnsi="Times New Roman"/>
                <w:b/>
                <w:bCs/>
                <w:sz w:val="22"/>
                <w:szCs w:val="22"/>
              </w:rPr>
              <w:t>0.04</w:t>
            </w:r>
          </w:p>
        </w:tc>
        <w:tc>
          <w:tcPr>
            <w:tcW w:w="935" w:type="dxa"/>
            <w:shd w:val="clear" w:color="auto" w:fill="FFFFFF" w:themeFill="background1"/>
            <w:tcMar>
              <w:top w:w="15" w:type="dxa"/>
              <w:left w:w="15" w:type="dxa"/>
              <w:right w:w="15" w:type="dxa"/>
            </w:tcMar>
            <w:vAlign w:val="bottom"/>
          </w:tcPr>
          <w:p w14:paraId="76E6E84C" w14:textId="77777777" w:rsidR="006714FF" w:rsidRDefault="006714FF" w:rsidP="00B77C41">
            <w:pPr>
              <w:spacing w:after="0"/>
              <w:jc w:val="right"/>
              <w:rPr>
                <w:rFonts w:ascii="Times New Roman" w:hAnsi="Times New Roman"/>
                <w:sz w:val="22"/>
                <w:szCs w:val="22"/>
              </w:rPr>
            </w:pPr>
            <w:r w:rsidRPr="57EE44F5">
              <w:rPr>
                <w:rFonts w:ascii="Times New Roman" w:hAnsi="Times New Roman"/>
                <w:b/>
                <w:bCs/>
                <w:sz w:val="22"/>
                <w:szCs w:val="22"/>
              </w:rPr>
              <w:t>N/A</w:t>
            </w:r>
          </w:p>
        </w:tc>
        <w:tc>
          <w:tcPr>
            <w:tcW w:w="775" w:type="dxa"/>
            <w:shd w:val="clear" w:color="auto" w:fill="FFFFFF" w:themeFill="background1"/>
            <w:tcMar>
              <w:top w:w="15" w:type="dxa"/>
              <w:left w:w="15" w:type="dxa"/>
              <w:right w:w="15" w:type="dxa"/>
            </w:tcMar>
            <w:vAlign w:val="bottom"/>
          </w:tcPr>
          <w:p w14:paraId="136AA958" w14:textId="77777777" w:rsidR="006714FF" w:rsidRDefault="006714FF" w:rsidP="00B77C41">
            <w:pPr>
              <w:spacing w:after="0"/>
              <w:jc w:val="right"/>
              <w:rPr>
                <w:rFonts w:ascii="Times New Roman" w:hAnsi="Times New Roman"/>
                <w:sz w:val="22"/>
                <w:szCs w:val="22"/>
              </w:rPr>
            </w:pPr>
            <w:r w:rsidRPr="57EE44F5">
              <w:rPr>
                <w:rFonts w:ascii="Times New Roman" w:hAnsi="Times New Roman"/>
                <w:b/>
                <w:bCs/>
                <w:sz w:val="22"/>
                <w:szCs w:val="22"/>
              </w:rPr>
              <w:t>N/A</w:t>
            </w:r>
          </w:p>
        </w:tc>
      </w:tr>
      <w:tr w:rsidR="006714FF" w14:paraId="21C692DA" w14:textId="77777777" w:rsidTr="00B77C41">
        <w:trPr>
          <w:trHeight w:val="285"/>
        </w:trPr>
        <w:tc>
          <w:tcPr>
            <w:tcW w:w="1077" w:type="dxa"/>
            <w:vAlign w:val="center"/>
          </w:tcPr>
          <w:p w14:paraId="5E901C89" w14:textId="77777777" w:rsidR="006714FF" w:rsidRPr="00FC0C36" w:rsidRDefault="006714FF" w:rsidP="00B77C41">
            <w:pPr>
              <w:spacing w:after="0" w:line="278" w:lineRule="auto"/>
              <w:jc w:val="center"/>
              <w:rPr>
                <w:b/>
                <w:bCs/>
              </w:rPr>
            </w:pPr>
            <w:r w:rsidRPr="00FC0C36">
              <w:rPr>
                <w:rFonts w:ascii="Times New Roman" w:hAnsi="Times New Roman"/>
                <w:b/>
                <w:bCs/>
                <w:sz w:val="22"/>
                <w:szCs w:val="22"/>
              </w:rPr>
              <w:t>GO=9</w:t>
            </w:r>
          </w:p>
        </w:tc>
        <w:tc>
          <w:tcPr>
            <w:tcW w:w="1077" w:type="dxa"/>
            <w:vMerge/>
            <w:vAlign w:val="center"/>
          </w:tcPr>
          <w:p w14:paraId="59A393E7" w14:textId="77777777" w:rsidR="006714FF" w:rsidRDefault="006714FF" w:rsidP="00B77C41"/>
        </w:tc>
        <w:tc>
          <w:tcPr>
            <w:tcW w:w="1041" w:type="dxa"/>
            <w:vMerge/>
            <w:tcMar>
              <w:top w:w="15" w:type="dxa"/>
              <w:left w:w="15" w:type="dxa"/>
              <w:right w:w="15" w:type="dxa"/>
            </w:tcMar>
            <w:vAlign w:val="center"/>
          </w:tcPr>
          <w:p w14:paraId="736DE07A" w14:textId="77777777" w:rsidR="006714FF" w:rsidRDefault="006714FF" w:rsidP="00B77C41"/>
        </w:tc>
        <w:tc>
          <w:tcPr>
            <w:tcW w:w="877" w:type="dxa"/>
            <w:shd w:val="clear" w:color="auto" w:fill="FFFFFF" w:themeFill="background1"/>
            <w:tcMar>
              <w:top w:w="15" w:type="dxa"/>
              <w:left w:w="15" w:type="dxa"/>
              <w:right w:w="15" w:type="dxa"/>
            </w:tcMar>
            <w:vAlign w:val="center"/>
          </w:tcPr>
          <w:p w14:paraId="5949A72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808" w:type="dxa"/>
            <w:shd w:val="clear" w:color="auto" w:fill="D0D0D0"/>
            <w:tcMar>
              <w:top w:w="15" w:type="dxa"/>
              <w:left w:w="15" w:type="dxa"/>
              <w:right w:w="15" w:type="dxa"/>
            </w:tcMar>
            <w:vAlign w:val="bottom"/>
          </w:tcPr>
          <w:p w14:paraId="799F30C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6B1E39E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w:t>
            </w:r>
          </w:p>
        </w:tc>
        <w:tc>
          <w:tcPr>
            <w:tcW w:w="810" w:type="dxa"/>
            <w:shd w:val="clear" w:color="auto" w:fill="FFFFFF" w:themeFill="background1"/>
            <w:tcMar>
              <w:top w:w="15" w:type="dxa"/>
              <w:left w:w="15" w:type="dxa"/>
              <w:right w:w="15" w:type="dxa"/>
            </w:tcMar>
            <w:vAlign w:val="bottom"/>
          </w:tcPr>
          <w:p w14:paraId="01A0FC7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0.04</w:t>
            </w:r>
          </w:p>
        </w:tc>
        <w:tc>
          <w:tcPr>
            <w:tcW w:w="935" w:type="dxa"/>
            <w:shd w:val="clear" w:color="auto" w:fill="FFFFFF" w:themeFill="background1"/>
            <w:tcMar>
              <w:top w:w="15" w:type="dxa"/>
              <w:left w:w="15" w:type="dxa"/>
              <w:right w:w="15" w:type="dxa"/>
            </w:tcMar>
            <w:vAlign w:val="bottom"/>
          </w:tcPr>
          <w:p w14:paraId="1801F9B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1ED663F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r>
    </w:tbl>
    <w:p w14:paraId="59FC7E49" w14:textId="77777777" w:rsidR="006714FF" w:rsidRDefault="006714FF" w:rsidP="006714FF">
      <w:pPr>
        <w:spacing w:after="0"/>
        <w:rPr>
          <w:rFonts w:ascii="Times New Roman" w:hAnsi="Times New Roman"/>
          <w:sz w:val="20"/>
        </w:rPr>
      </w:pPr>
    </w:p>
    <w:p w14:paraId="4685AAD8" w14:textId="77777777" w:rsidR="006714FF" w:rsidRDefault="006714FF" w:rsidP="006714FF">
      <w:pPr>
        <w:spacing w:after="0"/>
        <w:rPr>
          <w:rFonts w:ascii="Times New Roman" w:hAnsi="Times New Roman"/>
          <w:sz w:val="20"/>
        </w:rPr>
      </w:pPr>
    </w:p>
    <w:p w14:paraId="10F80D6B" w14:textId="77777777" w:rsidR="006714FF" w:rsidRDefault="006714FF" w:rsidP="006714FF">
      <w:pPr>
        <w:spacing w:after="0"/>
        <w:rPr>
          <w:rFonts w:ascii="Times New Roman" w:hAnsi="Times New Roman"/>
          <w:sz w:val="20"/>
        </w:rPr>
      </w:pPr>
    </w:p>
    <w:p w14:paraId="17277965" w14:textId="77777777" w:rsidR="006714FF" w:rsidRDefault="006714FF" w:rsidP="006714FF">
      <w:pPr>
        <w:spacing w:after="0"/>
        <w:rPr>
          <w:rFonts w:ascii="Times New Roman" w:hAnsi="Times New Roman"/>
          <w:sz w:val="20"/>
        </w:rPr>
      </w:pPr>
    </w:p>
    <w:p w14:paraId="6068E205" w14:textId="77777777" w:rsidR="006714FF" w:rsidRDefault="006714FF" w:rsidP="006714FF">
      <w:pPr>
        <w:spacing w:after="0"/>
        <w:rPr>
          <w:rFonts w:ascii="Times New Roman" w:hAnsi="Times New Roman"/>
          <w:sz w:val="20"/>
        </w:rPr>
      </w:pPr>
    </w:p>
    <w:p w14:paraId="32B3BADA" w14:textId="77777777" w:rsidR="006714FF" w:rsidRDefault="006714FF" w:rsidP="006714FF">
      <w:pPr>
        <w:spacing w:after="0"/>
        <w:rPr>
          <w:rFonts w:ascii="Times New Roman" w:hAnsi="Times New Roman"/>
          <w:sz w:val="20"/>
        </w:rPr>
      </w:pPr>
    </w:p>
    <w:p w14:paraId="3413F94A" w14:textId="77777777" w:rsidR="006714FF" w:rsidRDefault="006714FF" w:rsidP="006714FF">
      <w:pPr>
        <w:spacing w:after="0"/>
        <w:rPr>
          <w:rFonts w:ascii="Times New Roman" w:hAnsi="Times New Roman"/>
          <w:sz w:val="20"/>
        </w:rPr>
      </w:pPr>
    </w:p>
    <w:p w14:paraId="7D4F5948" w14:textId="77777777" w:rsidR="006714FF" w:rsidRDefault="006714FF" w:rsidP="006714FF">
      <w:pPr>
        <w:spacing w:after="0"/>
        <w:rPr>
          <w:rFonts w:ascii="Times New Roman" w:hAnsi="Times New Roman"/>
          <w:sz w:val="20"/>
        </w:rPr>
      </w:pPr>
    </w:p>
    <w:p w14:paraId="68211158" w14:textId="77777777" w:rsidR="006714FF" w:rsidRDefault="006714FF" w:rsidP="006714FF">
      <w:pPr>
        <w:spacing w:after="0"/>
        <w:rPr>
          <w:rFonts w:ascii="Times New Roman" w:hAnsi="Times New Roman"/>
          <w:sz w:val="20"/>
        </w:rPr>
      </w:pPr>
    </w:p>
    <w:p w14:paraId="57A35647" w14:textId="77777777" w:rsidR="006714FF" w:rsidRDefault="006714FF" w:rsidP="006714FF">
      <w:pPr>
        <w:spacing w:after="0"/>
        <w:rPr>
          <w:rFonts w:ascii="Times New Roman" w:hAnsi="Times New Roman"/>
          <w:sz w:val="20"/>
        </w:rPr>
      </w:pPr>
    </w:p>
    <w:p w14:paraId="3031BE8E" w14:textId="77777777" w:rsidR="006714FF" w:rsidRDefault="006714FF" w:rsidP="006714FF">
      <w:pPr>
        <w:spacing w:after="0"/>
        <w:rPr>
          <w:rFonts w:ascii="Times New Roman" w:hAnsi="Times New Roman"/>
          <w:sz w:val="20"/>
        </w:rPr>
      </w:pPr>
    </w:p>
    <w:p w14:paraId="7F68227A" w14:textId="77777777" w:rsidR="006714FF" w:rsidRDefault="006714FF" w:rsidP="006714FF">
      <w:pPr>
        <w:spacing w:after="0"/>
        <w:rPr>
          <w:rFonts w:ascii="Times New Roman" w:hAnsi="Times New Roman"/>
          <w:sz w:val="20"/>
        </w:rPr>
      </w:pPr>
    </w:p>
    <w:p w14:paraId="58FF9ACE" w14:textId="77777777" w:rsidR="006714FF" w:rsidRDefault="006714FF" w:rsidP="006714FF">
      <w:pPr>
        <w:spacing w:after="0"/>
        <w:rPr>
          <w:rFonts w:ascii="Times New Roman" w:hAnsi="Times New Roman"/>
          <w:sz w:val="20"/>
        </w:rPr>
      </w:pPr>
    </w:p>
    <w:p w14:paraId="60E2ADAC" w14:textId="77777777" w:rsidR="006714FF" w:rsidRDefault="006714FF" w:rsidP="006714FF">
      <w:pPr>
        <w:spacing w:after="0"/>
        <w:rPr>
          <w:rFonts w:ascii="Times New Roman" w:hAnsi="Times New Roman"/>
          <w:sz w:val="20"/>
        </w:rPr>
      </w:pPr>
    </w:p>
    <w:p w14:paraId="732D7B58" w14:textId="77777777" w:rsidR="006714FF" w:rsidRDefault="006714FF" w:rsidP="006714FF">
      <w:pPr>
        <w:pStyle w:val="VDTableTitle"/>
      </w:pPr>
    </w:p>
    <w:p w14:paraId="32E1D355" w14:textId="77777777" w:rsidR="006714FF" w:rsidRPr="00FC0C36" w:rsidRDefault="006714FF" w:rsidP="006714FF">
      <w:pPr>
        <w:pStyle w:val="VDTableTitle"/>
        <w:rPr>
          <w:color w:val="000000" w:themeColor="text1"/>
        </w:rPr>
      </w:pPr>
      <w:r w:rsidRPr="009E43C8">
        <w:rPr>
          <w:b/>
          <w:bCs/>
        </w:rPr>
        <w:lastRenderedPageBreak/>
        <w:t>Table S4.</w:t>
      </w:r>
      <w:r w:rsidRPr="57EE44F5">
        <w:t xml:space="preserve"> </w:t>
      </w:r>
      <w:r>
        <w:t>Log-</w:t>
      </w:r>
      <w:r w:rsidRPr="57EE44F5">
        <w:t>toluene global offset parameters. Bolded global offset scenarios were used during method evaluation and determined using 3-degree RCV sensitivity analyses.</w:t>
      </w:r>
    </w:p>
    <w:tbl>
      <w:tblPr>
        <w:tblW w:w="830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077"/>
        <w:gridCol w:w="1077"/>
        <w:gridCol w:w="1041"/>
        <w:gridCol w:w="877"/>
        <w:gridCol w:w="808"/>
        <w:gridCol w:w="904"/>
        <w:gridCol w:w="810"/>
        <w:gridCol w:w="935"/>
        <w:gridCol w:w="775"/>
      </w:tblGrid>
      <w:tr w:rsidR="006714FF" w14:paraId="03BE1653" w14:textId="77777777" w:rsidTr="00B77C41">
        <w:trPr>
          <w:trHeight w:val="300"/>
        </w:trPr>
        <w:tc>
          <w:tcPr>
            <w:tcW w:w="1077" w:type="dxa"/>
            <w:vMerge w:val="restart"/>
            <w:shd w:val="clear" w:color="auto" w:fill="FFFFFF" w:themeFill="background1"/>
            <w:vAlign w:val="bottom"/>
          </w:tcPr>
          <w:p w14:paraId="1C75412B" w14:textId="77777777" w:rsidR="006714FF" w:rsidRPr="57EE44F5"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Global Offset </w:t>
            </w:r>
            <w:r>
              <w:rPr>
                <w:rFonts w:ascii="Times New Roman" w:hAnsi="Times New Roman"/>
                <w:sz w:val="22"/>
                <w:szCs w:val="22"/>
              </w:rPr>
              <w:t>Name</w:t>
            </w:r>
          </w:p>
        </w:tc>
        <w:tc>
          <w:tcPr>
            <w:tcW w:w="1077" w:type="dxa"/>
            <w:vMerge w:val="restart"/>
            <w:shd w:val="clear" w:color="auto" w:fill="FFFFFF" w:themeFill="background1"/>
            <w:tcMar>
              <w:top w:w="15" w:type="dxa"/>
              <w:left w:w="15" w:type="dxa"/>
              <w:right w:w="15" w:type="dxa"/>
            </w:tcMar>
            <w:vAlign w:val="bottom"/>
          </w:tcPr>
          <w:p w14:paraId="5951C79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41" w:type="dxa"/>
            <w:vMerge w:val="restart"/>
            <w:shd w:val="clear" w:color="auto" w:fill="FFFFFF" w:themeFill="background1"/>
            <w:tcMar>
              <w:top w:w="15" w:type="dxa"/>
              <w:left w:w="15" w:type="dxa"/>
              <w:right w:w="15" w:type="dxa"/>
            </w:tcMar>
            <w:vAlign w:val="bottom"/>
          </w:tcPr>
          <w:p w14:paraId="3161E150" w14:textId="77777777" w:rsidR="006714FF" w:rsidRDefault="006714FF" w:rsidP="00B77C41">
            <w:pPr>
              <w:spacing w:after="0" w:line="278" w:lineRule="auto"/>
              <w:jc w:val="center"/>
              <w:rPr>
                <w:rFonts w:ascii="Times New Roman" w:hAnsi="Times New Roman"/>
                <w:sz w:val="22"/>
                <w:szCs w:val="22"/>
              </w:rPr>
            </w:pPr>
            <w:r w:rsidRPr="57EE44F5">
              <w:rPr>
                <w:rFonts w:ascii="Times New Roman" w:hAnsi="Times New Roman"/>
                <w:sz w:val="22"/>
                <w:szCs w:val="22"/>
              </w:rPr>
              <w:t>Global Offset Resolution</w:t>
            </w:r>
          </w:p>
        </w:tc>
        <w:tc>
          <w:tcPr>
            <w:tcW w:w="877" w:type="dxa"/>
            <w:vMerge w:val="restart"/>
            <w:shd w:val="clear" w:color="auto" w:fill="FFFFFF" w:themeFill="background1"/>
            <w:tcMar>
              <w:top w:w="15" w:type="dxa"/>
              <w:left w:w="15" w:type="dxa"/>
              <w:right w:w="15" w:type="dxa"/>
            </w:tcMar>
            <w:vAlign w:val="bottom"/>
          </w:tcPr>
          <w:p w14:paraId="130D9986"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712" w:type="dxa"/>
            <w:gridSpan w:val="2"/>
            <w:shd w:val="clear" w:color="auto" w:fill="FFFFFF" w:themeFill="background1"/>
            <w:vAlign w:val="center"/>
          </w:tcPr>
          <w:p w14:paraId="0BC76CE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Kernel Smoothing Parameters</w:t>
            </w:r>
          </w:p>
        </w:tc>
        <w:tc>
          <w:tcPr>
            <w:tcW w:w="2520" w:type="dxa"/>
            <w:gridSpan w:val="3"/>
            <w:shd w:val="clear" w:color="auto" w:fill="FFFFFF" w:themeFill="background1"/>
            <w:tcMar>
              <w:top w:w="15" w:type="dxa"/>
              <w:left w:w="15" w:type="dxa"/>
              <w:right w:w="15" w:type="dxa"/>
            </w:tcMar>
            <w:vAlign w:val="center"/>
          </w:tcPr>
          <w:p w14:paraId="7CA93E0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SEDC LUR Parameters (</w:t>
            </w:r>
            <w:r w:rsidRPr="009A30AA">
              <w:rPr>
                <w:sz w:val="22"/>
                <w:szCs w:val="22"/>
              </w:rPr>
              <w:sym w:font="Symbol" w:char="F064"/>
            </w:r>
            <w:r w:rsidRPr="57EE44F5">
              <w:rPr>
                <w:rFonts w:ascii="Times New Roman" w:hAnsi="Times New Roman"/>
                <w:sz w:val="22"/>
                <w:szCs w:val="22"/>
              </w:rPr>
              <w:t>)</w:t>
            </w:r>
          </w:p>
        </w:tc>
      </w:tr>
      <w:tr w:rsidR="006714FF" w14:paraId="10C87B96" w14:textId="77777777" w:rsidTr="00B77C41">
        <w:trPr>
          <w:trHeight w:val="300"/>
        </w:trPr>
        <w:tc>
          <w:tcPr>
            <w:tcW w:w="1077" w:type="dxa"/>
            <w:vMerge/>
            <w:vAlign w:val="center"/>
          </w:tcPr>
          <w:p w14:paraId="2E6B180A" w14:textId="77777777" w:rsidR="006714FF" w:rsidRDefault="006714FF" w:rsidP="00B77C41"/>
        </w:tc>
        <w:tc>
          <w:tcPr>
            <w:tcW w:w="1077" w:type="dxa"/>
            <w:vMerge/>
            <w:vAlign w:val="center"/>
          </w:tcPr>
          <w:p w14:paraId="5D85FFB6" w14:textId="77777777" w:rsidR="006714FF" w:rsidRDefault="006714FF" w:rsidP="00B77C41"/>
        </w:tc>
        <w:tc>
          <w:tcPr>
            <w:tcW w:w="1041" w:type="dxa"/>
            <w:vMerge/>
          </w:tcPr>
          <w:p w14:paraId="78AFDF47" w14:textId="77777777" w:rsidR="006714FF" w:rsidRDefault="006714FF" w:rsidP="00B77C41"/>
        </w:tc>
        <w:tc>
          <w:tcPr>
            <w:tcW w:w="877" w:type="dxa"/>
            <w:vMerge/>
            <w:vAlign w:val="center"/>
          </w:tcPr>
          <w:p w14:paraId="0E1591CB" w14:textId="77777777" w:rsidR="006714FF" w:rsidRDefault="006714FF" w:rsidP="00B77C41"/>
        </w:tc>
        <w:tc>
          <w:tcPr>
            <w:tcW w:w="808" w:type="dxa"/>
            <w:shd w:val="clear" w:color="auto" w:fill="FFFFFF" w:themeFill="background1"/>
            <w:tcMar>
              <w:top w:w="15" w:type="dxa"/>
              <w:left w:w="15" w:type="dxa"/>
              <w:right w:w="15" w:type="dxa"/>
            </w:tcMar>
            <w:vAlign w:val="bottom"/>
          </w:tcPr>
          <w:p w14:paraId="6C86DAE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Range (deg.)</w:t>
            </w:r>
          </w:p>
        </w:tc>
        <w:tc>
          <w:tcPr>
            <w:tcW w:w="904" w:type="dxa"/>
            <w:shd w:val="clear" w:color="auto" w:fill="FFFFFF" w:themeFill="background1"/>
            <w:tcMar>
              <w:top w:w="15" w:type="dxa"/>
              <w:left w:w="15" w:type="dxa"/>
              <w:right w:w="15" w:type="dxa"/>
            </w:tcMar>
            <w:vAlign w:val="bottom"/>
          </w:tcPr>
          <w:p w14:paraId="0C88DF0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Temporal Range (day)</w:t>
            </w:r>
          </w:p>
        </w:tc>
        <w:tc>
          <w:tcPr>
            <w:tcW w:w="810" w:type="dxa"/>
            <w:shd w:val="clear" w:color="auto" w:fill="FFFFFF" w:themeFill="background1"/>
            <w:tcMar>
              <w:top w:w="15" w:type="dxa"/>
              <w:left w:w="15" w:type="dxa"/>
              <w:right w:w="15" w:type="dxa"/>
            </w:tcMar>
            <w:vAlign w:val="bottom"/>
          </w:tcPr>
          <w:p w14:paraId="79E10D5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Point (deg.)</w:t>
            </w:r>
          </w:p>
        </w:tc>
        <w:tc>
          <w:tcPr>
            <w:tcW w:w="935" w:type="dxa"/>
            <w:shd w:val="clear" w:color="auto" w:fill="FFFFFF" w:themeFill="background1"/>
            <w:tcMar>
              <w:top w:w="15" w:type="dxa"/>
              <w:left w:w="15" w:type="dxa"/>
              <w:right w:w="15" w:type="dxa"/>
            </w:tcMar>
            <w:vAlign w:val="bottom"/>
          </w:tcPr>
          <w:p w14:paraId="49C9E83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Nonpoint (deg.)</w:t>
            </w:r>
          </w:p>
        </w:tc>
        <w:tc>
          <w:tcPr>
            <w:tcW w:w="775" w:type="dxa"/>
            <w:shd w:val="clear" w:color="auto" w:fill="FFFFFF" w:themeFill="background1"/>
            <w:tcMar>
              <w:top w:w="15" w:type="dxa"/>
              <w:left w:w="15" w:type="dxa"/>
              <w:right w:w="15" w:type="dxa"/>
            </w:tcMar>
            <w:vAlign w:val="bottom"/>
          </w:tcPr>
          <w:p w14:paraId="61DDB07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On road (deg.)</w:t>
            </w:r>
          </w:p>
        </w:tc>
      </w:tr>
      <w:tr w:rsidR="006714FF" w14:paraId="3B7DEFB8" w14:textId="77777777" w:rsidTr="00B77C41">
        <w:trPr>
          <w:trHeight w:val="285"/>
        </w:trPr>
        <w:tc>
          <w:tcPr>
            <w:tcW w:w="1077" w:type="dxa"/>
            <w:shd w:val="clear" w:color="auto" w:fill="FFFFFF" w:themeFill="background1"/>
            <w:vAlign w:val="center"/>
          </w:tcPr>
          <w:p w14:paraId="7639EA9A"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0</w:t>
            </w:r>
          </w:p>
        </w:tc>
        <w:tc>
          <w:tcPr>
            <w:tcW w:w="1077" w:type="dxa"/>
            <w:shd w:val="clear" w:color="auto" w:fill="FFFFFF" w:themeFill="background1"/>
            <w:tcMar>
              <w:top w:w="15" w:type="dxa"/>
              <w:left w:w="15" w:type="dxa"/>
              <w:right w:w="15" w:type="dxa"/>
            </w:tcMar>
            <w:vAlign w:val="center"/>
          </w:tcPr>
          <w:p w14:paraId="26EA103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41" w:type="dxa"/>
            <w:shd w:val="clear" w:color="auto" w:fill="D0D0D0"/>
            <w:tcMar>
              <w:top w:w="15" w:type="dxa"/>
              <w:left w:w="15" w:type="dxa"/>
              <w:right w:w="15" w:type="dxa"/>
            </w:tcMar>
            <w:vAlign w:val="center"/>
          </w:tcPr>
          <w:p w14:paraId="7C7D6BB1" w14:textId="77777777" w:rsidR="006714FF" w:rsidRDefault="006714FF" w:rsidP="00B77C41">
            <w:pPr>
              <w:jc w:val="center"/>
              <w:rPr>
                <w:rFonts w:ascii="Times New Roman" w:hAnsi="Times New Roman"/>
                <w:sz w:val="22"/>
                <w:szCs w:val="22"/>
              </w:rPr>
            </w:pPr>
          </w:p>
        </w:tc>
        <w:tc>
          <w:tcPr>
            <w:tcW w:w="877" w:type="dxa"/>
            <w:shd w:val="clear" w:color="auto" w:fill="D0D0D0"/>
            <w:tcMar>
              <w:top w:w="15" w:type="dxa"/>
              <w:left w:w="15" w:type="dxa"/>
              <w:right w:w="15" w:type="dxa"/>
            </w:tcMar>
            <w:vAlign w:val="center"/>
          </w:tcPr>
          <w:p w14:paraId="7299515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808" w:type="dxa"/>
            <w:shd w:val="clear" w:color="auto" w:fill="D0D0D0"/>
            <w:tcMar>
              <w:top w:w="15" w:type="dxa"/>
              <w:left w:w="15" w:type="dxa"/>
              <w:right w:w="15" w:type="dxa"/>
            </w:tcMar>
            <w:vAlign w:val="bottom"/>
          </w:tcPr>
          <w:p w14:paraId="7ED29A7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D0D0D0"/>
            <w:tcMar>
              <w:top w:w="15" w:type="dxa"/>
              <w:left w:w="15" w:type="dxa"/>
              <w:right w:w="15" w:type="dxa"/>
            </w:tcMar>
            <w:vAlign w:val="bottom"/>
          </w:tcPr>
          <w:p w14:paraId="707CF76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810" w:type="dxa"/>
            <w:shd w:val="clear" w:color="auto" w:fill="D0D0D0"/>
            <w:tcMar>
              <w:top w:w="15" w:type="dxa"/>
              <w:left w:w="15" w:type="dxa"/>
              <w:right w:w="15" w:type="dxa"/>
            </w:tcMar>
            <w:vAlign w:val="bottom"/>
          </w:tcPr>
          <w:p w14:paraId="052B6C4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6DE6AFF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45FAA44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2CA0813A" w14:textId="77777777" w:rsidTr="00B77C41">
        <w:trPr>
          <w:trHeight w:val="285"/>
        </w:trPr>
        <w:tc>
          <w:tcPr>
            <w:tcW w:w="1077" w:type="dxa"/>
            <w:shd w:val="clear" w:color="auto" w:fill="FFFFFF" w:themeFill="background1"/>
            <w:vAlign w:val="center"/>
          </w:tcPr>
          <w:p w14:paraId="69624633" w14:textId="77777777" w:rsidR="006714FF"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1</w:t>
            </w:r>
          </w:p>
        </w:tc>
        <w:tc>
          <w:tcPr>
            <w:tcW w:w="1077" w:type="dxa"/>
            <w:shd w:val="clear" w:color="auto" w:fill="FFFFFF" w:themeFill="background1"/>
            <w:tcMar>
              <w:top w:w="15" w:type="dxa"/>
              <w:left w:w="15" w:type="dxa"/>
              <w:right w:w="15" w:type="dxa"/>
            </w:tcMar>
            <w:vAlign w:val="center"/>
          </w:tcPr>
          <w:p w14:paraId="7A2C02FE" w14:textId="77777777" w:rsidR="006714FF" w:rsidRDefault="006714FF" w:rsidP="00B77C41">
            <w:pPr>
              <w:spacing w:after="0"/>
              <w:jc w:val="center"/>
              <w:rPr>
                <w:rFonts w:ascii="Times New Roman" w:hAnsi="Times New Roman"/>
                <w:b/>
                <w:bCs/>
                <w:sz w:val="22"/>
                <w:szCs w:val="22"/>
              </w:rPr>
            </w:pPr>
            <w:r>
              <w:rPr>
                <w:rFonts w:ascii="Times New Roman" w:hAnsi="Times New Roman"/>
                <w:b/>
                <w:bCs/>
                <w:sz w:val="22"/>
                <w:szCs w:val="22"/>
              </w:rPr>
              <w:t>Constant</w:t>
            </w:r>
          </w:p>
        </w:tc>
        <w:tc>
          <w:tcPr>
            <w:tcW w:w="1041" w:type="dxa"/>
            <w:shd w:val="clear" w:color="auto" w:fill="FFFFFF" w:themeFill="background1"/>
            <w:tcMar>
              <w:top w:w="15" w:type="dxa"/>
              <w:left w:w="15" w:type="dxa"/>
              <w:right w:w="15" w:type="dxa"/>
            </w:tcMar>
            <w:vAlign w:val="bottom"/>
          </w:tcPr>
          <w:p w14:paraId="057BBCC5" w14:textId="77777777" w:rsidR="006714FF" w:rsidRPr="007A3E31" w:rsidRDefault="006714FF" w:rsidP="00B77C41">
            <w:pPr>
              <w:spacing w:after="0"/>
              <w:jc w:val="center"/>
              <w:rPr>
                <w:rFonts w:ascii="Times New Roman" w:hAnsi="Times New Roman"/>
                <w:b/>
                <w:bCs/>
                <w:sz w:val="22"/>
                <w:szCs w:val="22"/>
              </w:rPr>
            </w:pPr>
            <w:r>
              <w:rPr>
                <w:rFonts w:ascii="Times New Roman" w:hAnsi="Times New Roman"/>
                <w:b/>
                <w:bCs/>
                <w:sz w:val="22"/>
                <w:szCs w:val="22"/>
              </w:rPr>
              <w:t>Flat</w:t>
            </w:r>
          </w:p>
        </w:tc>
        <w:tc>
          <w:tcPr>
            <w:tcW w:w="877" w:type="dxa"/>
            <w:shd w:val="clear" w:color="auto" w:fill="D0D0D0"/>
            <w:tcMar>
              <w:top w:w="15" w:type="dxa"/>
              <w:left w:w="15" w:type="dxa"/>
              <w:right w:w="15" w:type="dxa"/>
            </w:tcMar>
            <w:vAlign w:val="center"/>
          </w:tcPr>
          <w:p w14:paraId="770573A8"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 xml:space="preserve"> </w:t>
            </w:r>
          </w:p>
        </w:tc>
        <w:tc>
          <w:tcPr>
            <w:tcW w:w="808" w:type="dxa"/>
            <w:shd w:val="clear" w:color="auto" w:fill="FFFFFF" w:themeFill="background1"/>
            <w:tcMar>
              <w:top w:w="15" w:type="dxa"/>
              <w:left w:w="15" w:type="dxa"/>
              <w:right w:w="15" w:type="dxa"/>
            </w:tcMar>
            <w:vAlign w:val="bottom"/>
          </w:tcPr>
          <w:p w14:paraId="2732E6A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904" w:type="dxa"/>
            <w:shd w:val="clear" w:color="auto" w:fill="FFFFFF" w:themeFill="background1"/>
            <w:tcMar>
              <w:top w:w="15" w:type="dxa"/>
              <w:left w:w="15" w:type="dxa"/>
              <w:right w:w="15" w:type="dxa"/>
            </w:tcMar>
            <w:vAlign w:val="bottom"/>
          </w:tcPr>
          <w:p w14:paraId="66C82B0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810" w:type="dxa"/>
            <w:shd w:val="clear" w:color="auto" w:fill="D0D0D0"/>
            <w:tcMar>
              <w:top w:w="15" w:type="dxa"/>
              <w:left w:w="15" w:type="dxa"/>
              <w:right w:w="15" w:type="dxa"/>
            </w:tcMar>
            <w:vAlign w:val="bottom"/>
          </w:tcPr>
          <w:p w14:paraId="28277D8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0E06FFD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3D92324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48292ADB" w14:textId="77777777" w:rsidTr="00B77C41">
        <w:trPr>
          <w:trHeight w:val="1155"/>
        </w:trPr>
        <w:tc>
          <w:tcPr>
            <w:tcW w:w="1077" w:type="dxa"/>
            <w:shd w:val="clear" w:color="auto" w:fill="FFFFFF" w:themeFill="background1"/>
            <w:vAlign w:val="center"/>
          </w:tcPr>
          <w:p w14:paraId="248A4BF7" w14:textId="77777777" w:rsidR="006714FF" w:rsidRPr="57EE44F5"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2</w:t>
            </w:r>
          </w:p>
        </w:tc>
        <w:tc>
          <w:tcPr>
            <w:tcW w:w="1077" w:type="dxa"/>
            <w:vMerge w:val="restart"/>
            <w:shd w:val="clear" w:color="auto" w:fill="FFFFFF" w:themeFill="background1"/>
            <w:tcMar>
              <w:top w:w="15" w:type="dxa"/>
              <w:left w:w="15" w:type="dxa"/>
              <w:right w:w="15" w:type="dxa"/>
            </w:tcMar>
            <w:vAlign w:val="center"/>
          </w:tcPr>
          <w:p w14:paraId="6890F78E"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&amp; Temporal Kernel Smoothing</w:t>
            </w:r>
          </w:p>
        </w:tc>
        <w:tc>
          <w:tcPr>
            <w:tcW w:w="1041" w:type="dxa"/>
            <w:vMerge w:val="restart"/>
            <w:shd w:val="clear" w:color="auto" w:fill="FFFFFF" w:themeFill="background1"/>
            <w:tcMar>
              <w:top w:w="15" w:type="dxa"/>
              <w:left w:w="15" w:type="dxa"/>
              <w:right w:w="15" w:type="dxa"/>
            </w:tcMar>
            <w:vAlign w:val="center"/>
          </w:tcPr>
          <w:p w14:paraId="1C75DE9A" w14:textId="77777777" w:rsidR="006714FF" w:rsidRDefault="006714FF" w:rsidP="00B77C41">
            <w:pPr>
              <w:jc w:val="center"/>
              <w:rPr>
                <w:rFonts w:ascii="Times New Roman" w:hAnsi="Times New Roman"/>
                <w:b/>
                <w:bCs/>
                <w:sz w:val="22"/>
                <w:szCs w:val="22"/>
              </w:rPr>
            </w:pPr>
            <w:r w:rsidRPr="57EE44F5">
              <w:rPr>
                <w:rFonts w:ascii="Times New Roman" w:hAnsi="Times New Roman"/>
                <w:b/>
                <w:bCs/>
                <w:sz w:val="22"/>
                <w:szCs w:val="22"/>
              </w:rPr>
              <w:t>Medium</w:t>
            </w:r>
          </w:p>
        </w:tc>
        <w:tc>
          <w:tcPr>
            <w:tcW w:w="877" w:type="dxa"/>
            <w:shd w:val="clear" w:color="auto" w:fill="FFFFFF" w:themeFill="background1"/>
            <w:tcMar>
              <w:top w:w="15" w:type="dxa"/>
              <w:left w:w="15" w:type="dxa"/>
              <w:right w:w="15" w:type="dxa"/>
            </w:tcMar>
            <w:vAlign w:val="center"/>
          </w:tcPr>
          <w:p w14:paraId="70E96F84"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808" w:type="dxa"/>
            <w:shd w:val="clear" w:color="auto" w:fill="FFFFFF" w:themeFill="background1"/>
            <w:tcMar>
              <w:top w:w="15" w:type="dxa"/>
              <w:left w:w="15" w:type="dxa"/>
              <w:right w:w="15" w:type="dxa"/>
            </w:tcMar>
            <w:vAlign w:val="bottom"/>
          </w:tcPr>
          <w:p w14:paraId="46681649"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7.5</w:t>
            </w:r>
          </w:p>
        </w:tc>
        <w:tc>
          <w:tcPr>
            <w:tcW w:w="904" w:type="dxa"/>
            <w:shd w:val="clear" w:color="auto" w:fill="FFFFFF" w:themeFill="background1"/>
            <w:tcMar>
              <w:top w:w="15" w:type="dxa"/>
              <w:left w:w="15" w:type="dxa"/>
              <w:right w:w="15" w:type="dxa"/>
            </w:tcMar>
            <w:vAlign w:val="bottom"/>
          </w:tcPr>
          <w:p w14:paraId="222BC7C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730</w:t>
            </w:r>
          </w:p>
        </w:tc>
        <w:tc>
          <w:tcPr>
            <w:tcW w:w="810" w:type="dxa"/>
            <w:shd w:val="clear" w:color="auto" w:fill="D0D0D0"/>
            <w:tcMar>
              <w:top w:w="15" w:type="dxa"/>
              <w:left w:w="15" w:type="dxa"/>
              <w:right w:w="15" w:type="dxa"/>
            </w:tcMar>
            <w:vAlign w:val="bottom"/>
          </w:tcPr>
          <w:p w14:paraId="049B442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539179F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0F0183C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66D28A9B" w14:textId="77777777" w:rsidTr="00B77C41">
        <w:trPr>
          <w:trHeight w:val="285"/>
        </w:trPr>
        <w:tc>
          <w:tcPr>
            <w:tcW w:w="1077" w:type="dxa"/>
            <w:vAlign w:val="center"/>
          </w:tcPr>
          <w:p w14:paraId="6E5DEAEC"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3</w:t>
            </w:r>
          </w:p>
        </w:tc>
        <w:tc>
          <w:tcPr>
            <w:tcW w:w="1077" w:type="dxa"/>
            <w:vMerge/>
            <w:vAlign w:val="center"/>
          </w:tcPr>
          <w:p w14:paraId="240A57FF" w14:textId="77777777" w:rsidR="006714FF" w:rsidRDefault="006714FF" w:rsidP="00B77C41"/>
        </w:tc>
        <w:tc>
          <w:tcPr>
            <w:tcW w:w="1041" w:type="dxa"/>
            <w:vMerge/>
            <w:tcMar>
              <w:top w:w="15" w:type="dxa"/>
              <w:left w:w="15" w:type="dxa"/>
              <w:right w:w="15" w:type="dxa"/>
            </w:tcMar>
            <w:vAlign w:val="center"/>
          </w:tcPr>
          <w:p w14:paraId="3BDE99A5" w14:textId="77777777" w:rsidR="006714FF" w:rsidRDefault="006714FF" w:rsidP="00B77C41"/>
        </w:tc>
        <w:tc>
          <w:tcPr>
            <w:tcW w:w="877" w:type="dxa"/>
            <w:shd w:val="clear" w:color="auto" w:fill="FFFFFF" w:themeFill="background1"/>
            <w:tcMar>
              <w:top w:w="15" w:type="dxa"/>
              <w:left w:w="15" w:type="dxa"/>
              <w:right w:w="15" w:type="dxa"/>
            </w:tcMar>
            <w:vAlign w:val="center"/>
          </w:tcPr>
          <w:p w14:paraId="65B917C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FFFFFF" w:themeFill="background1"/>
            <w:tcMar>
              <w:top w:w="15" w:type="dxa"/>
              <w:left w:w="15" w:type="dxa"/>
              <w:right w:w="15" w:type="dxa"/>
            </w:tcMar>
            <w:vAlign w:val="bottom"/>
          </w:tcPr>
          <w:p w14:paraId="08D1CFB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w:t>
            </w:r>
          </w:p>
        </w:tc>
        <w:tc>
          <w:tcPr>
            <w:tcW w:w="904" w:type="dxa"/>
            <w:shd w:val="clear" w:color="auto" w:fill="FFFFFF" w:themeFill="background1"/>
            <w:tcMar>
              <w:top w:w="15" w:type="dxa"/>
              <w:left w:w="15" w:type="dxa"/>
              <w:right w:w="15" w:type="dxa"/>
            </w:tcMar>
            <w:vAlign w:val="bottom"/>
          </w:tcPr>
          <w:p w14:paraId="741954B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D0D0D0"/>
            <w:tcMar>
              <w:top w:w="15" w:type="dxa"/>
              <w:left w:w="15" w:type="dxa"/>
              <w:right w:w="15" w:type="dxa"/>
            </w:tcMar>
            <w:vAlign w:val="bottom"/>
          </w:tcPr>
          <w:p w14:paraId="0AD4297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0848194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50FF224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17CB17F9" w14:textId="77777777" w:rsidTr="00B77C41">
        <w:trPr>
          <w:trHeight w:val="285"/>
        </w:trPr>
        <w:tc>
          <w:tcPr>
            <w:tcW w:w="1077" w:type="dxa"/>
            <w:vAlign w:val="center"/>
          </w:tcPr>
          <w:p w14:paraId="361C3879"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4</w:t>
            </w:r>
          </w:p>
        </w:tc>
        <w:tc>
          <w:tcPr>
            <w:tcW w:w="1077" w:type="dxa"/>
            <w:vMerge/>
            <w:vAlign w:val="center"/>
          </w:tcPr>
          <w:p w14:paraId="73AF3D77"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24D5F153" w14:textId="77777777" w:rsidR="006714FF" w:rsidRDefault="006714FF" w:rsidP="00B77C41">
            <w:pPr>
              <w:jc w:val="center"/>
              <w:rPr>
                <w:rFonts w:ascii="Times New Roman" w:hAnsi="Times New Roman"/>
                <w:b/>
                <w:bCs/>
                <w:sz w:val="22"/>
                <w:szCs w:val="22"/>
              </w:rPr>
            </w:pPr>
            <w:r w:rsidRPr="57EE44F5">
              <w:rPr>
                <w:rFonts w:ascii="Times New Roman" w:hAnsi="Times New Roman"/>
                <w:b/>
                <w:bCs/>
                <w:sz w:val="22"/>
                <w:szCs w:val="22"/>
              </w:rPr>
              <w:t>Fine</w:t>
            </w:r>
          </w:p>
        </w:tc>
        <w:tc>
          <w:tcPr>
            <w:tcW w:w="877" w:type="dxa"/>
            <w:shd w:val="clear" w:color="auto" w:fill="FFFFFF" w:themeFill="background1"/>
            <w:tcMar>
              <w:top w:w="15" w:type="dxa"/>
              <w:left w:w="15" w:type="dxa"/>
              <w:right w:w="15" w:type="dxa"/>
            </w:tcMar>
            <w:vAlign w:val="center"/>
          </w:tcPr>
          <w:p w14:paraId="3E97B0A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FFFFFF" w:themeFill="background1"/>
            <w:tcMar>
              <w:top w:w="15" w:type="dxa"/>
              <w:left w:w="15" w:type="dxa"/>
              <w:right w:w="15" w:type="dxa"/>
            </w:tcMar>
            <w:vAlign w:val="bottom"/>
          </w:tcPr>
          <w:p w14:paraId="5C5FE22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w:t>
            </w:r>
          </w:p>
        </w:tc>
        <w:tc>
          <w:tcPr>
            <w:tcW w:w="904" w:type="dxa"/>
            <w:shd w:val="clear" w:color="auto" w:fill="FFFFFF" w:themeFill="background1"/>
            <w:tcMar>
              <w:top w:w="15" w:type="dxa"/>
              <w:left w:w="15" w:type="dxa"/>
              <w:right w:w="15" w:type="dxa"/>
            </w:tcMar>
            <w:vAlign w:val="bottom"/>
          </w:tcPr>
          <w:p w14:paraId="6574184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D0D0D0"/>
            <w:tcMar>
              <w:top w:w="15" w:type="dxa"/>
              <w:left w:w="15" w:type="dxa"/>
              <w:right w:w="15" w:type="dxa"/>
            </w:tcMar>
            <w:vAlign w:val="bottom"/>
          </w:tcPr>
          <w:p w14:paraId="31D476B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3EDC492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23EEB60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3C93C17E" w14:textId="77777777" w:rsidTr="00B77C41">
        <w:trPr>
          <w:trHeight w:val="285"/>
        </w:trPr>
        <w:tc>
          <w:tcPr>
            <w:tcW w:w="1077" w:type="dxa"/>
            <w:vAlign w:val="center"/>
          </w:tcPr>
          <w:p w14:paraId="6563599C" w14:textId="77777777" w:rsidR="006714FF" w:rsidRDefault="006714FF" w:rsidP="00B77C41">
            <w:pPr>
              <w:spacing w:after="0" w:line="278" w:lineRule="auto"/>
              <w:jc w:val="center"/>
            </w:pPr>
            <w:r>
              <w:rPr>
                <w:rFonts w:ascii="Times New Roman" w:hAnsi="Times New Roman"/>
                <w:b/>
                <w:bCs/>
                <w:sz w:val="22"/>
                <w:szCs w:val="22"/>
              </w:rPr>
              <w:t>GO=</w:t>
            </w:r>
            <w:r w:rsidRPr="57EE44F5">
              <w:rPr>
                <w:rFonts w:ascii="Times New Roman" w:hAnsi="Times New Roman"/>
                <w:b/>
                <w:bCs/>
                <w:sz w:val="22"/>
                <w:szCs w:val="22"/>
              </w:rPr>
              <w:t>5</w:t>
            </w:r>
          </w:p>
        </w:tc>
        <w:tc>
          <w:tcPr>
            <w:tcW w:w="1077" w:type="dxa"/>
            <w:vMerge/>
            <w:vAlign w:val="center"/>
          </w:tcPr>
          <w:p w14:paraId="2F71B1AE" w14:textId="77777777" w:rsidR="006714FF" w:rsidRDefault="006714FF" w:rsidP="00B77C41"/>
        </w:tc>
        <w:tc>
          <w:tcPr>
            <w:tcW w:w="1041" w:type="dxa"/>
            <w:vMerge/>
            <w:tcMar>
              <w:top w:w="15" w:type="dxa"/>
              <w:left w:w="15" w:type="dxa"/>
              <w:right w:w="15" w:type="dxa"/>
            </w:tcMar>
            <w:vAlign w:val="center"/>
          </w:tcPr>
          <w:p w14:paraId="37BA2B4A" w14:textId="77777777" w:rsidR="006714FF" w:rsidRDefault="006714FF" w:rsidP="00B77C41"/>
        </w:tc>
        <w:tc>
          <w:tcPr>
            <w:tcW w:w="877" w:type="dxa"/>
            <w:shd w:val="clear" w:color="auto" w:fill="FFFFFF" w:themeFill="background1"/>
            <w:tcMar>
              <w:top w:w="15" w:type="dxa"/>
              <w:left w:w="15" w:type="dxa"/>
              <w:right w:w="15" w:type="dxa"/>
            </w:tcMar>
            <w:vAlign w:val="center"/>
          </w:tcPr>
          <w:p w14:paraId="7C1B8FDE"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Local</w:t>
            </w:r>
          </w:p>
        </w:tc>
        <w:tc>
          <w:tcPr>
            <w:tcW w:w="808" w:type="dxa"/>
            <w:shd w:val="clear" w:color="auto" w:fill="FFFFFF" w:themeFill="background1"/>
            <w:tcMar>
              <w:top w:w="15" w:type="dxa"/>
              <w:left w:w="15" w:type="dxa"/>
              <w:right w:w="15" w:type="dxa"/>
            </w:tcMar>
            <w:vAlign w:val="bottom"/>
          </w:tcPr>
          <w:p w14:paraId="486B3D9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w:t>
            </w:r>
          </w:p>
        </w:tc>
        <w:tc>
          <w:tcPr>
            <w:tcW w:w="904" w:type="dxa"/>
            <w:shd w:val="clear" w:color="auto" w:fill="FFFFFF" w:themeFill="background1"/>
            <w:tcMar>
              <w:top w:w="15" w:type="dxa"/>
              <w:left w:w="15" w:type="dxa"/>
              <w:right w:w="15" w:type="dxa"/>
            </w:tcMar>
            <w:vAlign w:val="bottom"/>
          </w:tcPr>
          <w:p w14:paraId="5527CDE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w:t>
            </w:r>
          </w:p>
        </w:tc>
        <w:tc>
          <w:tcPr>
            <w:tcW w:w="810" w:type="dxa"/>
            <w:shd w:val="clear" w:color="auto" w:fill="D0D0D0"/>
            <w:tcMar>
              <w:top w:w="15" w:type="dxa"/>
              <w:left w:w="15" w:type="dxa"/>
              <w:right w:w="15" w:type="dxa"/>
            </w:tcMar>
            <w:vAlign w:val="bottom"/>
          </w:tcPr>
          <w:p w14:paraId="7313329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4289C27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39F6652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6B2F3966" w14:textId="77777777" w:rsidTr="00B77C41">
        <w:trPr>
          <w:trHeight w:val="1155"/>
        </w:trPr>
        <w:tc>
          <w:tcPr>
            <w:tcW w:w="1077" w:type="dxa"/>
            <w:shd w:val="clear" w:color="auto" w:fill="FFFFFF" w:themeFill="background1"/>
            <w:vAlign w:val="center"/>
          </w:tcPr>
          <w:p w14:paraId="0B72D252"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6</w:t>
            </w:r>
          </w:p>
        </w:tc>
        <w:tc>
          <w:tcPr>
            <w:tcW w:w="1077" w:type="dxa"/>
            <w:vMerge w:val="restart"/>
            <w:shd w:val="clear" w:color="auto" w:fill="FFFFFF" w:themeFill="background1"/>
            <w:tcMar>
              <w:top w:w="15" w:type="dxa"/>
              <w:left w:w="15" w:type="dxa"/>
              <w:right w:w="15" w:type="dxa"/>
            </w:tcMar>
            <w:vAlign w:val="center"/>
          </w:tcPr>
          <w:p w14:paraId="4EFB5B9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LUR &amp; Temporal Kernel Smoothing</w:t>
            </w:r>
          </w:p>
        </w:tc>
        <w:tc>
          <w:tcPr>
            <w:tcW w:w="1041" w:type="dxa"/>
            <w:vMerge w:val="restart"/>
            <w:shd w:val="clear" w:color="auto" w:fill="FFFFFF" w:themeFill="background1"/>
            <w:tcMar>
              <w:top w:w="15" w:type="dxa"/>
              <w:left w:w="15" w:type="dxa"/>
              <w:right w:w="15" w:type="dxa"/>
            </w:tcMar>
            <w:vAlign w:val="center"/>
          </w:tcPr>
          <w:p w14:paraId="1BF4CA55" w14:textId="77777777" w:rsidR="006714FF" w:rsidRDefault="006714FF" w:rsidP="00B77C41">
            <w:pPr>
              <w:jc w:val="center"/>
              <w:rPr>
                <w:rFonts w:ascii="Times New Roman" w:hAnsi="Times New Roman"/>
                <w:sz w:val="22"/>
                <w:szCs w:val="22"/>
              </w:rPr>
            </w:pPr>
            <w:r w:rsidRPr="07D655FC">
              <w:rPr>
                <w:rFonts w:ascii="Times New Roman" w:hAnsi="Times New Roman"/>
                <w:sz w:val="22"/>
                <w:szCs w:val="22"/>
              </w:rPr>
              <w:t>Medium</w:t>
            </w:r>
          </w:p>
        </w:tc>
        <w:tc>
          <w:tcPr>
            <w:tcW w:w="877" w:type="dxa"/>
            <w:shd w:val="clear" w:color="auto" w:fill="FFFFFF" w:themeFill="background1"/>
            <w:tcMar>
              <w:top w:w="15" w:type="dxa"/>
              <w:left w:w="15" w:type="dxa"/>
              <w:right w:w="15" w:type="dxa"/>
            </w:tcMar>
            <w:vAlign w:val="center"/>
          </w:tcPr>
          <w:p w14:paraId="1902CDA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808" w:type="dxa"/>
            <w:shd w:val="clear" w:color="auto" w:fill="D0D0D0"/>
            <w:tcMar>
              <w:top w:w="15" w:type="dxa"/>
              <w:left w:w="15" w:type="dxa"/>
              <w:right w:w="15" w:type="dxa"/>
            </w:tcMar>
            <w:vAlign w:val="bottom"/>
          </w:tcPr>
          <w:p w14:paraId="1B97A6E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23E9D63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730</w:t>
            </w:r>
          </w:p>
        </w:tc>
        <w:tc>
          <w:tcPr>
            <w:tcW w:w="810" w:type="dxa"/>
            <w:shd w:val="clear" w:color="auto" w:fill="FFFFFF" w:themeFill="background1"/>
            <w:tcMar>
              <w:top w:w="15" w:type="dxa"/>
              <w:left w:w="15" w:type="dxa"/>
              <w:right w:w="15" w:type="dxa"/>
            </w:tcMar>
            <w:vAlign w:val="bottom"/>
          </w:tcPr>
          <w:p w14:paraId="5CCBB29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w:t>
            </w:r>
          </w:p>
        </w:tc>
        <w:tc>
          <w:tcPr>
            <w:tcW w:w="935" w:type="dxa"/>
            <w:shd w:val="clear" w:color="auto" w:fill="FFFFFF" w:themeFill="background1"/>
            <w:tcMar>
              <w:top w:w="15" w:type="dxa"/>
              <w:left w:w="15" w:type="dxa"/>
              <w:right w:w="15" w:type="dxa"/>
            </w:tcMar>
            <w:vAlign w:val="bottom"/>
          </w:tcPr>
          <w:p w14:paraId="0D8FA7B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5B23102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0.75</w:t>
            </w:r>
          </w:p>
        </w:tc>
      </w:tr>
      <w:tr w:rsidR="006714FF" w14:paraId="41B88281" w14:textId="77777777" w:rsidTr="00B77C41">
        <w:trPr>
          <w:trHeight w:val="285"/>
        </w:trPr>
        <w:tc>
          <w:tcPr>
            <w:tcW w:w="1077" w:type="dxa"/>
            <w:vAlign w:val="center"/>
          </w:tcPr>
          <w:p w14:paraId="0DB9F5B8"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7</w:t>
            </w:r>
          </w:p>
        </w:tc>
        <w:tc>
          <w:tcPr>
            <w:tcW w:w="1077" w:type="dxa"/>
            <w:vMerge/>
            <w:vAlign w:val="center"/>
          </w:tcPr>
          <w:p w14:paraId="32144A78" w14:textId="77777777" w:rsidR="006714FF" w:rsidRDefault="006714FF" w:rsidP="00B77C41"/>
        </w:tc>
        <w:tc>
          <w:tcPr>
            <w:tcW w:w="1041" w:type="dxa"/>
            <w:vMerge/>
            <w:tcMar>
              <w:top w:w="15" w:type="dxa"/>
              <w:left w:w="15" w:type="dxa"/>
              <w:right w:w="15" w:type="dxa"/>
            </w:tcMar>
            <w:vAlign w:val="center"/>
          </w:tcPr>
          <w:p w14:paraId="4F79A107" w14:textId="77777777" w:rsidR="006714FF" w:rsidRDefault="006714FF" w:rsidP="00B77C41"/>
        </w:tc>
        <w:tc>
          <w:tcPr>
            <w:tcW w:w="877" w:type="dxa"/>
            <w:shd w:val="clear" w:color="auto" w:fill="FFFFFF" w:themeFill="background1"/>
            <w:tcMar>
              <w:top w:w="15" w:type="dxa"/>
              <w:left w:w="15" w:type="dxa"/>
              <w:right w:w="15" w:type="dxa"/>
            </w:tcMar>
            <w:vAlign w:val="center"/>
          </w:tcPr>
          <w:p w14:paraId="082375A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D0D0D0"/>
            <w:tcMar>
              <w:top w:w="15" w:type="dxa"/>
              <w:left w:w="15" w:type="dxa"/>
              <w:right w:w="15" w:type="dxa"/>
            </w:tcMar>
            <w:vAlign w:val="bottom"/>
          </w:tcPr>
          <w:p w14:paraId="5365D8B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0537DC2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FFFFFF" w:themeFill="background1"/>
            <w:tcMar>
              <w:top w:w="15" w:type="dxa"/>
              <w:left w:w="15" w:type="dxa"/>
              <w:right w:w="15" w:type="dxa"/>
            </w:tcMar>
            <w:vAlign w:val="bottom"/>
          </w:tcPr>
          <w:p w14:paraId="4B052DF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w:t>
            </w:r>
          </w:p>
        </w:tc>
        <w:tc>
          <w:tcPr>
            <w:tcW w:w="935" w:type="dxa"/>
            <w:shd w:val="clear" w:color="auto" w:fill="FFFFFF" w:themeFill="background1"/>
            <w:tcMar>
              <w:top w:w="15" w:type="dxa"/>
              <w:left w:w="15" w:type="dxa"/>
              <w:right w:w="15" w:type="dxa"/>
            </w:tcMar>
            <w:vAlign w:val="bottom"/>
          </w:tcPr>
          <w:p w14:paraId="20C225B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532EB3E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0.75</w:t>
            </w:r>
          </w:p>
        </w:tc>
      </w:tr>
      <w:tr w:rsidR="006714FF" w14:paraId="41857D83" w14:textId="77777777" w:rsidTr="00B77C41">
        <w:trPr>
          <w:trHeight w:val="285"/>
        </w:trPr>
        <w:tc>
          <w:tcPr>
            <w:tcW w:w="1077" w:type="dxa"/>
            <w:vAlign w:val="center"/>
          </w:tcPr>
          <w:p w14:paraId="5E7363AE"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8</w:t>
            </w:r>
          </w:p>
        </w:tc>
        <w:tc>
          <w:tcPr>
            <w:tcW w:w="1077" w:type="dxa"/>
            <w:vMerge/>
            <w:vAlign w:val="center"/>
          </w:tcPr>
          <w:p w14:paraId="0BC3FBBB"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789CEF86" w14:textId="77777777" w:rsidR="006714FF" w:rsidRDefault="006714FF" w:rsidP="00B77C41">
            <w:pPr>
              <w:jc w:val="center"/>
              <w:rPr>
                <w:rFonts w:ascii="Times New Roman" w:hAnsi="Times New Roman"/>
                <w:sz w:val="22"/>
                <w:szCs w:val="22"/>
              </w:rPr>
            </w:pPr>
            <w:r w:rsidRPr="07D655FC">
              <w:rPr>
                <w:rFonts w:ascii="Times New Roman" w:hAnsi="Times New Roman"/>
                <w:sz w:val="22"/>
                <w:szCs w:val="22"/>
              </w:rPr>
              <w:t>Fine</w:t>
            </w:r>
          </w:p>
        </w:tc>
        <w:tc>
          <w:tcPr>
            <w:tcW w:w="877" w:type="dxa"/>
            <w:shd w:val="clear" w:color="auto" w:fill="FFFFFF" w:themeFill="background1"/>
            <w:tcMar>
              <w:top w:w="15" w:type="dxa"/>
              <w:left w:w="15" w:type="dxa"/>
              <w:right w:w="15" w:type="dxa"/>
            </w:tcMar>
            <w:vAlign w:val="center"/>
          </w:tcPr>
          <w:p w14:paraId="379DE98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D0D0D0"/>
            <w:tcMar>
              <w:top w:w="15" w:type="dxa"/>
              <w:left w:w="15" w:type="dxa"/>
              <w:right w:w="15" w:type="dxa"/>
            </w:tcMar>
            <w:vAlign w:val="bottom"/>
          </w:tcPr>
          <w:p w14:paraId="4014D80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7AAF70C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FFFFFF" w:themeFill="background1"/>
            <w:tcMar>
              <w:top w:w="15" w:type="dxa"/>
              <w:left w:w="15" w:type="dxa"/>
              <w:right w:w="15" w:type="dxa"/>
            </w:tcMar>
            <w:vAlign w:val="bottom"/>
          </w:tcPr>
          <w:p w14:paraId="3786A15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w:t>
            </w:r>
          </w:p>
        </w:tc>
        <w:tc>
          <w:tcPr>
            <w:tcW w:w="935" w:type="dxa"/>
            <w:shd w:val="clear" w:color="auto" w:fill="FFFFFF" w:themeFill="background1"/>
            <w:tcMar>
              <w:top w:w="15" w:type="dxa"/>
              <w:left w:w="15" w:type="dxa"/>
              <w:right w:w="15" w:type="dxa"/>
            </w:tcMar>
            <w:vAlign w:val="bottom"/>
          </w:tcPr>
          <w:p w14:paraId="42E95E9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0DDF106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0.75</w:t>
            </w:r>
          </w:p>
        </w:tc>
      </w:tr>
      <w:tr w:rsidR="006714FF" w14:paraId="22C37F20" w14:textId="77777777" w:rsidTr="00B77C41">
        <w:trPr>
          <w:trHeight w:val="285"/>
        </w:trPr>
        <w:tc>
          <w:tcPr>
            <w:tcW w:w="1077" w:type="dxa"/>
            <w:vAlign w:val="center"/>
          </w:tcPr>
          <w:p w14:paraId="392CDD9C"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9</w:t>
            </w:r>
          </w:p>
        </w:tc>
        <w:tc>
          <w:tcPr>
            <w:tcW w:w="1077" w:type="dxa"/>
            <w:vMerge/>
            <w:vAlign w:val="center"/>
          </w:tcPr>
          <w:p w14:paraId="093E8D68" w14:textId="77777777" w:rsidR="006714FF" w:rsidRDefault="006714FF" w:rsidP="00B77C41"/>
        </w:tc>
        <w:tc>
          <w:tcPr>
            <w:tcW w:w="1041" w:type="dxa"/>
            <w:vMerge/>
            <w:tcMar>
              <w:top w:w="15" w:type="dxa"/>
              <w:left w:w="15" w:type="dxa"/>
              <w:right w:w="15" w:type="dxa"/>
            </w:tcMar>
            <w:vAlign w:val="center"/>
          </w:tcPr>
          <w:p w14:paraId="3FC37931" w14:textId="77777777" w:rsidR="006714FF" w:rsidRDefault="006714FF" w:rsidP="00B77C41"/>
        </w:tc>
        <w:tc>
          <w:tcPr>
            <w:tcW w:w="877" w:type="dxa"/>
            <w:shd w:val="clear" w:color="auto" w:fill="FFFFFF" w:themeFill="background1"/>
            <w:tcMar>
              <w:top w:w="15" w:type="dxa"/>
              <w:left w:w="15" w:type="dxa"/>
              <w:right w:w="15" w:type="dxa"/>
            </w:tcMar>
            <w:vAlign w:val="center"/>
          </w:tcPr>
          <w:p w14:paraId="490D1F4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808" w:type="dxa"/>
            <w:shd w:val="clear" w:color="auto" w:fill="D0D0D0"/>
            <w:tcMar>
              <w:top w:w="15" w:type="dxa"/>
              <w:left w:w="15" w:type="dxa"/>
              <w:right w:w="15" w:type="dxa"/>
            </w:tcMar>
            <w:vAlign w:val="bottom"/>
          </w:tcPr>
          <w:p w14:paraId="17767FE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38166E5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w:t>
            </w:r>
          </w:p>
        </w:tc>
        <w:tc>
          <w:tcPr>
            <w:tcW w:w="810" w:type="dxa"/>
            <w:shd w:val="clear" w:color="auto" w:fill="FFFFFF" w:themeFill="background1"/>
            <w:tcMar>
              <w:top w:w="15" w:type="dxa"/>
              <w:left w:w="15" w:type="dxa"/>
              <w:right w:w="15" w:type="dxa"/>
            </w:tcMar>
            <w:vAlign w:val="bottom"/>
          </w:tcPr>
          <w:p w14:paraId="4F9468E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w:t>
            </w:r>
          </w:p>
        </w:tc>
        <w:tc>
          <w:tcPr>
            <w:tcW w:w="935" w:type="dxa"/>
            <w:shd w:val="clear" w:color="auto" w:fill="FFFFFF" w:themeFill="background1"/>
            <w:tcMar>
              <w:top w:w="15" w:type="dxa"/>
              <w:left w:w="15" w:type="dxa"/>
              <w:right w:w="15" w:type="dxa"/>
            </w:tcMar>
            <w:vAlign w:val="bottom"/>
          </w:tcPr>
          <w:p w14:paraId="0B8A646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573B8E0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0.75</w:t>
            </w:r>
          </w:p>
        </w:tc>
      </w:tr>
    </w:tbl>
    <w:p w14:paraId="40F0C265" w14:textId="77777777" w:rsidR="006714FF" w:rsidRDefault="006714FF" w:rsidP="006714FF">
      <w:pPr>
        <w:spacing w:after="0"/>
      </w:pPr>
    </w:p>
    <w:p w14:paraId="6F5E7960" w14:textId="77777777" w:rsidR="006714FF" w:rsidRDefault="006714FF" w:rsidP="006714FF">
      <w:pPr>
        <w:spacing w:after="0"/>
      </w:pPr>
    </w:p>
    <w:p w14:paraId="16634C2B" w14:textId="77777777" w:rsidR="006714FF" w:rsidRDefault="006714FF" w:rsidP="006714FF">
      <w:pPr>
        <w:spacing w:after="0"/>
      </w:pPr>
    </w:p>
    <w:p w14:paraId="7A6DBD7F" w14:textId="77777777" w:rsidR="006714FF" w:rsidRDefault="006714FF" w:rsidP="006714FF">
      <w:pPr>
        <w:spacing w:after="0"/>
      </w:pPr>
    </w:p>
    <w:p w14:paraId="5F0BB3F6" w14:textId="77777777" w:rsidR="006714FF" w:rsidRDefault="006714FF" w:rsidP="006714FF">
      <w:pPr>
        <w:spacing w:after="0"/>
      </w:pPr>
    </w:p>
    <w:p w14:paraId="5F03C3E6" w14:textId="77777777" w:rsidR="006714FF" w:rsidRDefault="006714FF" w:rsidP="006714FF">
      <w:pPr>
        <w:spacing w:after="0"/>
      </w:pPr>
    </w:p>
    <w:p w14:paraId="2E7F3F19" w14:textId="77777777" w:rsidR="006714FF" w:rsidRDefault="006714FF" w:rsidP="006714FF">
      <w:pPr>
        <w:spacing w:after="0"/>
      </w:pPr>
    </w:p>
    <w:p w14:paraId="62A4752D" w14:textId="77777777" w:rsidR="006714FF" w:rsidRDefault="006714FF" w:rsidP="006714FF">
      <w:pPr>
        <w:spacing w:after="0"/>
      </w:pPr>
    </w:p>
    <w:p w14:paraId="5A302A0B" w14:textId="77777777" w:rsidR="006714FF" w:rsidRDefault="006714FF" w:rsidP="006714FF">
      <w:pPr>
        <w:spacing w:after="0"/>
      </w:pPr>
    </w:p>
    <w:p w14:paraId="04C9DB04" w14:textId="77777777" w:rsidR="006714FF" w:rsidRDefault="006714FF" w:rsidP="006714FF">
      <w:pPr>
        <w:spacing w:after="0"/>
      </w:pPr>
    </w:p>
    <w:p w14:paraId="4EE3D4F6" w14:textId="77777777" w:rsidR="006714FF" w:rsidRDefault="006714FF" w:rsidP="006714FF">
      <w:pPr>
        <w:spacing w:after="0"/>
      </w:pPr>
    </w:p>
    <w:p w14:paraId="156DB72A" w14:textId="77777777" w:rsidR="006714FF" w:rsidRDefault="006714FF" w:rsidP="006714FF">
      <w:pPr>
        <w:spacing w:after="0"/>
      </w:pPr>
    </w:p>
    <w:p w14:paraId="2D1878E9" w14:textId="77777777" w:rsidR="006714FF" w:rsidRPr="009E43C8" w:rsidRDefault="006714FF" w:rsidP="006714FF">
      <w:pPr>
        <w:pStyle w:val="VDTableTitle"/>
      </w:pPr>
    </w:p>
    <w:p w14:paraId="1EE35465" w14:textId="77777777" w:rsidR="006714FF" w:rsidRPr="009E43C8" w:rsidRDefault="006714FF" w:rsidP="006714FF">
      <w:pPr>
        <w:pStyle w:val="VDTableTitle"/>
      </w:pPr>
      <w:r w:rsidRPr="009E43C8">
        <w:rPr>
          <w:b/>
          <w:bCs/>
        </w:rPr>
        <w:lastRenderedPageBreak/>
        <w:t>Table S5.</w:t>
      </w:r>
      <w:r w:rsidRPr="009E43C8">
        <w:t xml:space="preserve"> Log-ethylbenzene global offset parameters. Bolded global offset scenarios were used during method evaluation and determined using 3-degree RCV sensitivity analyses.</w:t>
      </w:r>
    </w:p>
    <w:tbl>
      <w:tblPr>
        <w:tblW w:w="830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077"/>
        <w:gridCol w:w="1077"/>
        <w:gridCol w:w="1041"/>
        <w:gridCol w:w="877"/>
        <w:gridCol w:w="808"/>
        <w:gridCol w:w="904"/>
        <w:gridCol w:w="810"/>
        <w:gridCol w:w="935"/>
        <w:gridCol w:w="775"/>
      </w:tblGrid>
      <w:tr w:rsidR="006714FF" w14:paraId="7B89D39F" w14:textId="77777777" w:rsidTr="00B77C41">
        <w:trPr>
          <w:trHeight w:val="300"/>
        </w:trPr>
        <w:tc>
          <w:tcPr>
            <w:tcW w:w="1077" w:type="dxa"/>
            <w:vMerge w:val="restart"/>
            <w:shd w:val="clear" w:color="auto" w:fill="FFFFFF" w:themeFill="background1"/>
            <w:vAlign w:val="bottom"/>
          </w:tcPr>
          <w:p w14:paraId="122960B0" w14:textId="77777777" w:rsidR="006714FF" w:rsidRPr="57EE44F5"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Global Offset </w:t>
            </w:r>
            <w:r>
              <w:rPr>
                <w:rFonts w:ascii="Times New Roman" w:hAnsi="Times New Roman"/>
                <w:sz w:val="22"/>
                <w:szCs w:val="22"/>
              </w:rPr>
              <w:t>Name</w:t>
            </w:r>
          </w:p>
        </w:tc>
        <w:tc>
          <w:tcPr>
            <w:tcW w:w="1077" w:type="dxa"/>
            <w:vMerge w:val="restart"/>
            <w:shd w:val="clear" w:color="auto" w:fill="FFFFFF" w:themeFill="background1"/>
            <w:tcMar>
              <w:top w:w="15" w:type="dxa"/>
              <w:left w:w="15" w:type="dxa"/>
              <w:right w:w="15" w:type="dxa"/>
            </w:tcMar>
            <w:vAlign w:val="bottom"/>
          </w:tcPr>
          <w:p w14:paraId="586F0A0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41" w:type="dxa"/>
            <w:vMerge w:val="restart"/>
            <w:shd w:val="clear" w:color="auto" w:fill="FFFFFF" w:themeFill="background1"/>
            <w:tcMar>
              <w:top w:w="15" w:type="dxa"/>
              <w:left w:w="15" w:type="dxa"/>
              <w:right w:w="15" w:type="dxa"/>
            </w:tcMar>
            <w:vAlign w:val="bottom"/>
          </w:tcPr>
          <w:p w14:paraId="36E11420" w14:textId="77777777" w:rsidR="006714FF" w:rsidRDefault="006714FF" w:rsidP="00B77C41">
            <w:pPr>
              <w:spacing w:after="0" w:line="278" w:lineRule="auto"/>
              <w:jc w:val="center"/>
              <w:rPr>
                <w:rFonts w:ascii="Times New Roman" w:hAnsi="Times New Roman"/>
                <w:sz w:val="22"/>
                <w:szCs w:val="22"/>
              </w:rPr>
            </w:pPr>
            <w:r w:rsidRPr="57EE44F5">
              <w:rPr>
                <w:rFonts w:ascii="Times New Roman" w:hAnsi="Times New Roman"/>
                <w:sz w:val="22"/>
                <w:szCs w:val="22"/>
              </w:rPr>
              <w:t>Global Offset Resolution</w:t>
            </w:r>
          </w:p>
        </w:tc>
        <w:tc>
          <w:tcPr>
            <w:tcW w:w="877" w:type="dxa"/>
            <w:vMerge w:val="restart"/>
            <w:shd w:val="clear" w:color="auto" w:fill="FFFFFF" w:themeFill="background1"/>
            <w:tcMar>
              <w:top w:w="15" w:type="dxa"/>
              <w:left w:w="15" w:type="dxa"/>
              <w:right w:w="15" w:type="dxa"/>
            </w:tcMar>
            <w:vAlign w:val="bottom"/>
          </w:tcPr>
          <w:p w14:paraId="73CDD814"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712" w:type="dxa"/>
            <w:gridSpan w:val="2"/>
            <w:shd w:val="clear" w:color="auto" w:fill="FFFFFF" w:themeFill="background1"/>
            <w:vAlign w:val="center"/>
          </w:tcPr>
          <w:p w14:paraId="3AE769E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Kernel Smoothing Parameters</w:t>
            </w:r>
          </w:p>
        </w:tc>
        <w:tc>
          <w:tcPr>
            <w:tcW w:w="2520" w:type="dxa"/>
            <w:gridSpan w:val="3"/>
            <w:shd w:val="clear" w:color="auto" w:fill="FFFFFF" w:themeFill="background1"/>
            <w:tcMar>
              <w:top w:w="15" w:type="dxa"/>
              <w:left w:w="15" w:type="dxa"/>
              <w:right w:w="15" w:type="dxa"/>
            </w:tcMar>
            <w:vAlign w:val="center"/>
          </w:tcPr>
          <w:p w14:paraId="5AD6BFD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SEDC LUR Parameters (</w:t>
            </w:r>
            <w:r w:rsidRPr="009A30AA">
              <w:rPr>
                <w:sz w:val="22"/>
                <w:szCs w:val="22"/>
              </w:rPr>
              <w:sym w:font="Symbol" w:char="F064"/>
            </w:r>
            <w:r w:rsidRPr="57EE44F5">
              <w:rPr>
                <w:rFonts w:ascii="Times New Roman" w:hAnsi="Times New Roman"/>
                <w:sz w:val="22"/>
                <w:szCs w:val="22"/>
              </w:rPr>
              <w:t>)</w:t>
            </w:r>
          </w:p>
        </w:tc>
      </w:tr>
      <w:tr w:rsidR="006714FF" w14:paraId="17B3FC98" w14:textId="77777777" w:rsidTr="00B77C41">
        <w:trPr>
          <w:trHeight w:val="300"/>
        </w:trPr>
        <w:tc>
          <w:tcPr>
            <w:tcW w:w="1077" w:type="dxa"/>
            <w:vMerge/>
            <w:vAlign w:val="center"/>
          </w:tcPr>
          <w:p w14:paraId="71887006" w14:textId="77777777" w:rsidR="006714FF" w:rsidRDefault="006714FF" w:rsidP="00B77C41"/>
        </w:tc>
        <w:tc>
          <w:tcPr>
            <w:tcW w:w="1077" w:type="dxa"/>
            <w:vMerge/>
            <w:vAlign w:val="center"/>
          </w:tcPr>
          <w:p w14:paraId="1A3E7A5D" w14:textId="77777777" w:rsidR="006714FF" w:rsidRDefault="006714FF" w:rsidP="00B77C41"/>
        </w:tc>
        <w:tc>
          <w:tcPr>
            <w:tcW w:w="1041" w:type="dxa"/>
            <w:vMerge/>
          </w:tcPr>
          <w:p w14:paraId="69E8EFB7" w14:textId="77777777" w:rsidR="006714FF" w:rsidRDefault="006714FF" w:rsidP="00B77C41"/>
        </w:tc>
        <w:tc>
          <w:tcPr>
            <w:tcW w:w="877" w:type="dxa"/>
            <w:vMerge/>
            <w:vAlign w:val="center"/>
          </w:tcPr>
          <w:p w14:paraId="28412695" w14:textId="77777777" w:rsidR="006714FF" w:rsidRDefault="006714FF" w:rsidP="00B77C41"/>
        </w:tc>
        <w:tc>
          <w:tcPr>
            <w:tcW w:w="808" w:type="dxa"/>
            <w:shd w:val="clear" w:color="auto" w:fill="FFFFFF" w:themeFill="background1"/>
            <w:tcMar>
              <w:top w:w="15" w:type="dxa"/>
              <w:left w:w="15" w:type="dxa"/>
              <w:right w:w="15" w:type="dxa"/>
            </w:tcMar>
            <w:vAlign w:val="bottom"/>
          </w:tcPr>
          <w:p w14:paraId="6671F99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Range (deg.)</w:t>
            </w:r>
          </w:p>
        </w:tc>
        <w:tc>
          <w:tcPr>
            <w:tcW w:w="904" w:type="dxa"/>
            <w:shd w:val="clear" w:color="auto" w:fill="FFFFFF" w:themeFill="background1"/>
            <w:tcMar>
              <w:top w:w="15" w:type="dxa"/>
              <w:left w:w="15" w:type="dxa"/>
              <w:right w:w="15" w:type="dxa"/>
            </w:tcMar>
            <w:vAlign w:val="bottom"/>
          </w:tcPr>
          <w:p w14:paraId="3D802EE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Temporal Range (day)</w:t>
            </w:r>
          </w:p>
        </w:tc>
        <w:tc>
          <w:tcPr>
            <w:tcW w:w="810" w:type="dxa"/>
            <w:shd w:val="clear" w:color="auto" w:fill="FFFFFF" w:themeFill="background1"/>
            <w:tcMar>
              <w:top w:w="15" w:type="dxa"/>
              <w:left w:w="15" w:type="dxa"/>
              <w:right w:w="15" w:type="dxa"/>
            </w:tcMar>
            <w:vAlign w:val="bottom"/>
          </w:tcPr>
          <w:p w14:paraId="79943E17"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Point (deg.)</w:t>
            </w:r>
          </w:p>
        </w:tc>
        <w:tc>
          <w:tcPr>
            <w:tcW w:w="935" w:type="dxa"/>
            <w:shd w:val="clear" w:color="auto" w:fill="FFFFFF" w:themeFill="background1"/>
            <w:tcMar>
              <w:top w:w="15" w:type="dxa"/>
              <w:left w:w="15" w:type="dxa"/>
              <w:right w:w="15" w:type="dxa"/>
            </w:tcMar>
            <w:vAlign w:val="bottom"/>
          </w:tcPr>
          <w:p w14:paraId="471EE0F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Nonpoint (deg.)</w:t>
            </w:r>
          </w:p>
        </w:tc>
        <w:tc>
          <w:tcPr>
            <w:tcW w:w="775" w:type="dxa"/>
            <w:shd w:val="clear" w:color="auto" w:fill="FFFFFF" w:themeFill="background1"/>
            <w:tcMar>
              <w:top w:w="15" w:type="dxa"/>
              <w:left w:w="15" w:type="dxa"/>
              <w:right w:w="15" w:type="dxa"/>
            </w:tcMar>
            <w:vAlign w:val="bottom"/>
          </w:tcPr>
          <w:p w14:paraId="06A8E05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On road (deg.)</w:t>
            </w:r>
          </w:p>
        </w:tc>
      </w:tr>
      <w:tr w:rsidR="006714FF" w14:paraId="2F20204A" w14:textId="77777777" w:rsidTr="00B77C41">
        <w:trPr>
          <w:trHeight w:val="285"/>
        </w:trPr>
        <w:tc>
          <w:tcPr>
            <w:tcW w:w="1077" w:type="dxa"/>
            <w:shd w:val="clear" w:color="auto" w:fill="FFFFFF" w:themeFill="background1"/>
            <w:vAlign w:val="center"/>
          </w:tcPr>
          <w:p w14:paraId="6EEE1E85"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0</w:t>
            </w:r>
          </w:p>
        </w:tc>
        <w:tc>
          <w:tcPr>
            <w:tcW w:w="1077" w:type="dxa"/>
            <w:shd w:val="clear" w:color="auto" w:fill="FFFFFF" w:themeFill="background1"/>
            <w:tcMar>
              <w:top w:w="15" w:type="dxa"/>
              <w:left w:w="15" w:type="dxa"/>
              <w:right w:w="15" w:type="dxa"/>
            </w:tcMar>
            <w:vAlign w:val="center"/>
          </w:tcPr>
          <w:p w14:paraId="4015C336"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41" w:type="dxa"/>
            <w:shd w:val="clear" w:color="auto" w:fill="D0D0D0"/>
            <w:tcMar>
              <w:top w:w="15" w:type="dxa"/>
              <w:left w:w="15" w:type="dxa"/>
              <w:right w:w="15" w:type="dxa"/>
            </w:tcMar>
            <w:vAlign w:val="center"/>
          </w:tcPr>
          <w:p w14:paraId="1DEEC1DD" w14:textId="77777777" w:rsidR="006714FF" w:rsidRDefault="006714FF" w:rsidP="00B77C41">
            <w:pPr>
              <w:jc w:val="center"/>
              <w:rPr>
                <w:rFonts w:ascii="Times New Roman" w:hAnsi="Times New Roman"/>
                <w:sz w:val="22"/>
                <w:szCs w:val="22"/>
              </w:rPr>
            </w:pPr>
          </w:p>
        </w:tc>
        <w:tc>
          <w:tcPr>
            <w:tcW w:w="877" w:type="dxa"/>
            <w:shd w:val="clear" w:color="auto" w:fill="D0D0D0"/>
            <w:tcMar>
              <w:top w:w="15" w:type="dxa"/>
              <w:left w:w="15" w:type="dxa"/>
              <w:right w:w="15" w:type="dxa"/>
            </w:tcMar>
            <w:vAlign w:val="center"/>
          </w:tcPr>
          <w:p w14:paraId="6B900D8E"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808" w:type="dxa"/>
            <w:shd w:val="clear" w:color="auto" w:fill="D0D0D0"/>
            <w:tcMar>
              <w:top w:w="15" w:type="dxa"/>
              <w:left w:w="15" w:type="dxa"/>
              <w:right w:w="15" w:type="dxa"/>
            </w:tcMar>
            <w:vAlign w:val="bottom"/>
          </w:tcPr>
          <w:p w14:paraId="1064EB5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D0D0D0"/>
            <w:tcMar>
              <w:top w:w="15" w:type="dxa"/>
              <w:left w:w="15" w:type="dxa"/>
              <w:right w:w="15" w:type="dxa"/>
            </w:tcMar>
            <w:vAlign w:val="bottom"/>
          </w:tcPr>
          <w:p w14:paraId="0AA5FC1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810" w:type="dxa"/>
            <w:shd w:val="clear" w:color="auto" w:fill="D0D0D0"/>
            <w:tcMar>
              <w:top w:w="15" w:type="dxa"/>
              <w:left w:w="15" w:type="dxa"/>
              <w:right w:w="15" w:type="dxa"/>
            </w:tcMar>
            <w:vAlign w:val="bottom"/>
          </w:tcPr>
          <w:p w14:paraId="1CC5E09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6E46DF7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2FF6EE4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78124CC1" w14:textId="77777777" w:rsidTr="00B77C41">
        <w:trPr>
          <w:trHeight w:val="285"/>
        </w:trPr>
        <w:tc>
          <w:tcPr>
            <w:tcW w:w="1077" w:type="dxa"/>
            <w:shd w:val="clear" w:color="auto" w:fill="FFFFFF" w:themeFill="background1"/>
            <w:vAlign w:val="center"/>
          </w:tcPr>
          <w:p w14:paraId="7E839271" w14:textId="77777777" w:rsidR="006714FF"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1</w:t>
            </w:r>
          </w:p>
        </w:tc>
        <w:tc>
          <w:tcPr>
            <w:tcW w:w="1077" w:type="dxa"/>
            <w:shd w:val="clear" w:color="auto" w:fill="FFFFFF" w:themeFill="background1"/>
            <w:tcMar>
              <w:top w:w="15" w:type="dxa"/>
              <w:left w:w="15" w:type="dxa"/>
              <w:right w:w="15" w:type="dxa"/>
            </w:tcMar>
            <w:vAlign w:val="center"/>
          </w:tcPr>
          <w:p w14:paraId="1895F7E8" w14:textId="77777777" w:rsidR="006714FF" w:rsidRDefault="006714FF" w:rsidP="00B77C41">
            <w:pPr>
              <w:spacing w:after="0"/>
              <w:jc w:val="center"/>
              <w:rPr>
                <w:rFonts w:ascii="Times New Roman" w:hAnsi="Times New Roman"/>
                <w:b/>
                <w:bCs/>
                <w:sz w:val="22"/>
                <w:szCs w:val="22"/>
              </w:rPr>
            </w:pPr>
            <w:r>
              <w:rPr>
                <w:rFonts w:ascii="Times New Roman" w:hAnsi="Times New Roman"/>
                <w:b/>
                <w:bCs/>
                <w:sz w:val="22"/>
                <w:szCs w:val="22"/>
              </w:rPr>
              <w:t>Constant</w:t>
            </w:r>
          </w:p>
        </w:tc>
        <w:tc>
          <w:tcPr>
            <w:tcW w:w="1041" w:type="dxa"/>
            <w:shd w:val="clear" w:color="auto" w:fill="FFFFFF" w:themeFill="background1"/>
            <w:tcMar>
              <w:top w:w="15" w:type="dxa"/>
              <w:left w:w="15" w:type="dxa"/>
              <w:right w:w="15" w:type="dxa"/>
            </w:tcMar>
            <w:vAlign w:val="bottom"/>
          </w:tcPr>
          <w:p w14:paraId="4C5446B0" w14:textId="77777777" w:rsidR="006714FF" w:rsidRPr="007A3E31" w:rsidRDefault="006714FF" w:rsidP="00B77C41">
            <w:pPr>
              <w:spacing w:after="0"/>
              <w:jc w:val="center"/>
              <w:rPr>
                <w:rFonts w:ascii="Times New Roman" w:hAnsi="Times New Roman"/>
                <w:b/>
                <w:bCs/>
                <w:sz w:val="22"/>
                <w:szCs w:val="22"/>
              </w:rPr>
            </w:pPr>
            <w:r>
              <w:rPr>
                <w:rFonts w:ascii="Times New Roman" w:hAnsi="Times New Roman"/>
                <w:b/>
                <w:bCs/>
                <w:sz w:val="22"/>
                <w:szCs w:val="22"/>
              </w:rPr>
              <w:t>Flat</w:t>
            </w:r>
          </w:p>
        </w:tc>
        <w:tc>
          <w:tcPr>
            <w:tcW w:w="877" w:type="dxa"/>
            <w:shd w:val="clear" w:color="auto" w:fill="D0D0D0"/>
            <w:tcMar>
              <w:top w:w="15" w:type="dxa"/>
              <w:left w:w="15" w:type="dxa"/>
              <w:right w:w="15" w:type="dxa"/>
            </w:tcMar>
            <w:vAlign w:val="center"/>
          </w:tcPr>
          <w:p w14:paraId="5828ABBF"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 xml:space="preserve"> </w:t>
            </w:r>
          </w:p>
        </w:tc>
        <w:tc>
          <w:tcPr>
            <w:tcW w:w="808" w:type="dxa"/>
            <w:shd w:val="clear" w:color="auto" w:fill="FFFFFF" w:themeFill="background1"/>
            <w:tcMar>
              <w:top w:w="15" w:type="dxa"/>
              <w:left w:w="15" w:type="dxa"/>
              <w:right w:w="15" w:type="dxa"/>
            </w:tcMar>
            <w:vAlign w:val="bottom"/>
          </w:tcPr>
          <w:p w14:paraId="2B51A81D"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904" w:type="dxa"/>
            <w:shd w:val="clear" w:color="auto" w:fill="FFFFFF" w:themeFill="background1"/>
            <w:tcMar>
              <w:top w:w="15" w:type="dxa"/>
              <w:left w:w="15" w:type="dxa"/>
              <w:right w:w="15" w:type="dxa"/>
            </w:tcMar>
            <w:vAlign w:val="bottom"/>
          </w:tcPr>
          <w:p w14:paraId="76AB1F5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810" w:type="dxa"/>
            <w:shd w:val="clear" w:color="auto" w:fill="D0D0D0"/>
            <w:tcMar>
              <w:top w:w="15" w:type="dxa"/>
              <w:left w:w="15" w:type="dxa"/>
              <w:right w:w="15" w:type="dxa"/>
            </w:tcMar>
            <w:vAlign w:val="bottom"/>
          </w:tcPr>
          <w:p w14:paraId="1DDD953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58B2EFC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63A6262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70F0B727" w14:textId="77777777" w:rsidTr="00B77C41">
        <w:trPr>
          <w:trHeight w:val="1155"/>
        </w:trPr>
        <w:tc>
          <w:tcPr>
            <w:tcW w:w="1077" w:type="dxa"/>
            <w:shd w:val="clear" w:color="auto" w:fill="FFFFFF" w:themeFill="background1"/>
            <w:vAlign w:val="center"/>
          </w:tcPr>
          <w:p w14:paraId="711776DB" w14:textId="77777777" w:rsidR="006714FF" w:rsidRPr="57EE44F5"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2</w:t>
            </w:r>
          </w:p>
        </w:tc>
        <w:tc>
          <w:tcPr>
            <w:tcW w:w="1077" w:type="dxa"/>
            <w:vMerge w:val="restart"/>
            <w:shd w:val="clear" w:color="auto" w:fill="FFFFFF" w:themeFill="background1"/>
            <w:tcMar>
              <w:top w:w="15" w:type="dxa"/>
              <w:left w:w="15" w:type="dxa"/>
              <w:right w:w="15" w:type="dxa"/>
            </w:tcMar>
            <w:vAlign w:val="center"/>
          </w:tcPr>
          <w:p w14:paraId="2C379B62"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&amp; Temporal Kernel Smoothing</w:t>
            </w:r>
          </w:p>
        </w:tc>
        <w:tc>
          <w:tcPr>
            <w:tcW w:w="1041" w:type="dxa"/>
            <w:vMerge w:val="restart"/>
            <w:shd w:val="clear" w:color="auto" w:fill="FFFFFF" w:themeFill="background1"/>
            <w:tcMar>
              <w:top w:w="15" w:type="dxa"/>
              <w:left w:w="15" w:type="dxa"/>
              <w:right w:w="15" w:type="dxa"/>
            </w:tcMar>
            <w:vAlign w:val="center"/>
          </w:tcPr>
          <w:p w14:paraId="6C50C0C3" w14:textId="77777777" w:rsidR="006714FF" w:rsidRDefault="006714FF" w:rsidP="00B77C41">
            <w:pPr>
              <w:jc w:val="center"/>
              <w:rPr>
                <w:rFonts w:ascii="Times New Roman" w:hAnsi="Times New Roman"/>
                <w:b/>
                <w:bCs/>
                <w:sz w:val="22"/>
                <w:szCs w:val="22"/>
              </w:rPr>
            </w:pPr>
            <w:r w:rsidRPr="57EE44F5">
              <w:rPr>
                <w:rFonts w:ascii="Times New Roman" w:hAnsi="Times New Roman"/>
                <w:b/>
                <w:bCs/>
                <w:sz w:val="22"/>
                <w:szCs w:val="22"/>
              </w:rPr>
              <w:t>Medium</w:t>
            </w:r>
          </w:p>
        </w:tc>
        <w:tc>
          <w:tcPr>
            <w:tcW w:w="877" w:type="dxa"/>
            <w:shd w:val="clear" w:color="auto" w:fill="FFFFFF" w:themeFill="background1"/>
            <w:tcMar>
              <w:top w:w="15" w:type="dxa"/>
              <w:left w:w="15" w:type="dxa"/>
              <w:right w:w="15" w:type="dxa"/>
            </w:tcMar>
            <w:vAlign w:val="center"/>
          </w:tcPr>
          <w:p w14:paraId="70FFE196"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808" w:type="dxa"/>
            <w:shd w:val="clear" w:color="auto" w:fill="FFFFFF" w:themeFill="background1"/>
            <w:tcMar>
              <w:top w:w="15" w:type="dxa"/>
              <w:left w:w="15" w:type="dxa"/>
              <w:right w:w="15" w:type="dxa"/>
            </w:tcMar>
            <w:vAlign w:val="bottom"/>
          </w:tcPr>
          <w:p w14:paraId="237E354D"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7.5</w:t>
            </w:r>
          </w:p>
        </w:tc>
        <w:tc>
          <w:tcPr>
            <w:tcW w:w="904" w:type="dxa"/>
            <w:shd w:val="clear" w:color="auto" w:fill="FFFFFF" w:themeFill="background1"/>
            <w:tcMar>
              <w:top w:w="15" w:type="dxa"/>
              <w:left w:w="15" w:type="dxa"/>
              <w:right w:w="15" w:type="dxa"/>
            </w:tcMar>
            <w:vAlign w:val="bottom"/>
          </w:tcPr>
          <w:p w14:paraId="3BCF7D8D"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730</w:t>
            </w:r>
          </w:p>
        </w:tc>
        <w:tc>
          <w:tcPr>
            <w:tcW w:w="810" w:type="dxa"/>
            <w:shd w:val="clear" w:color="auto" w:fill="D0D0D0"/>
            <w:tcMar>
              <w:top w:w="15" w:type="dxa"/>
              <w:left w:w="15" w:type="dxa"/>
              <w:right w:w="15" w:type="dxa"/>
            </w:tcMar>
            <w:vAlign w:val="bottom"/>
          </w:tcPr>
          <w:p w14:paraId="2210550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6799C57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1139C96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0034961B" w14:textId="77777777" w:rsidTr="00B77C41">
        <w:trPr>
          <w:trHeight w:val="285"/>
        </w:trPr>
        <w:tc>
          <w:tcPr>
            <w:tcW w:w="1077" w:type="dxa"/>
            <w:vAlign w:val="center"/>
          </w:tcPr>
          <w:p w14:paraId="5DAF5697"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3</w:t>
            </w:r>
          </w:p>
        </w:tc>
        <w:tc>
          <w:tcPr>
            <w:tcW w:w="1077" w:type="dxa"/>
            <w:vMerge/>
            <w:vAlign w:val="center"/>
          </w:tcPr>
          <w:p w14:paraId="2A99CFC6" w14:textId="77777777" w:rsidR="006714FF" w:rsidRDefault="006714FF" w:rsidP="00B77C41"/>
        </w:tc>
        <w:tc>
          <w:tcPr>
            <w:tcW w:w="1041" w:type="dxa"/>
            <w:vMerge/>
            <w:tcMar>
              <w:top w:w="15" w:type="dxa"/>
              <w:left w:w="15" w:type="dxa"/>
              <w:right w:w="15" w:type="dxa"/>
            </w:tcMar>
            <w:vAlign w:val="center"/>
          </w:tcPr>
          <w:p w14:paraId="69C4AE80" w14:textId="77777777" w:rsidR="006714FF" w:rsidRDefault="006714FF" w:rsidP="00B77C41"/>
        </w:tc>
        <w:tc>
          <w:tcPr>
            <w:tcW w:w="877" w:type="dxa"/>
            <w:shd w:val="clear" w:color="auto" w:fill="FFFFFF" w:themeFill="background1"/>
            <w:tcMar>
              <w:top w:w="15" w:type="dxa"/>
              <w:left w:w="15" w:type="dxa"/>
              <w:right w:w="15" w:type="dxa"/>
            </w:tcMar>
            <w:vAlign w:val="center"/>
          </w:tcPr>
          <w:p w14:paraId="396760F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FFFFFF" w:themeFill="background1"/>
            <w:tcMar>
              <w:top w:w="15" w:type="dxa"/>
              <w:left w:w="15" w:type="dxa"/>
              <w:right w:w="15" w:type="dxa"/>
            </w:tcMar>
            <w:vAlign w:val="bottom"/>
          </w:tcPr>
          <w:p w14:paraId="4DFF658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w:t>
            </w:r>
          </w:p>
        </w:tc>
        <w:tc>
          <w:tcPr>
            <w:tcW w:w="904" w:type="dxa"/>
            <w:shd w:val="clear" w:color="auto" w:fill="FFFFFF" w:themeFill="background1"/>
            <w:tcMar>
              <w:top w:w="15" w:type="dxa"/>
              <w:left w:w="15" w:type="dxa"/>
              <w:right w:w="15" w:type="dxa"/>
            </w:tcMar>
            <w:vAlign w:val="bottom"/>
          </w:tcPr>
          <w:p w14:paraId="59E6D3A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D0D0D0"/>
            <w:tcMar>
              <w:top w:w="15" w:type="dxa"/>
              <w:left w:w="15" w:type="dxa"/>
              <w:right w:w="15" w:type="dxa"/>
            </w:tcMar>
            <w:vAlign w:val="bottom"/>
          </w:tcPr>
          <w:p w14:paraId="075328F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1C57E13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72674E5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300A9CEB" w14:textId="77777777" w:rsidTr="00B77C41">
        <w:trPr>
          <w:trHeight w:val="285"/>
        </w:trPr>
        <w:tc>
          <w:tcPr>
            <w:tcW w:w="1077" w:type="dxa"/>
            <w:vAlign w:val="center"/>
          </w:tcPr>
          <w:p w14:paraId="7C6F3616"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4</w:t>
            </w:r>
          </w:p>
        </w:tc>
        <w:tc>
          <w:tcPr>
            <w:tcW w:w="1077" w:type="dxa"/>
            <w:vMerge/>
            <w:vAlign w:val="center"/>
          </w:tcPr>
          <w:p w14:paraId="517AF79B"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7579E912" w14:textId="77777777" w:rsidR="006714FF" w:rsidRDefault="006714FF" w:rsidP="00B77C41">
            <w:pPr>
              <w:jc w:val="center"/>
              <w:rPr>
                <w:rFonts w:ascii="Times New Roman" w:hAnsi="Times New Roman"/>
                <w:b/>
                <w:bCs/>
                <w:sz w:val="22"/>
                <w:szCs w:val="22"/>
              </w:rPr>
            </w:pPr>
            <w:r w:rsidRPr="57EE44F5">
              <w:rPr>
                <w:rFonts w:ascii="Times New Roman" w:hAnsi="Times New Roman"/>
                <w:b/>
                <w:bCs/>
                <w:sz w:val="22"/>
                <w:szCs w:val="22"/>
              </w:rPr>
              <w:t>Fine</w:t>
            </w:r>
          </w:p>
        </w:tc>
        <w:tc>
          <w:tcPr>
            <w:tcW w:w="877" w:type="dxa"/>
            <w:shd w:val="clear" w:color="auto" w:fill="FFFFFF" w:themeFill="background1"/>
            <w:tcMar>
              <w:top w:w="15" w:type="dxa"/>
              <w:left w:w="15" w:type="dxa"/>
              <w:right w:w="15" w:type="dxa"/>
            </w:tcMar>
            <w:vAlign w:val="center"/>
          </w:tcPr>
          <w:p w14:paraId="60EF49B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FFFFFF" w:themeFill="background1"/>
            <w:tcMar>
              <w:top w:w="15" w:type="dxa"/>
              <w:left w:w="15" w:type="dxa"/>
              <w:right w:w="15" w:type="dxa"/>
            </w:tcMar>
            <w:vAlign w:val="bottom"/>
          </w:tcPr>
          <w:p w14:paraId="56EC5DE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w:t>
            </w:r>
          </w:p>
        </w:tc>
        <w:tc>
          <w:tcPr>
            <w:tcW w:w="904" w:type="dxa"/>
            <w:shd w:val="clear" w:color="auto" w:fill="FFFFFF" w:themeFill="background1"/>
            <w:tcMar>
              <w:top w:w="15" w:type="dxa"/>
              <w:left w:w="15" w:type="dxa"/>
              <w:right w:w="15" w:type="dxa"/>
            </w:tcMar>
            <w:vAlign w:val="bottom"/>
          </w:tcPr>
          <w:p w14:paraId="44DA5D8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D0D0D0"/>
            <w:tcMar>
              <w:top w:w="15" w:type="dxa"/>
              <w:left w:w="15" w:type="dxa"/>
              <w:right w:w="15" w:type="dxa"/>
            </w:tcMar>
            <w:vAlign w:val="bottom"/>
          </w:tcPr>
          <w:p w14:paraId="0841CC6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5F4B10D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5DD0D86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5DACFED1" w14:textId="77777777" w:rsidTr="00B77C41">
        <w:trPr>
          <w:trHeight w:val="285"/>
        </w:trPr>
        <w:tc>
          <w:tcPr>
            <w:tcW w:w="1077" w:type="dxa"/>
            <w:vAlign w:val="center"/>
          </w:tcPr>
          <w:p w14:paraId="2232B160" w14:textId="77777777" w:rsidR="006714FF" w:rsidRDefault="006714FF" w:rsidP="00B77C41">
            <w:pPr>
              <w:spacing w:after="0" w:line="278" w:lineRule="auto"/>
              <w:jc w:val="center"/>
            </w:pPr>
            <w:r>
              <w:rPr>
                <w:rFonts w:ascii="Times New Roman" w:hAnsi="Times New Roman"/>
                <w:b/>
                <w:bCs/>
                <w:sz w:val="22"/>
                <w:szCs w:val="22"/>
              </w:rPr>
              <w:t>GO=</w:t>
            </w:r>
            <w:r w:rsidRPr="57EE44F5">
              <w:rPr>
                <w:rFonts w:ascii="Times New Roman" w:hAnsi="Times New Roman"/>
                <w:b/>
                <w:bCs/>
                <w:sz w:val="22"/>
                <w:szCs w:val="22"/>
              </w:rPr>
              <w:t>5</w:t>
            </w:r>
          </w:p>
        </w:tc>
        <w:tc>
          <w:tcPr>
            <w:tcW w:w="1077" w:type="dxa"/>
            <w:vMerge/>
            <w:vAlign w:val="center"/>
          </w:tcPr>
          <w:p w14:paraId="0DCB66BA" w14:textId="77777777" w:rsidR="006714FF" w:rsidRDefault="006714FF" w:rsidP="00B77C41"/>
        </w:tc>
        <w:tc>
          <w:tcPr>
            <w:tcW w:w="1041" w:type="dxa"/>
            <w:vMerge/>
            <w:tcMar>
              <w:top w:w="15" w:type="dxa"/>
              <w:left w:w="15" w:type="dxa"/>
              <w:right w:w="15" w:type="dxa"/>
            </w:tcMar>
            <w:vAlign w:val="center"/>
          </w:tcPr>
          <w:p w14:paraId="4F309F8C" w14:textId="77777777" w:rsidR="006714FF" w:rsidRDefault="006714FF" w:rsidP="00B77C41"/>
        </w:tc>
        <w:tc>
          <w:tcPr>
            <w:tcW w:w="877" w:type="dxa"/>
            <w:shd w:val="clear" w:color="auto" w:fill="FFFFFF" w:themeFill="background1"/>
            <w:tcMar>
              <w:top w:w="15" w:type="dxa"/>
              <w:left w:w="15" w:type="dxa"/>
              <w:right w:w="15" w:type="dxa"/>
            </w:tcMar>
            <w:vAlign w:val="center"/>
          </w:tcPr>
          <w:p w14:paraId="17659D9F"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Local</w:t>
            </w:r>
          </w:p>
        </w:tc>
        <w:tc>
          <w:tcPr>
            <w:tcW w:w="808" w:type="dxa"/>
            <w:shd w:val="clear" w:color="auto" w:fill="FFFFFF" w:themeFill="background1"/>
            <w:tcMar>
              <w:top w:w="15" w:type="dxa"/>
              <w:left w:w="15" w:type="dxa"/>
              <w:right w:w="15" w:type="dxa"/>
            </w:tcMar>
            <w:vAlign w:val="bottom"/>
          </w:tcPr>
          <w:p w14:paraId="305C957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w:t>
            </w:r>
          </w:p>
        </w:tc>
        <w:tc>
          <w:tcPr>
            <w:tcW w:w="904" w:type="dxa"/>
            <w:shd w:val="clear" w:color="auto" w:fill="FFFFFF" w:themeFill="background1"/>
            <w:tcMar>
              <w:top w:w="15" w:type="dxa"/>
              <w:left w:w="15" w:type="dxa"/>
              <w:right w:w="15" w:type="dxa"/>
            </w:tcMar>
            <w:vAlign w:val="bottom"/>
          </w:tcPr>
          <w:p w14:paraId="6ADF7CC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w:t>
            </w:r>
          </w:p>
        </w:tc>
        <w:tc>
          <w:tcPr>
            <w:tcW w:w="810" w:type="dxa"/>
            <w:shd w:val="clear" w:color="auto" w:fill="D0D0D0"/>
            <w:tcMar>
              <w:top w:w="15" w:type="dxa"/>
              <w:left w:w="15" w:type="dxa"/>
              <w:right w:w="15" w:type="dxa"/>
            </w:tcMar>
            <w:vAlign w:val="bottom"/>
          </w:tcPr>
          <w:p w14:paraId="1AC2CA1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3DD0A31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080C5F3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1CEA5C76" w14:textId="77777777" w:rsidTr="00B77C41">
        <w:trPr>
          <w:trHeight w:val="1155"/>
        </w:trPr>
        <w:tc>
          <w:tcPr>
            <w:tcW w:w="1077" w:type="dxa"/>
            <w:shd w:val="clear" w:color="auto" w:fill="FFFFFF" w:themeFill="background1"/>
            <w:vAlign w:val="center"/>
          </w:tcPr>
          <w:p w14:paraId="50B88937"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6</w:t>
            </w:r>
          </w:p>
        </w:tc>
        <w:tc>
          <w:tcPr>
            <w:tcW w:w="1077" w:type="dxa"/>
            <w:vMerge w:val="restart"/>
            <w:shd w:val="clear" w:color="auto" w:fill="FFFFFF" w:themeFill="background1"/>
            <w:tcMar>
              <w:top w:w="15" w:type="dxa"/>
              <w:left w:w="15" w:type="dxa"/>
              <w:right w:w="15" w:type="dxa"/>
            </w:tcMar>
            <w:vAlign w:val="center"/>
          </w:tcPr>
          <w:p w14:paraId="5274F56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LUR &amp; Temporal Kernel Smoothing</w:t>
            </w:r>
          </w:p>
        </w:tc>
        <w:tc>
          <w:tcPr>
            <w:tcW w:w="1041" w:type="dxa"/>
            <w:vMerge w:val="restart"/>
            <w:shd w:val="clear" w:color="auto" w:fill="FFFFFF" w:themeFill="background1"/>
            <w:tcMar>
              <w:top w:w="15" w:type="dxa"/>
              <w:left w:w="15" w:type="dxa"/>
              <w:right w:w="15" w:type="dxa"/>
            </w:tcMar>
            <w:vAlign w:val="center"/>
          </w:tcPr>
          <w:p w14:paraId="6BF70B8A" w14:textId="77777777" w:rsidR="006714FF" w:rsidRDefault="006714FF" w:rsidP="00B77C41">
            <w:pPr>
              <w:jc w:val="center"/>
              <w:rPr>
                <w:rFonts w:ascii="Times New Roman" w:hAnsi="Times New Roman"/>
                <w:sz w:val="22"/>
                <w:szCs w:val="22"/>
              </w:rPr>
            </w:pPr>
            <w:r w:rsidRPr="07D655FC">
              <w:rPr>
                <w:rFonts w:ascii="Times New Roman" w:hAnsi="Times New Roman"/>
                <w:sz w:val="22"/>
                <w:szCs w:val="22"/>
              </w:rPr>
              <w:t>Medium</w:t>
            </w:r>
          </w:p>
        </w:tc>
        <w:tc>
          <w:tcPr>
            <w:tcW w:w="877" w:type="dxa"/>
            <w:shd w:val="clear" w:color="auto" w:fill="FFFFFF" w:themeFill="background1"/>
            <w:tcMar>
              <w:top w:w="15" w:type="dxa"/>
              <w:left w:w="15" w:type="dxa"/>
              <w:right w:w="15" w:type="dxa"/>
            </w:tcMar>
            <w:vAlign w:val="center"/>
          </w:tcPr>
          <w:p w14:paraId="7F82A3E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808" w:type="dxa"/>
            <w:shd w:val="clear" w:color="auto" w:fill="D0D0D0"/>
            <w:tcMar>
              <w:top w:w="15" w:type="dxa"/>
              <w:left w:w="15" w:type="dxa"/>
              <w:right w:w="15" w:type="dxa"/>
            </w:tcMar>
            <w:vAlign w:val="bottom"/>
          </w:tcPr>
          <w:p w14:paraId="51D65E4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27EBE51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730</w:t>
            </w:r>
          </w:p>
        </w:tc>
        <w:tc>
          <w:tcPr>
            <w:tcW w:w="810" w:type="dxa"/>
            <w:shd w:val="clear" w:color="auto" w:fill="FFFFFF" w:themeFill="background1"/>
            <w:tcMar>
              <w:top w:w="15" w:type="dxa"/>
              <w:left w:w="15" w:type="dxa"/>
              <w:right w:w="15" w:type="dxa"/>
            </w:tcMar>
            <w:vAlign w:val="bottom"/>
          </w:tcPr>
          <w:p w14:paraId="1FC19E7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935" w:type="dxa"/>
            <w:shd w:val="clear" w:color="auto" w:fill="FFFFFF" w:themeFill="background1"/>
            <w:tcMar>
              <w:top w:w="15" w:type="dxa"/>
              <w:left w:w="15" w:type="dxa"/>
              <w:right w:w="15" w:type="dxa"/>
            </w:tcMar>
            <w:vAlign w:val="bottom"/>
          </w:tcPr>
          <w:p w14:paraId="61EA258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6EADCEF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r>
      <w:tr w:rsidR="006714FF" w14:paraId="42DD69EE" w14:textId="77777777" w:rsidTr="00B77C41">
        <w:trPr>
          <w:trHeight w:val="285"/>
        </w:trPr>
        <w:tc>
          <w:tcPr>
            <w:tcW w:w="1077" w:type="dxa"/>
            <w:vAlign w:val="center"/>
          </w:tcPr>
          <w:p w14:paraId="65E9D649"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7</w:t>
            </w:r>
          </w:p>
        </w:tc>
        <w:tc>
          <w:tcPr>
            <w:tcW w:w="1077" w:type="dxa"/>
            <w:vMerge/>
            <w:vAlign w:val="center"/>
          </w:tcPr>
          <w:p w14:paraId="56CE89EE" w14:textId="77777777" w:rsidR="006714FF" w:rsidRDefault="006714FF" w:rsidP="00B77C41"/>
        </w:tc>
        <w:tc>
          <w:tcPr>
            <w:tcW w:w="1041" w:type="dxa"/>
            <w:vMerge/>
            <w:tcMar>
              <w:top w:w="15" w:type="dxa"/>
              <w:left w:w="15" w:type="dxa"/>
              <w:right w:w="15" w:type="dxa"/>
            </w:tcMar>
            <w:vAlign w:val="center"/>
          </w:tcPr>
          <w:p w14:paraId="4C8E6061" w14:textId="77777777" w:rsidR="006714FF" w:rsidRDefault="006714FF" w:rsidP="00B77C41"/>
        </w:tc>
        <w:tc>
          <w:tcPr>
            <w:tcW w:w="877" w:type="dxa"/>
            <w:shd w:val="clear" w:color="auto" w:fill="FFFFFF" w:themeFill="background1"/>
            <w:tcMar>
              <w:top w:w="15" w:type="dxa"/>
              <w:left w:w="15" w:type="dxa"/>
              <w:right w:w="15" w:type="dxa"/>
            </w:tcMar>
            <w:vAlign w:val="center"/>
          </w:tcPr>
          <w:p w14:paraId="0D1438D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D0D0D0"/>
            <w:tcMar>
              <w:top w:w="15" w:type="dxa"/>
              <w:left w:w="15" w:type="dxa"/>
              <w:right w:w="15" w:type="dxa"/>
            </w:tcMar>
            <w:vAlign w:val="bottom"/>
          </w:tcPr>
          <w:p w14:paraId="5BD459A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7C80508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FFFFFF" w:themeFill="background1"/>
            <w:tcMar>
              <w:top w:w="15" w:type="dxa"/>
              <w:left w:w="15" w:type="dxa"/>
              <w:right w:w="15" w:type="dxa"/>
            </w:tcMar>
            <w:vAlign w:val="bottom"/>
          </w:tcPr>
          <w:p w14:paraId="619F3F3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935" w:type="dxa"/>
            <w:shd w:val="clear" w:color="auto" w:fill="FFFFFF" w:themeFill="background1"/>
            <w:tcMar>
              <w:top w:w="15" w:type="dxa"/>
              <w:left w:w="15" w:type="dxa"/>
              <w:right w:w="15" w:type="dxa"/>
            </w:tcMar>
            <w:vAlign w:val="bottom"/>
          </w:tcPr>
          <w:p w14:paraId="3548DC8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4741D03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r>
      <w:tr w:rsidR="006714FF" w14:paraId="6D05C734" w14:textId="77777777" w:rsidTr="00B77C41">
        <w:trPr>
          <w:trHeight w:val="285"/>
        </w:trPr>
        <w:tc>
          <w:tcPr>
            <w:tcW w:w="1077" w:type="dxa"/>
            <w:vAlign w:val="center"/>
          </w:tcPr>
          <w:p w14:paraId="43359FC9"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8</w:t>
            </w:r>
          </w:p>
        </w:tc>
        <w:tc>
          <w:tcPr>
            <w:tcW w:w="1077" w:type="dxa"/>
            <w:vMerge/>
            <w:vAlign w:val="center"/>
          </w:tcPr>
          <w:p w14:paraId="7B3FB111"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5578CB37" w14:textId="77777777" w:rsidR="006714FF" w:rsidRDefault="006714FF" w:rsidP="00B77C41">
            <w:pPr>
              <w:jc w:val="center"/>
              <w:rPr>
                <w:rFonts w:ascii="Times New Roman" w:hAnsi="Times New Roman"/>
                <w:sz w:val="22"/>
                <w:szCs w:val="22"/>
              </w:rPr>
            </w:pPr>
            <w:r w:rsidRPr="07D655FC">
              <w:rPr>
                <w:rFonts w:ascii="Times New Roman" w:hAnsi="Times New Roman"/>
                <w:sz w:val="22"/>
                <w:szCs w:val="22"/>
              </w:rPr>
              <w:t>Fine</w:t>
            </w:r>
          </w:p>
        </w:tc>
        <w:tc>
          <w:tcPr>
            <w:tcW w:w="877" w:type="dxa"/>
            <w:shd w:val="clear" w:color="auto" w:fill="FFFFFF" w:themeFill="background1"/>
            <w:tcMar>
              <w:top w:w="15" w:type="dxa"/>
              <w:left w:w="15" w:type="dxa"/>
              <w:right w:w="15" w:type="dxa"/>
            </w:tcMar>
            <w:vAlign w:val="center"/>
          </w:tcPr>
          <w:p w14:paraId="1618E88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D0D0D0"/>
            <w:tcMar>
              <w:top w:w="15" w:type="dxa"/>
              <w:left w:w="15" w:type="dxa"/>
              <w:right w:w="15" w:type="dxa"/>
            </w:tcMar>
            <w:vAlign w:val="bottom"/>
          </w:tcPr>
          <w:p w14:paraId="549C697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0F85DFF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FFFFFF" w:themeFill="background1"/>
            <w:tcMar>
              <w:top w:w="15" w:type="dxa"/>
              <w:left w:w="15" w:type="dxa"/>
              <w:right w:w="15" w:type="dxa"/>
            </w:tcMar>
            <w:vAlign w:val="bottom"/>
          </w:tcPr>
          <w:p w14:paraId="1DED6D8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935" w:type="dxa"/>
            <w:shd w:val="clear" w:color="auto" w:fill="FFFFFF" w:themeFill="background1"/>
            <w:tcMar>
              <w:top w:w="15" w:type="dxa"/>
              <w:left w:w="15" w:type="dxa"/>
              <w:right w:w="15" w:type="dxa"/>
            </w:tcMar>
            <w:vAlign w:val="bottom"/>
          </w:tcPr>
          <w:p w14:paraId="3890B93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231EBB5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r>
      <w:tr w:rsidR="006714FF" w14:paraId="1462AAAD" w14:textId="77777777" w:rsidTr="00B77C41">
        <w:trPr>
          <w:trHeight w:val="285"/>
        </w:trPr>
        <w:tc>
          <w:tcPr>
            <w:tcW w:w="1077" w:type="dxa"/>
            <w:vAlign w:val="center"/>
          </w:tcPr>
          <w:p w14:paraId="11B8047D"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9</w:t>
            </w:r>
          </w:p>
        </w:tc>
        <w:tc>
          <w:tcPr>
            <w:tcW w:w="1077" w:type="dxa"/>
            <w:vMerge/>
            <w:vAlign w:val="center"/>
          </w:tcPr>
          <w:p w14:paraId="5B90E6C8" w14:textId="77777777" w:rsidR="006714FF" w:rsidRDefault="006714FF" w:rsidP="00B77C41"/>
        </w:tc>
        <w:tc>
          <w:tcPr>
            <w:tcW w:w="1041" w:type="dxa"/>
            <w:vMerge/>
            <w:tcMar>
              <w:top w:w="15" w:type="dxa"/>
              <w:left w:w="15" w:type="dxa"/>
              <w:right w:w="15" w:type="dxa"/>
            </w:tcMar>
            <w:vAlign w:val="center"/>
          </w:tcPr>
          <w:p w14:paraId="60F26969" w14:textId="77777777" w:rsidR="006714FF" w:rsidRDefault="006714FF" w:rsidP="00B77C41"/>
        </w:tc>
        <w:tc>
          <w:tcPr>
            <w:tcW w:w="877" w:type="dxa"/>
            <w:shd w:val="clear" w:color="auto" w:fill="FFFFFF" w:themeFill="background1"/>
            <w:tcMar>
              <w:top w:w="15" w:type="dxa"/>
              <w:left w:w="15" w:type="dxa"/>
              <w:right w:w="15" w:type="dxa"/>
            </w:tcMar>
            <w:vAlign w:val="center"/>
          </w:tcPr>
          <w:p w14:paraId="4EC2CA6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808" w:type="dxa"/>
            <w:shd w:val="clear" w:color="auto" w:fill="D0D0D0"/>
            <w:tcMar>
              <w:top w:w="15" w:type="dxa"/>
              <w:left w:w="15" w:type="dxa"/>
              <w:right w:w="15" w:type="dxa"/>
            </w:tcMar>
            <w:vAlign w:val="bottom"/>
          </w:tcPr>
          <w:p w14:paraId="21DC4C9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1B729E3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w:t>
            </w:r>
          </w:p>
        </w:tc>
        <w:tc>
          <w:tcPr>
            <w:tcW w:w="810" w:type="dxa"/>
            <w:shd w:val="clear" w:color="auto" w:fill="FFFFFF" w:themeFill="background1"/>
            <w:tcMar>
              <w:top w:w="15" w:type="dxa"/>
              <w:left w:w="15" w:type="dxa"/>
              <w:right w:w="15" w:type="dxa"/>
            </w:tcMar>
            <w:vAlign w:val="bottom"/>
          </w:tcPr>
          <w:p w14:paraId="172C4C4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935" w:type="dxa"/>
            <w:shd w:val="clear" w:color="auto" w:fill="FFFFFF" w:themeFill="background1"/>
            <w:tcMar>
              <w:top w:w="15" w:type="dxa"/>
              <w:left w:w="15" w:type="dxa"/>
              <w:right w:w="15" w:type="dxa"/>
            </w:tcMar>
            <w:vAlign w:val="bottom"/>
          </w:tcPr>
          <w:p w14:paraId="1977A87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1E85F70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r>
    </w:tbl>
    <w:p w14:paraId="283A6E3D" w14:textId="77777777" w:rsidR="006714FF" w:rsidRDefault="006714FF" w:rsidP="006714FF">
      <w:pPr>
        <w:spacing w:after="0"/>
      </w:pPr>
    </w:p>
    <w:p w14:paraId="64A3E742" w14:textId="77777777" w:rsidR="006714FF" w:rsidRDefault="006714FF" w:rsidP="006714FF">
      <w:pPr>
        <w:spacing w:after="0"/>
      </w:pPr>
    </w:p>
    <w:p w14:paraId="7EEBCBA7" w14:textId="77777777" w:rsidR="006714FF" w:rsidRDefault="006714FF" w:rsidP="006714FF">
      <w:pPr>
        <w:spacing w:after="0"/>
      </w:pPr>
    </w:p>
    <w:p w14:paraId="36F0CF76" w14:textId="77777777" w:rsidR="006714FF" w:rsidRDefault="006714FF" w:rsidP="006714FF">
      <w:pPr>
        <w:spacing w:after="0"/>
      </w:pPr>
    </w:p>
    <w:p w14:paraId="4F53BD34" w14:textId="77777777" w:rsidR="006714FF" w:rsidRDefault="006714FF" w:rsidP="006714FF">
      <w:pPr>
        <w:spacing w:after="0"/>
      </w:pPr>
    </w:p>
    <w:p w14:paraId="5A8E5DD7" w14:textId="77777777" w:rsidR="006714FF" w:rsidRDefault="006714FF" w:rsidP="006714FF">
      <w:pPr>
        <w:spacing w:after="0"/>
      </w:pPr>
    </w:p>
    <w:p w14:paraId="22B2D4CD" w14:textId="77777777" w:rsidR="006714FF" w:rsidRDefault="006714FF" w:rsidP="006714FF">
      <w:pPr>
        <w:spacing w:after="0"/>
      </w:pPr>
    </w:p>
    <w:p w14:paraId="419A9231" w14:textId="77777777" w:rsidR="006714FF" w:rsidRDefault="006714FF" w:rsidP="006714FF">
      <w:pPr>
        <w:spacing w:after="0"/>
      </w:pPr>
    </w:p>
    <w:p w14:paraId="61E733D8" w14:textId="77777777" w:rsidR="006714FF" w:rsidRDefault="006714FF" w:rsidP="006714FF">
      <w:pPr>
        <w:spacing w:after="0"/>
      </w:pPr>
    </w:p>
    <w:p w14:paraId="7DBCE1B2" w14:textId="77777777" w:rsidR="006714FF" w:rsidRDefault="006714FF" w:rsidP="006714FF">
      <w:pPr>
        <w:spacing w:after="0"/>
      </w:pPr>
    </w:p>
    <w:p w14:paraId="522B7002" w14:textId="77777777" w:rsidR="006714FF" w:rsidRDefault="006714FF" w:rsidP="006714FF">
      <w:pPr>
        <w:spacing w:after="0"/>
      </w:pPr>
    </w:p>
    <w:p w14:paraId="6774F0CA" w14:textId="77777777" w:rsidR="006714FF" w:rsidRDefault="006714FF" w:rsidP="006714FF">
      <w:pPr>
        <w:spacing w:after="0"/>
      </w:pPr>
    </w:p>
    <w:p w14:paraId="0C465D16" w14:textId="77777777" w:rsidR="006714FF" w:rsidRDefault="006714FF" w:rsidP="006714FF">
      <w:pPr>
        <w:spacing w:after="0"/>
      </w:pPr>
    </w:p>
    <w:p w14:paraId="026DD775" w14:textId="77777777" w:rsidR="006714FF" w:rsidRPr="009E43C8" w:rsidRDefault="006714FF" w:rsidP="006714FF">
      <w:pPr>
        <w:pStyle w:val="VDTableTitle"/>
      </w:pPr>
    </w:p>
    <w:p w14:paraId="4AEF5B66" w14:textId="77777777" w:rsidR="006714FF" w:rsidRPr="009E43C8" w:rsidRDefault="006714FF" w:rsidP="006714FF">
      <w:pPr>
        <w:pStyle w:val="VDTableTitle"/>
      </w:pPr>
      <w:r w:rsidRPr="009E43C8">
        <w:rPr>
          <w:b/>
          <w:bCs/>
        </w:rPr>
        <w:lastRenderedPageBreak/>
        <w:t>Table S6.</w:t>
      </w:r>
      <w:r w:rsidRPr="009E43C8">
        <w:t xml:space="preserve"> Log-xylenes global offset parameters. Bolded global offset scenarios were used during method evaluation and determined using 3-degree RCV sensitivity analyses.</w:t>
      </w:r>
    </w:p>
    <w:tbl>
      <w:tblPr>
        <w:tblW w:w="830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077"/>
        <w:gridCol w:w="1077"/>
        <w:gridCol w:w="1041"/>
        <w:gridCol w:w="877"/>
        <w:gridCol w:w="808"/>
        <w:gridCol w:w="904"/>
        <w:gridCol w:w="810"/>
        <w:gridCol w:w="935"/>
        <w:gridCol w:w="775"/>
      </w:tblGrid>
      <w:tr w:rsidR="006714FF" w14:paraId="598585B7" w14:textId="77777777" w:rsidTr="00B77C41">
        <w:trPr>
          <w:trHeight w:val="300"/>
        </w:trPr>
        <w:tc>
          <w:tcPr>
            <w:tcW w:w="1077" w:type="dxa"/>
            <w:vMerge w:val="restart"/>
            <w:shd w:val="clear" w:color="auto" w:fill="FFFFFF" w:themeFill="background1"/>
            <w:vAlign w:val="bottom"/>
          </w:tcPr>
          <w:p w14:paraId="5B92453A" w14:textId="77777777" w:rsidR="006714FF" w:rsidRDefault="006714FF" w:rsidP="00B77C41">
            <w:pPr>
              <w:spacing w:after="0"/>
              <w:jc w:val="center"/>
              <w:rPr>
                <w:rFonts w:ascii="Times New Roman" w:hAnsi="Times New Roman"/>
                <w:sz w:val="22"/>
                <w:szCs w:val="22"/>
              </w:rPr>
            </w:pPr>
          </w:p>
          <w:p w14:paraId="1576A581" w14:textId="77777777" w:rsidR="006714FF" w:rsidRPr="57EE44F5"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Global Offset </w:t>
            </w:r>
            <w:r>
              <w:rPr>
                <w:rFonts w:ascii="Times New Roman" w:hAnsi="Times New Roman"/>
                <w:sz w:val="22"/>
                <w:szCs w:val="22"/>
              </w:rPr>
              <w:t>Name</w:t>
            </w:r>
          </w:p>
        </w:tc>
        <w:tc>
          <w:tcPr>
            <w:tcW w:w="1077" w:type="dxa"/>
            <w:vMerge w:val="restart"/>
            <w:shd w:val="clear" w:color="auto" w:fill="FFFFFF" w:themeFill="background1"/>
            <w:tcMar>
              <w:top w:w="15" w:type="dxa"/>
              <w:left w:w="15" w:type="dxa"/>
              <w:right w:w="15" w:type="dxa"/>
            </w:tcMar>
            <w:vAlign w:val="bottom"/>
          </w:tcPr>
          <w:p w14:paraId="03B7FAC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41" w:type="dxa"/>
            <w:vMerge w:val="restart"/>
            <w:shd w:val="clear" w:color="auto" w:fill="FFFFFF" w:themeFill="background1"/>
            <w:tcMar>
              <w:top w:w="15" w:type="dxa"/>
              <w:left w:w="15" w:type="dxa"/>
              <w:right w:w="15" w:type="dxa"/>
            </w:tcMar>
            <w:vAlign w:val="bottom"/>
          </w:tcPr>
          <w:p w14:paraId="441BEDD2" w14:textId="77777777" w:rsidR="006714FF" w:rsidRDefault="006714FF" w:rsidP="00B77C41">
            <w:pPr>
              <w:spacing w:after="0" w:line="278" w:lineRule="auto"/>
              <w:jc w:val="center"/>
              <w:rPr>
                <w:rFonts w:ascii="Times New Roman" w:hAnsi="Times New Roman"/>
                <w:sz w:val="22"/>
                <w:szCs w:val="22"/>
              </w:rPr>
            </w:pPr>
            <w:r w:rsidRPr="57EE44F5">
              <w:rPr>
                <w:rFonts w:ascii="Times New Roman" w:hAnsi="Times New Roman"/>
                <w:sz w:val="22"/>
                <w:szCs w:val="22"/>
              </w:rPr>
              <w:t>Global Offset Resolution</w:t>
            </w:r>
          </w:p>
        </w:tc>
        <w:tc>
          <w:tcPr>
            <w:tcW w:w="877" w:type="dxa"/>
            <w:vMerge w:val="restart"/>
            <w:shd w:val="clear" w:color="auto" w:fill="FFFFFF" w:themeFill="background1"/>
            <w:tcMar>
              <w:top w:w="15" w:type="dxa"/>
              <w:left w:w="15" w:type="dxa"/>
              <w:right w:w="15" w:type="dxa"/>
            </w:tcMar>
            <w:vAlign w:val="bottom"/>
          </w:tcPr>
          <w:p w14:paraId="7E7F691A"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712" w:type="dxa"/>
            <w:gridSpan w:val="2"/>
            <w:shd w:val="clear" w:color="auto" w:fill="FFFFFF" w:themeFill="background1"/>
            <w:vAlign w:val="center"/>
          </w:tcPr>
          <w:p w14:paraId="78F00626"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Kernel Smoothing Parameters</w:t>
            </w:r>
          </w:p>
        </w:tc>
        <w:tc>
          <w:tcPr>
            <w:tcW w:w="2520" w:type="dxa"/>
            <w:gridSpan w:val="3"/>
            <w:shd w:val="clear" w:color="auto" w:fill="FFFFFF" w:themeFill="background1"/>
            <w:tcMar>
              <w:top w:w="15" w:type="dxa"/>
              <w:left w:w="15" w:type="dxa"/>
              <w:right w:w="15" w:type="dxa"/>
            </w:tcMar>
            <w:vAlign w:val="center"/>
          </w:tcPr>
          <w:p w14:paraId="2B28DBD0"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SEDC LUR Parameters (</w:t>
            </w:r>
            <w:r w:rsidRPr="009A30AA">
              <w:rPr>
                <w:sz w:val="22"/>
                <w:szCs w:val="22"/>
              </w:rPr>
              <w:sym w:font="Symbol" w:char="F064"/>
            </w:r>
            <w:r w:rsidRPr="57EE44F5">
              <w:rPr>
                <w:rFonts w:ascii="Times New Roman" w:hAnsi="Times New Roman"/>
                <w:sz w:val="22"/>
                <w:szCs w:val="22"/>
              </w:rPr>
              <w:t>)</w:t>
            </w:r>
          </w:p>
        </w:tc>
      </w:tr>
      <w:tr w:rsidR="006714FF" w14:paraId="663275CD" w14:textId="77777777" w:rsidTr="00B77C41">
        <w:trPr>
          <w:trHeight w:val="300"/>
        </w:trPr>
        <w:tc>
          <w:tcPr>
            <w:tcW w:w="1077" w:type="dxa"/>
            <w:vMerge/>
            <w:vAlign w:val="center"/>
          </w:tcPr>
          <w:p w14:paraId="72679E6F" w14:textId="77777777" w:rsidR="006714FF" w:rsidRDefault="006714FF" w:rsidP="00B77C41"/>
        </w:tc>
        <w:tc>
          <w:tcPr>
            <w:tcW w:w="1077" w:type="dxa"/>
            <w:vMerge/>
            <w:vAlign w:val="center"/>
          </w:tcPr>
          <w:p w14:paraId="0C360A2E" w14:textId="77777777" w:rsidR="006714FF" w:rsidRDefault="006714FF" w:rsidP="00B77C41"/>
        </w:tc>
        <w:tc>
          <w:tcPr>
            <w:tcW w:w="1041" w:type="dxa"/>
            <w:vMerge/>
          </w:tcPr>
          <w:p w14:paraId="103131F3" w14:textId="77777777" w:rsidR="006714FF" w:rsidRDefault="006714FF" w:rsidP="00B77C41"/>
        </w:tc>
        <w:tc>
          <w:tcPr>
            <w:tcW w:w="877" w:type="dxa"/>
            <w:vMerge/>
            <w:vAlign w:val="center"/>
          </w:tcPr>
          <w:p w14:paraId="4A55E356" w14:textId="77777777" w:rsidR="006714FF" w:rsidRDefault="006714FF" w:rsidP="00B77C41"/>
        </w:tc>
        <w:tc>
          <w:tcPr>
            <w:tcW w:w="808" w:type="dxa"/>
            <w:shd w:val="clear" w:color="auto" w:fill="FFFFFF" w:themeFill="background1"/>
            <w:tcMar>
              <w:top w:w="15" w:type="dxa"/>
              <w:left w:w="15" w:type="dxa"/>
              <w:right w:w="15" w:type="dxa"/>
            </w:tcMar>
            <w:vAlign w:val="bottom"/>
          </w:tcPr>
          <w:p w14:paraId="5BFF2C96"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Range (deg.)</w:t>
            </w:r>
          </w:p>
        </w:tc>
        <w:tc>
          <w:tcPr>
            <w:tcW w:w="904" w:type="dxa"/>
            <w:shd w:val="clear" w:color="auto" w:fill="FFFFFF" w:themeFill="background1"/>
            <w:tcMar>
              <w:top w:w="15" w:type="dxa"/>
              <w:left w:w="15" w:type="dxa"/>
              <w:right w:w="15" w:type="dxa"/>
            </w:tcMar>
            <w:vAlign w:val="bottom"/>
          </w:tcPr>
          <w:p w14:paraId="675E683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Temporal Range (day)</w:t>
            </w:r>
          </w:p>
        </w:tc>
        <w:tc>
          <w:tcPr>
            <w:tcW w:w="810" w:type="dxa"/>
            <w:shd w:val="clear" w:color="auto" w:fill="FFFFFF" w:themeFill="background1"/>
            <w:tcMar>
              <w:top w:w="15" w:type="dxa"/>
              <w:left w:w="15" w:type="dxa"/>
              <w:right w:w="15" w:type="dxa"/>
            </w:tcMar>
            <w:vAlign w:val="bottom"/>
          </w:tcPr>
          <w:p w14:paraId="2BD1954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Point (deg.)</w:t>
            </w:r>
          </w:p>
        </w:tc>
        <w:tc>
          <w:tcPr>
            <w:tcW w:w="935" w:type="dxa"/>
            <w:shd w:val="clear" w:color="auto" w:fill="FFFFFF" w:themeFill="background1"/>
            <w:tcMar>
              <w:top w:w="15" w:type="dxa"/>
              <w:left w:w="15" w:type="dxa"/>
              <w:right w:w="15" w:type="dxa"/>
            </w:tcMar>
            <w:vAlign w:val="bottom"/>
          </w:tcPr>
          <w:p w14:paraId="225953B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Nonpoint (deg.)</w:t>
            </w:r>
          </w:p>
        </w:tc>
        <w:tc>
          <w:tcPr>
            <w:tcW w:w="775" w:type="dxa"/>
            <w:shd w:val="clear" w:color="auto" w:fill="FFFFFF" w:themeFill="background1"/>
            <w:tcMar>
              <w:top w:w="15" w:type="dxa"/>
              <w:left w:w="15" w:type="dxa"/>
              <w:right w:w="15" w:type="dxa"/>
            </w:tcMar>
            <w:vAlign w:val="bottom"/>
          </w:tcPr>
          <w:p w14:paraId="57EE25F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On road (deg.)</w:t>
            </w:r>
          </w:p>
        </w:tc>
      </w:tr>
      <w:tr w:rsidR="006714FF" w14:paraId="00B403B2" w14:textId="77777777" w:rsidTr="00B77C41">
        <w:trPr>
          <w:trHeight w:val="285"/>
        </w:trPr>
        <w:tc>
          <w:tcPr>
            <w:tcW w:w="1077" w:type="dxa"/>
            <w:shd w:val="clear" w:color="auto" w:fill="FFFFFF" w:themeFill="background1"/>
            <w:vAlign w:val="center"/>
          </w:tcPr>
          <w:p w14:paraId="38DE1EDA"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0</w:t>
            </w:r>
          </w:p>
        </w:tc>
        <w:tc>
          <w:tcPr>
            <w:tcW w:w="1077" w:type="dxa"/>
            <w:shd w:val="clear" w:color="auto" w:fill="FFFFFF" w:themeFill="background1"/>
            <w:tcMar>
              <w:top w:w="15" w:type="dxa"/>
              <w:left w:w="15" w:type="dxa"/>
              <w:right w:w="15" w:type="dxa"/>
            </w:tcMar>
            <w:vAlign w:val="center"/>
          </w:tcPr>
          <w:p w14:paraId="3C5261D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41" w:type="dxa"/>
            <w:shd w:val="clear" w:color="auto" w:fill="D0D0D0"/>
            <w:tcMar>
              <w:top w:w="15" w:type="dxa"/>
              <w:left w:w="15" w:type="dxa"/>
              <w:right w:w="15" w:type="dxa"/>
            </w:tcMar>
            <w:vAlign w:val="center"/>
          </w:tcPr>
          <w:p w14:paraId="3F7F79D9" w14:textId="77777777" w:rsidR="006714FF" w:rsidRDefault="006714FF" w:rsidP="00B77C41">
            <w:pPr>
              <w:jc w:val="center"/>
              <w:rPr>
                <w:rFonts w:ascii="Times New Roman" w:hAnsi="Times New Roman"/>
                <w:sz w:val="22"/>
                <w:szCs w:val="22"/>
              </w:rPr>
            </w:pPr>
          </w:p>
        </w:tc>
        <w:tc>
          <w:tcPr>
            <w:tcW w:w="877" w:type="dxa"/>
            <w:shd w:val="clear" w:color="auto" w:fill="D0D0D0"/>
            <w:tcMar>
              <w:top w:w="15" w:type="dxa"/>
              <w:left w:w="15" w:type="dxa"/>
              <w:right w:w="15" w:type="dxa"/>
            </w:tcMar>
            <w:vAlign w:val="center"/>
          </w:tcPr>
          <w:p w14:paraId="18725B6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808" w:type="dxa"/>
            <w:shd w:val="clear" w:color="auto" w:fill="D0D0D0"/>
            <w:tcMar>
              <w:top w:w="15" w:type="dxa"/>
              <w:left w:w="15" w:type="dxa"/>
              <w:right w:w="15" w:type="dxa"/>
            </w:tcMar>
            <w:vAlign w:val="bottom"/>
          </w:tcPr>
          <w:p w14:paraId="7628D1D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D0D0D0"/>
            <w:tcMar>
              <w:top w:w="15" w:type="dxa"/>
              <w:left w:w="15" w:type="dxa"/>
              <w:right w:w="15" w:type="dxa"/>
            </w:tcMar>
            <w:vAlign w:val="bottom"/>
          </w:tcPr>
          <w:p w14:paraId="1706D5A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810" w:type="dxa"/>
            <w:shd w:val="clear" w:color="auto" w:fill="D0D0D0"/>
            <w:tcMar>
              <w:top w:w="15" w:type="dxa"/>
              <w:left w:w="15" w:type="dxa"/>
              <w:right w:w="15" w:type="dxa"/>
            </w:tcMar>
            <w:vAlign w:val="bottom"/>
          </w:tcPr>
          <w:p w14:paraId="7C3F82D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2B8B792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20B2A6C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3101A3DF" w14:textId="77777777" w:rsidTr="00B77C41">
        <w:trPr>
          <w:trHeight w:val="285"/>
        </w:trPr>
        <w:tc>
          <w:tcPr>
            <w:tcW w:w="1077" w:type="dxa"/>
            <w:shd w:val="clear" w:color="auto" w:fill="FFFFFF" w:themeFill="background1"/>
            <w:vAlign w:val="center"/>
          </w:tcPr>
          <w:p w14:paraId="14FE8561" w14:textId="77777777" w:rsidR="006714FF"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1</w:t>
            </w:r>
          </w:p>
        </w:tc>
        <w:tc>
          <w:tcPr>
            <w:tcW w:w="1077" w:type="dxa"/>
            <w:shd w:val="clear" w:color="auto" w:fill="FFFFFF" w:themeFill="background1"/>
            <w:tcMar>
              <w:top w:w="15" w:type="dxa"/>
              <w:left w:w="15" w:type="dxa"/>
              <w:right w:w="15" w:type="dxa"/>
            </w:tcMar>
            <w:vAlign w:val="center"/>
          </w:tcPr>
          <w:p w14:paraId="034F992F" w14:textId="77777777" w:rsidR="006714FF" w:rsidRDefault="006714FF" w:rsidP="00B77C41">
            <w:pPr>
              <w:spacing w:after="0"/>
              <w:jc w:val="center"/>
              <w:rPr>
                <w:rFonts w:ascii="Times New Roman" w:hAnsi="Times New Roman"/>
                <w:b/>
                <w:bCs/>
                <w:sz w:val="22"/>
                <w:szCs w:val="22"/>
              </w:rPr>
            </w:pPr>
            <w:r>
              <w:rPr>
                <w:rFonts w:ascii="Times New Roman" w:hAnsi="Times New Roman"/>
                <w:b/>
                <w:bCs/>
                <w:sz w:val="22"/>
                <w:szCs w:val="22"/>
              </w:rPr>
              <w:t>Constant</w:t>
            </w:r>
          </w:p>
        </w:tc>
        <w:tc>
          <w:tcPr>
            <w:tcW w:w="1041" w:type="dxa"/>
            <w:shd w:val="clear" w:color="auto" w:fill="FFFFFF" w:themeFill="background1"/>
            <w:tcMar>
              <w:top w:w="15" w:type="dxa"/>
              <w:left w:w="15" w:type="dxa"/>
              <w:right w:w="15" w:type="dxa"/>
            </w:tcMar>
            <w:vAlign w:val="bottom"/>
          </w:tcPr>
          <w:p w14:paraId="1FB44EDF" w14:textId="77777777" w:rsidR="006714FF" w:rsidRPr="007A3E31" w:rsidRDefault="006714FF" w:rsidP="00B77C41">
            <w:pPr>
              <w:spacing w:after="0"/>
              <w:jc w:val="center"/>
              <w:rPr>
                <w:rFonts w:ascii="Times New Roman" w:hAnsi="Times New Roman"/>
                <w:b/>
                <w:bCs/>
                <w:sz w:val="22"/>
                <w:szCs w:val="22"/>
              </w:rPr>
            </w:pPr>
            <w:r>
              <w:rPr>
                <w:rFonts w:ascii="Times New Roman" w:hAnsi="Times New Roman"/>
                <w:b/>
                <w:bCs/>
                <w:sz w:val="22"/>
                <w:szCs w:val="22"/>
              </w:rPr>
              <w:t>Flat</w:t>
            </w:r>
          </w:p>
        </w:tc>
        <w:tc>
          <w:tcPr>
            <w:tcW w:w="877" w:type="dxa"/>
            <w:shd w:val="clear" w:color="auto" w:fill="D0D0D0"/>
            <w:tcMar>
              <w:top w:w="15" w:type="dxa"/>
              <w:left w:w="15" w:type="dxa"/>
              <w:right w:w="15" w:type="dxa"/>
            </w:tcMar>
            <w:vAlign w:val="center"/>
          </w:tcPr>
          <w:p w14:paraId="634271FA"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 xml:space="preserve"> </w:t>
            </w:r>
          </w:p>
        </w:tc>
        <w:tc>
          <w:tcPr>
            <w:tcW w:w="808" w:type="dxa"/>
            <w:shd w:val="clear" w:color="auto" w:fill="FFFFFF" w:themeFill="background1"/>
            <w:tcMar>
              <w:top w:w="15" w:type="dxa"/>
              <w:left w:w="15" w:type="dxa"/>
              <w:right w:w="15" w:type="dxa"/>
            </w:tcMar>
            <w:vAlign w:val="bottom"/>
          </w:tcPr>
          <w:p w14:paraId="071B7C6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904" w:type="dxa"/>
            <w:shd w:val="clear" w:color="auto" w:fill="FFFFFF" w:themeFill="background1"/>
            <w:tcMar>
              <w:top w:w="15" w:type="dxa"/>
              <w:left w:w="15" w:type="dxa"/>
              <w:right w:w="15" w:type="dxa"/>
            </w:tcMar>
            <w:vAlign w:val="bottom"/>
          </w:tcPr>
          <w:p w14:paraId="4480E8F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10000</w:t>
            </w:r>
          </w:p>
        </w:tc>
        <w:tc>
          <w:tcPr>
            <w:tcW w:w="810" w:type="dxa"/>
            <w:shd w:val="clear" w:color="auto" w:fill="D0D0D0"/>
            <w:tcMar>
              <w:top w:w="15" w:type="dxa"/>
              <w:left w:w="15" w:type="dxa"/>
              <w:right w:w="15" w:type="dxa"/>
            </w:tcMar>
            <w:vAlign w:val="bottom"/>
          </w:tcPr>
          <w:p w14:paraId="207537C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4BE87E3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313DF58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3DC65C69" w14:textId="77777777" w:rsidTr="00B77C41">
        <w:trPr>
          <w:trHeight w:val="1155"/>
        </w:trPr>
        <w:tc>
          <w:tcPr>
            <w:tcW w:w="1077" w:type="dxa"/>
            <w:shd w:val="clear" w:color="auto" w:fill="FFFFFF" w:themeFill="background1"/>
            <w:vAlign w:val="center"/>
          </w:tcPr>
          <w:p w14:paraId="26F87BB4" w14:textId="77777777" w:rsidR="006714FF" w:rsidRPr="57EE44F5" w:rsidRDefault="006714FF" w:rsidP="00B77C41">
            <w:pPr>
              <w:spacing w:after="0" w:line="278" w:lineRule="auto"/>
              <w:jc w:val="center"/>
              <w:rPr>
                <w:rFonts w:ascii="Times New Roman" w:hAnsi="Times New Roman"/>
                <w:b/>
                <w:bCs/>
                <w:sz w:val="22"/>
                <w:szCs w:val="22"/>
              </w:rPr>
            </w:pPr>
            <w:r>
              <w:rPr>
                <w:rFonts w:ascii="Times New Roman" w:hAnsi="Times New Roman"/>
                <w:b/>
                <w:bCs/>
                <w:sz w:val="22"/>
                <w:szCs w:val="22"/>
              </w:rPr>
              <w:t>GO=</w:t>
            </w:r>
            <w:r w:rsidRPr="57EE44F5">
              <w:rPr>
                <w:rFonts w:ascii="Times New Roman" w:hAnsi="Times New Roman"/>
                <w:b/>
                <w:bCs/>
                <w:sz w:val="22"/>
                <w:szCs w:val="22"/>
              </w:rPr>
              <w:t>2</w:t>
            </w:r>
          </w:p>
        </w:tc>
        <w:tc>
          <w:tcPr>
            <w:tcW w:w="1077" w:type="dxa"/>
            <w:vMerge w:val="restart"/>
            <w:shd w:val="clear" w:color="auto" w:fill="FFFFFF" w:themeFill="background1"/>
            <w:tcMar>
              <w:top w:w="15" w:type="dxa"/>
              <w:left w:w="15" w:type="dxa"/>
              <w:right w:w="15" w:type="dxa"/>
            </w:tcMar>
            <w:vAlign w:val="center"/>
          </w:tcPr>
          <w:p w14:paraId="25AE6C21"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&amp; Temporal Kernel Smoothing</w:t>
            </w:r>
          </w:p>
        </w:tc>
        <w:tc>
          <w:tcPr>
            <w:tcW w:w="1041" w:type="dxa"/>
            <w:vMerge w:val="restart"/>
            <w:shd w:val="clear" w:color="auto" w:fill="FFFFFF" w:themeFill="background1"/>
            <w:tcMar>
              <w:top w:w="15" w:type="dxa"/>
              <w:left w:w="15" w:type="dxa"/>
              <w:right w:w="15" w:type="dxa"/>
            </w:tcMar>
            <w:vAlign w:val="center"/>
          </w:tcPr>
          <w:p w14:paraId="2F76E942" w14:textId="77777777" w:rsidR="006714FF" w:rsidRDefault="006714FF" w:rsidP="00B77C41">
            <w:pPr>
              <w:jc w:val="center"/>
              <w:rPr>
                <w:rFonts w:ascii="Times New Roman" w:hAnsi="Times New Roman"/>
                <w:b/>
                <w:bCs/>
                <w:sz w:val="22"/>
                <w:szCs w:val="22"/>
              </w:rPr>
            </w:pPr>
            <w:r w:rsidRPr="57EE44F5">
              <w:rPr>
                <w:rFonts w:ascii="Times New Roman" w:hAnsi="Times New Roman"/>
                <w:b/>
                <w:bCs/>
                <w:sz w:val="22"/>
                <w:szCs w:val="22"/>
              </w:rPr>
              <w:t>Medium</w:t>
            </w:r>
          </w:p>
        </w:tc>
        <w:tc>
          <w:tcPr>
            <w:tcW w:w="877" w:type="dxa"/>
            <w:shd w:val="clear" w:color="auto" w:fill="FFFFFF" w:themeFill="background1"/>
            <w:tcMar>
              <w:top w:w="15" w:type="dxa"/>
              <w:left w:w="15" w:type="dxa"/>
              <w:right w:w="15" w:type="dxa"/>
            </w:tcMar>
            <w:vAlign w:val="center"/>
          </w:tcPr>
          <w:p w14:paraId="7FDF5673"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808" w:type="dxa"/>
            <w:shd w:val="clear" w:color="auto" w:fill="FFFFFF" w:themeFill="background1"/>
            <w:tcMar>
              <w:top w:w="15" w:type="dxa"/>
              <w:left w:w="15" w:type="dxa"/>
              <w:right w:w="15" w:type="dxa"/>
            </w:tcMar>
            <w:vAlign w:val="bottom"/>
          </w:tcPr>
          <w:p w14:paraId="360472F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7.5</w:t>
            </w:r>
          </w:p>
        </w:tc>
        <w:tc>
          <w:tcPr>
            <w:tcW w:w="904" w:type="dxa"/>
            <w:shd w:val="clear" w:color="auto" w:fill="FFFFFF" w:themeFill="background1"/>
            <w:tcMar>
              <w:top w:w="15" w:type="dxa"/>
              <w:left w:w="15" w:type="dxa"/>
              <w:right w:w="15" w:type="dxa"/>
            </w:tcMar>
            <w:vAlign w:val="bottom"/>
          </w:tcPr>
          <w:p w14:paraId="63BA301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730</w:t>
            </w:r>
          </w:p>
        </w:tc>
        <w:tc>
          <w:tcPr>
            <w:tcW w:w="810" w:type="dxa"/>
            <w:shd w:val="clear" w:color="auto" w:fill="D0D0D0"/>
            <w:tcMar>
              <w:top w:w="15" w:type="dxa"/>
              <w:left w:w="15" w:type="dxa"/>
              <w:right w:w="15" w:type="dxa"/>
            </w:tcMar>
            <w:vAlign w:val="bottom"/>
          </w:tcPr>
          <w:p w14:paraId="78D3A01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69B1AC5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602D1D3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0A52285E" w14:textId="77777777" w:rsidTr="00B77C41">
        <w:trPr>
          <w:trHeight w:val="285"/>
        </w:trPr>
        <w:tc>
          <w:tcPr>
            <w:tcW w:w="1077" w:type="dxa"/>
            <w:vAlign w:val="center"/>
          </w:tcPr>
          <w:p w14:paraId="7DD40008"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3</w:t>
            </w:r>
          </w:p>
        </w:tc>
        <w:tc>
          <w:tcPr>
            <w:tcW w:w="1077" w:type="dxa"/>
            <w:vMerge/>
            <w:vAlign w:val="center"/>
          </w:tcPr>
          <w:p w14:paraId="49123595" w14:textId="77777777" w:rsidR="006714FF" w:rsidRDefault="006714FF" w:rsidP="00B77C41"/>
        </w:tc>
        <w:tc>
          <w:tcPr>
            <w:tcW w:w="1041" w:type="dxa"/>
            <w:vMerge/>
            <w:tcMar>
              <w:top w:w="15" w:type="dxa"/>
              <w:left w:w="15" w:type="dxa"/>
              <w:right w:w="15" w:type="dxa"/>
            </w:tcMar>
            <w:vAlign w:val="center"/>
          </w:tcPr>
          <w:p w14:paraId="5A9E6693" w14:textId="77777777" w:rsidR="006714FF" w:rsidRDefault="006714FF" w:rsidP="00B77C41"/>
        </w:tc>
        <w:tc>
          <w:tcPr>
            <w:tcW w:w="877" w:type="dxa"/>
            <w:shd w:val="clear" w:color="auto" w:fill="FFFFFF" w:themeFill="background1"/>
            <w:tcMar>
              <w:top w:w="15" w:type="dxa"/>
              <w:left w:w="15" w:type="dxa"/>
              <w:right w:w="15" w:type="dxa"/>
            </w:tcMar>
            <w:vAlign w:val="center"/>
          </w:tcPr>
          <w:p w14:paraId="09D2004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FFFFFF" w:themeFill="background1"/>
            <w:tcMar>
              <w:top w:w="15" w:type="dxa"/>
              <w:left w:w="15" w:type="dxa"/>
              <w:right w:w="15" w:type="dxa"/>
            </w:tcMar>
            <w:vAlign w:val="bottom"/>
          </w:tcPr>
          <w:p w14:paraId="586071D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w:t>
            </w:r>
          </w:p>
        </w:tc>
        <w:tc>
          <w:tcPr>
            <w:tcW w:w="904" w:type="dxa"/>
            <w:shd w:val="clear" w:color="auto" w:fill="FFFFFF" w:themeFill="background1"/>
            <w:tcMar>
              <w:top w:w="15" w:type="dxa"/>
              <w:left w:w="15" w:type="dxa"/>
              <w:right w:w="15" w:type="dxa"/>
            </w:tcMar>
            <w:vAlign w:val="bottom"/>
          </w:tcPr>
          <w:p w14:paraId="06FC0FB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D0D0D0"/>
            <w:tcMar>
              <w:top w:w="15" w:type="dxa"/>
              <w:left w:w="15" w:type="dxa"/>
              <w:right w:w="15" w:type="dxa"/>
            </w:tcMar>
            <w:vAlign w:val="bottom"/>
          </w:tcPr>
          <w:p w14:paraId="0EF475D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53598B1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2D394D2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4335FFEF" w14:textId="77777777" w:rsidTr="00B77C41">
        <w:trPr>
          <w:trHeight w:val="285"/>
        </w:trPr>
        <w:tc>
          <w:tcPr>
            <w:tcW w:w="1077" w:type="dxa"/>
            <w:vAlign w:val="center"/>
          </w:tcPr>
          <w:p w14:paraId="0CE3450A"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4</w:t>
            </w:r>
          </w:p>
        </w:tc>
        <w:tc>
          <w:tcPr>
            <w:tcW w:w="1077" w:type="dxa"/>
            <w:vMerge/>
            <w:vAlign w:val="center"/>
          </w:tcPr>
          <w:p w14:paraId="05DC4E87"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6FBD45DD" w14:textId="77777777" w:rsidR="006714FF" w:rsidRDefault="006714FF" w:rsidP="00B77C41">
            <w:pPr>
              <w:jc w:val="center"/>
              <w:rPr>
                <w:rFonts w:ascii="Times New Roman" w:hAnsi="Times New Roman"/>
                <w:b/>
                <w:bCs/>
                <w:sz w:val="22"/>
                <w:szCs w:val="22"/>
              </w:rPr>
            </w:pPr>
            <w:r w:rsidRPr="57EE44F5">
              <w:rPr>
                <w:rFonts w:ascii="Times New Roman" w:hAnsi="Times New Roman"/>
                <w:b/>
                <w:bCs/>
                <w:sz w:val="22"/>
                <w:szCs w:val="22"/>
              </w:rPr>
              <w:t>Fine</w:t>
            </w:r>
          </w:p>
        </w:tc>
        <w:tc>
          <w:tcPr>
            <w:tcW w:w="877" w:type="dxa"/>
            <w:shd w:val="clear" w:color="auto" w:fill="FFFFFF" w:themeFill="background1"/>
            <w:tcMar>
              <w:top w:w="15" w:type="dxa"/>
              <w:left w:w="15" w:type="dxa"/>
              <w:right w:w="15" w:type="dxa"/>
            </w:tcMar>
            <w:vAlign w:val="center"/>
          </w:tcPr>
          <w:p w14:paraId="4B2E31A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FFFFFF" w:themeFill="background1"/>
            <w:tcMar>
              <w:top w:w="15" w:type="dxa"/>
              <w:left w:w="15" w:type="dxa"/>
              <w:right w:w="15" w:type="dxa"/>
            </w:tcMar>
            <w:vAlign w:val="bottom"/>
          </w:tcPr>
          <w:p w14:paraId="4633FC5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w:t>
            </w:r>
          </w:p>
        </w:tc>
        <w:tc>
          <w:tcPr>
            <w:tcW w:w="904" w:type="dxa"/>
            <w:shd w:val="clear" w:color="auto" w:fill="FFFFFF" w:themeFill="background1"/>
            <w:tcMar>
              <w:top w:w="15" w:type="dxa"/>
              <w:left w:w="15" w:type="dxa"/>
              <w:right w:w="15" w:type="dxa"/>
            </w:tcMar>
            <w:vAlign w:val="bottom"/>
          </w:tcPr>
          <w:p w14:paraId="53641DD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D0D0D0"/>
            <w:tcMar>
              <w:top w:w="15" w:type="dxa"/>
              <w:left w:w="15" w:type="dxa"/>
              <w:right w:w="15" w:type="dxa"/>
            </w:tcMar>
            <w:vAlign w:val="bottom"/>
          </w:tcPr>
          <w:p w14:paraId="42D9E6E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3C7CC47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19894C0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0BBD7B58" w14:textId="77777777" w:rsidTr="00B77C41">
        <w:trPr>
          <w:trHeight w:val="285"/>
        </w:trPr>
        <w:tc>
          <w:tcPr>
            <w:tcW w:w="1077" w:type="dxa"/>
            <w:vAlign w:val="center"/>
          </w:tcPr>
          <w:p w14:paraId="09A83C6F" w14:textId="77777777" w:rsidR="006714FF" w:rsidRDefault="006714FF" w:rsidP="00B77C41">
            <w:pPr>
              <w:spacing w:after="0" w:line="278" w:lineRule="auto"/>
              <w:jc w:val="center"/>
            </w:pPr>
            <w:r>
              <w:rPr>
                <w:rFonts w:ascii="Times New Roman" w:hAnsi="Times New Roman"/>
                <w:b/>
                <w:bCs/>
                <w:sz w:val="22"/>
                <w:szCs w:val="22"/>
              </w:rPr>
              <w:t>GO=</w:t>
            </w:r>
            <w:r w:rsidRPr="57EE44F5">
              <w:rPr>
                <w:rFonts w:ascii="Times New Roman" w:hAnsi="Times New Roman"/>
                <w:b/>
                <w:bCs/>
                <w:sz w:val="22"/>
                <w:szCs w:val="22"/>
              </w:rPr>
              <w:t>5</w:t>
            </w:r>
          </w:p>
        </w:tc>
        <w:tc>
          <w:tcPr>
            <w:tcW w:w="1077" w:type="dxa"/>
            <w:vMerge/>
            <w:vAlign w:val="center"/>
          </w:tcPr>
          <w:p w14:paraId="1623222D" w14:textId="77777777" w:rsidR="006714FF" w:rsidRDefault="006714FF" w:rsidP="00B77C41"/>
        </w:tc>
        <w:tc>
          <w:tcPr>
            <w:tcW w:w="1041" w:type="dxa"/>
            <w:vMerge/>
            <w:tcMar>
              <w:top w:w="15" w:type="dxa"/>
              <w:left w:w="15" w:type="dxa"/>
              <w:right w:w="15" w:type="dxa"/>
            </w:tcMar>
            <w:vAlign w:val="center"/>
          </w:tcPr>
          <w:p w14:paraId="5CE2E67F" w14:textId="77777777" w:rsidR="006714FF" w:rsidRDefault="006714FF" w:rsidP="00B77C41"/>
        </w:tc>
        <w:tc>
          <w:tcPr>
            <w:tcW w:w="877" w:type="dxa"/>
            <w:shd w:val="clear" w:color="auto" w:fill="FFFFFF" w:themeFill="background1"/>
            <w:tcMar>
              <w:top w:w="15" w:type="dxa"/>
              <w:left w:w="15" w:type="dxa"/>
              <w:right w:w="15" w:type="dxa"/>
            </w:tcMar>
            <w:vAlign w:val="center"/>
          </w:tcPr>
          <w:p w14:paraId="07B1814A"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Local</w:t>
            </w:r>
          </w:p>
        </w:tc>
        <w:tc>
          <w:tcPr>
            <w:tcW w:w="808" w:type="dxa"/>
            <w:shd w:val="clear" w:color="auto" w:fill="FFFFFF" w:themeFill="background1"/>
            <w:tcMar>
              <w:top w:w="15" w:type="dxa"/>
              <w:left w:w="15" w:type="dxa"/>
              <w:right w:w="15" w:type="dxa"/>
            </w:tcMar>
            <w:vAlign w:val="bottom"/>
          </w:tcPr>
          <w:p w14:paraId="3FB99D9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w:t>
            </w:r>
          </w:p>
        </w:tc>
        <w:tc>
          <w:tcPr>
            <w:tcW w:w="904" w:type="dxa"/>
            <w:shd w:val="clear" w:color="auto" w:fill="FFFFFF" w:themeFill="background1"/>
            <w:tcMar>
              <w:top w:w="15" w:type="dxa"/>
              <w:left w:w="15" w:type="dxa"/>
              <w:right w:w="15" w:type="dxa"/>
            </w:tcMar>
            <w:vAlign w:val="bottom"/>
          </w:tcPr>
          <w:p w14:paraId="4EE096E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w:t>
            </w:r>
          </w:p>
        </w:tc>
        <w:tc>
          <w:tcPr>
            <w:tcW w:w="810" w:type="dxa"/>
            <w:shd w:val="clear" w:color="auto" w:fill="D0D0D0"/>
            <w:tcMar>
              <w:top w:w="15" w:type="dxa"/>
              <w:left w:w="15" w:type="dxa"/>
              <w:right w:w="15" w:type="dxa"/>
            </w:tcMar>
            <w:vAlign w:val="bottom"/>
          </w:tcPr>
          <w:p w14:paraId="190A1A5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35" w:type="dxa"/>
            <w:shd w:val="clear" w:color="auto" w:fill="D0D0D0"/>
            <w:tcMar>
              <w:top w:w="15" w:type="dxa"/>
              <w:left w:w="15" w:type="dxa"/>
              <w:right w:w="15" w:type="dxa"/>
            </w:tcMar>
            <w:vAlign w:val="bottom"/>
          </w:tcPr>
          <w:p w14:paraId="33A0A60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775" w:type="dxa"/>
            <w:shd w:val="clear" w:color="auto" w:fill="D0D0D0"/>
            <w:tcMar>
              <w:top w:w="15" w:type="dxa"/>
              <w:left w:w="15" w:type="dxa"/>
              <w:right w:w="15" w:type="dxa"/>
            </w:tcMar>
            <w:vAlign w:val="bottom"/>
          </w:tcPr>
          <w:p w14:paraId="350E96D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r>
      <w:tr w:rsidR="006714FF" w14:paraId="0CB28812" w14:textId="77777777" w:rsidTr="00B77C41">
        <w:trPr>
          <w:trHeight w:val="1155"/>
        </w:trPr>
        <w:tc>
          <w:tcPr>
            <w:tcW w:w="1077" w:type="dxa"/>
            <w:shd w:val="clear" w:color="auto" w:fill="FFFFFF" w:themeFill="background1"/>
            <w:vAlign w:val="center"/>
          </w:tcPr>
          <w:p w14:paraId="7F318C26" w14:textId="77777777" w:rsidR="006714FF" w:rsidRPr="57EE44F5" w:rsidRDefault="006714FF" w:rsidP="00B77C41">
            <w:pPr>
              <w:spacing w:after="0" w:line="278" w:lineRule="auto"/>
              <w:jc w:val="center"/>
              <w:rPr>
                <w:rFonts w:ascii="Times New Roman" w:hAnsi="Times New Roman"/>
                <w:sz w:val="22"/>
                <w:szCs w:val="22"/>
              </w:rPr>
            </w:pPr>
            <w:r>
              <w:rPr>
                <w:rFonts w:ascii="Times New Roman" w:hAnsi="Times New Roman"/>
                <w:sz w:val="22"/>
                <w:szCs w:val="22"/>
              </w:rPr>
              <w:t>GO=</w:t>
            </w:r>
            <w:r w:rsidRPr="57EE44F5">
              <w:rPr>
                <w:rFonts w:ascii="Times New Roman" w:hAnsi="Times New Roman"/>
                <w:sz w:val="22"/>
                <w:szCs w:val="22"/>
              </w:rPr>
              <w:t>6</w:t>
            </w:r>
          </w:p>
        </w:tc>
        <w:tc>
          <w:tcPr>
            <w:tcW w:w="1077" w:type="dxa"/>
            <w:vMerge w:val="restart"/>
            <w:shd w:val="clear" w:color="auto" w:fill="FFFFFF" w:themeFill="background1"/>
            <w:tcMar>
              <w:top w:w="15" w:type="dxa"/>
              <w:left w:w="15" w:type="dxa"/>
              <w:right w:w="15" w:type="dxa"/>
            </w:tcMar>
            <w:vAlign w:val="center"/>
          </w:tcPr>
          <w:p w14:paraId="2ADA7BF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LUR &amp; Temporal Kernel Smoothing</w:t>
            </w:r>
          </w:p>
        </w:tc>
        <w:tc>
          <w:tcPr>
            <w:tcW w:w="1041" w:type="dxa"/>
            <w:vMerge w:val="restart"/>
            <w:shd w:val="clear" w:color="auto" w:fill="FFFFFF" w:themeFill="background1"/>
            <w:tcMar>
              <w:top w:w="15" w:type="dxa"/>
              <w:left w:w="15" w:type="dxa"/>
              <w:right w:w="15" w:type="dxa"/>
            </w:tcMar>
            <w:vAlign w:val="center"/>
          </w:tcPr>
          <w:p w14:paraId="1AD1F3B8" w14:textId="77777777" w:rsidR="006714FF" w:rsidRDefault="006714FF" w:rsidP="00B77C41">
            <w:pPr>
              <w:jc w:val="center"/>
              <w:rPr>
                <w:rFonts w:ascii="Times New Roman" w:hAnsi="Times New Roman"/>
                <w:sz w:val="22"/>
                <w:szCs w:val="22"/>
              </w:rPr>
            </w:pPr>
            <w:r w:rsidRPr="07D655FC">
              <w:rPr>
                <w:rFonts w:ascii="Times New Roman" w:hAnsi="Times New Roman"/>
                <w:sz w:val="22"/>
                <w:szCs w:val="22"/>
              </w:rPr>
              <w:t>Medium</w:t>
            </w:r>
          </w:p>
        </w:tc>
        <w:tc>
          <w:tcPr>
            <w:tcW w:w="877" w:type="dxa"/>
            <w:shd w:val="clear" w:color="auto" w:fill="FFFFFF" w:themeFill="background1"/>
            <w:tcMar>
              <w:top w:w="15" w:type="dxa"/>
              <w:left w:w="15" w:type="dxa"/>
              <w:right w:w="15" w:type="dxa"/>
            </w:tcMar>
            <w:vAlign w:val="center"/>
          </w:tcPr>
          <w:p w14:paraId="037F968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808" w:type="dxa"/>
            <w:shd w:val="clear" w:color="auto" w:fill="D0D0D0"/>
            <w:tcMar>
              <w:top w:w="15" w:type="dxa"/>
              <w:left w:w="15" w:type="dxa"/>
              <w:right w:w="15" w:type="dxa"/>
            </w:tcMar>
            <w:vAlign w:val="bottom"/>
          </w:tcPr>
          <w:p w14:paraId="50BEE48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4652ECC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730</w:t>
            </w:r>
          </w:p>
        </w:tc>
        <w:tc>
          <w:tcPr>
            <w:tcW w:w="810" w:type="dxa"/>
            <w:shd w:val="clear" w:color="auto" w:fill="FFFFFF" w:themeFill="background1"/>
            <w:tcMar>
              <w:top w:w="15" w:type="dxa"/>
              <w:left w:w="15" w:type="dxa"/>
              <w:right w:w="15" w:type="dxa"/>
            </w:tcMar>
            <w:vAlign w:val="bottom"/>
          </w:tcPr>
          <w:p w14:paraId="7653972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935" w:type="dxa"/>
            <w:shd w:val="clear" w:color="auto" w:fill="FFFFFF" w:themeFill="background1"/>
            <w:tcMar>
              <w:top w:w="15" w:type="dxa"/>
              <w:left w:w="15" w:type="dxa"/>
              <w:right w:w="15" w:type="dxa"/>
            </w:tcMar>
            <w:vAlign w:val="bottom"/>
          </w:tcPr>
          <w:p w14:paraId="7FDA270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6F18278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r>
      <w:tr w:rsidR="006714FF" w14:paraId="1EA447EF" w14:textId="77777777" w:rsidTr="00B77C41">
        <w:trPr>
          <w:trHeight w:val="285"/>
        </w:trPr>
        <w:tc>
          <w:tcPr>
            <w:tcW w:w="1077" w:type="dxa"/>
            <w:vAlign w:val="center"/>
          </w:tcPr>
          <w:p w14:paraId="381ADC67"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7</w:t>
            </w:r>
          </w:p>
        </w:tc>
        <w:tc>
          <w:tcPr>
            <w:tcW w:w="1077" w:type="dxa"/>
            <w:vMerge/>
            <w:vAlign w:val="center"/>
          </w:tcPr>
          <w:p w14:paraId="7986284B" w14:textId="77777777" w:rsidR="006714FF" w:rsidRDefault="006714FF" w:rsidP="00B77C41"/>
        </w:tc>
        <w:tc>
          <w:tcPr>
            <w:tcW w:w="1041" w:type="dxa"/>
            <w:vMerge/>
            <w:tcMar>
              <w:top w:w="15" w:type="dxa"/>
              <w:left w:w="15" w:type="dxa"/>
              <w:right w:w="15" w:type="dxa"/>
            </w:tcMar>
            <w:vAlign w:val="center"/>
          </w:tcPr>
          <w:p w14:paraId="2AC4AD06" w14:textId="77777777" w:rsidR="006714FF" w:rsidRDefault="006714FF" w:rsidP="00B77C41"/>
        </w:tc>
        <w:tc>
          <w:tcPr>
            <w:tcW w:w="877" w:type="dxa"/>
            <w:shd w:val="clear" w:color="auto" w:fill="FFFFFF" w:themeFill="background1"/>
            <w:tcMar>
              <w:top w:w="15" w:type="dxa"/>
              <w:left w:w="15" w:type="dxa"/>
              <w:right w:w="15" w:type="dxa"/>
            </w:tcMar>
            <w:vAlign w:val="center"/>
          </w:tcPr>
          <w:p w14:paraId="562E88A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808" w:type="dxa"/>
            <w:shd w:val="clear" w:color="auto" w:fill="D0D0D0"/>
            <w:tcMar>
              <w:top w:w="15" w:type="dxa"/>
              <w:left w:w="15" w:type="dxa"/>
              <w:right w:w="15" w:type="dxa"/>
            </w:tcMar>
            <w:vAlign w:val="bottom"/>
          </w:tcPr>
          <w:p w14:paraId="523E82A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432836A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365</w:t>
            </w:r>
          </w:p>
        </w:tc>
        <w:tc>
          <w:tcPr>
            <w:tcW w:w="810" w:type="dxa"/>
            <w:shd w:val="clear" w:color="auto" w:fill="FFFFFF" w:themeFill="background1"/>
            <w:tcMar>
              <w:top w:w="15" w:type="dxa"/>
              <w:left w:w="15" w:type="dxa"/>
              <w:right w:w="15" w:type="dxa"/>
            </w:tcMar>
            <w:vAlign w:val="bottom"/>
          </w:tcPr>
          <w:p w14:paraId="78C4D47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935" w:type="dxa"/>
            <w:shd w:val="clear" w:color="auto" w:fill="FFFFFF" w:themeFill="background1"/>
            <w:tcMar>
              <w:top w:w="15" w:type="dxa"/>
              <w:left w:w="15" w:type="dxa"/>
              <w:right w:w="15" w:type="dxa"/>
            </w:tcMar>
            <w:vAlign w:val="bottom"/>
          </w:tcPr>
          <w:p w14:paraId="3218D85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7E30511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1.25</w:t>
            </w:r>
          </w:p>
        </w:tc>
      </w:tr>
      <w:tr w:rsidR="006714FF" w14:paraId="3F5E0B0B" w14:textId="77777777" w:rsidTr="00B77C41">
        <w:trPr>
          <w:trHeight w:val="285"/>
        </w:trPr>
        <w:tc>
          <w:tcPr>
            <w:tcW w:w="1077" w:type="dxa"/>
            <w:vAlign w:val="center"/>
          </w:tcPr>
          <w:p w14:paraId="1F686E79"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8</w:t>
            </w:r>
          </w:p>
        </w:tc>
        <w:tc>
          <w:tcPr>
            <w:tcW w:w="1077" w:type="dxa"/>
            <w:vMerge/>
            <w:vAlign w:val="center"/>
          </w:tcPr>
          <w:p w14:paraId="0462D8D9" w14:textId="77777777" w:rsidR="006714FF" w:rsidRDefault="006714FF" w:rsidP="00B77C41"/>
        </w:tc>
        <w:tc>
          <w:tcPr>
            <w:tcW w:w="1041" w:type="dxa"/>
            <w:vMerge w:val="restart"/>
            <w:shd w:val="clear" w:color="auto" w:fill="FFFFFF" w:themeFill="background1"/>
            <w:tcMar>
              <w:top w:w="15" w:type="dxa"/>
              <w:left w:w="15" w:type="dxa"/>
              <w:right w:w="15" w:type="dxa"/>
            </w:tcMar>
            <w:vAlign w:val="center"/>
          </w:tcPr>
          <w:p w14:paraId="5F25BBD8" w14:textId="77777777" w:rsidR="006714FF" w:rsidRDefault="006714FF" w:rsidP="00B77C41">
            <w:pPr>
              <w:jc w:val="center"/>
              <w:rPr>
                <w:rFonts w:ascii="Times New Roman" w:hAnsi="Times New Roman"/>
                <w:sz w:val="22"/>
                <w:szCs w:val="22"/>
              </w:rPr>
            </w:pPr>
            <w:r w:rsidRPr="07D655FC">
              <w:rPr>
                <w:rFonts w:ascii="Times New Roman" w:hAnsi="Times New Roman"/>
                <w:sz w:val="22"/>
                <w:szCs w:val="22"/>
              </w:rPr>
              <w:t>Fine</w:t>
            </w:r>
          </w:p>
        </w:tc>
        <w:tc>
          <w:tcPr>
            <w:tcW w:w="877" w:type="dxa"/>
            <w:shd w:val="clear" w:color="auto" w:fill="FFFFFF" w:themeFill="background1"/>
            <w:tcMar>
              <w:top w:w="15" w:type="dxa"/>
              <w:left w:w="15" w:type="dxa"/>
              <w:right w:w="15" w:type="dxa"/>
            </w:tcMar>
            <w:vAlign w:val="center"/>
          </w:tcPr>
          <w:p w14:paraId="45A4447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808" w:type="dxa"/>
            <w:shd w:val="clear" w:color="auto" w:fill="D0D0D0"/>
            <w:tcMar>
              <w:top w:w="15" w:type="dxa"/>
              <w:left w:w="15" w:type="dxa"/>
              <w:right w:w="15" w:type="dxa"/>
            </w:tcMar>
            <w:vAlign w:val="bottom"/>
          </w:tcPr>
          <w:p w14:paraId="49E3011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24ACA45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180</w:t>
            </w:r>
          </w:p>
        </w:tc>
        <w:tc>
          <w:tcPr>
            <w:tcW w:w="810" w:type="dxa"/>
            <w:shd w:val="clear" w:color="auto" w:fill="FFFFFF" w:themeFill="background1"/>
            <w:tcMar>
              <w:top w:w="15" w:type="dxa"/>
              <w:left w:w="15" w:type="dxa"/>
              <w:right w:w="15" w:type="dxa"/>
            </w:tcMar>
            <w:vAlign w:val="bottom"/>
          </w:tcPr>
          <w:p w14:paraId="0E2A970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935" w:type="dxa"/>
            <w:shd w:val="clear" w:color="auto" w:fill="FFFFFF" w:themeFill="background1"/>
            <w:tcMar>
              <w:top w:w="15" w:type="dxa"/>
              <w:left w:w="15" w:type="dxa"/>
              <w:right w:w="15" w:type="dxa"/>
            </w:tcMar>
            <w:vAlign w:val="bottom"/>
          </w:tcPr>
          <w:p w14:paraId="12F071B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2D4807C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2.25</w:t>
            </w:r>
          </w:p>
        </w:tc>
      </w:tr>
      <w:tr w:rsidR="006714FF" w14:paraId="7AFB7856" w14:textId="77777777" w:rsidTr="00B77C41">
        <w:trPr>
          <w:trHeight w:val="285"/>
        </w:trPr>
        <w:tc>
          <w:tcPr>
            <w:tcW w:w="1077" w:type="dxa"/>
            <w:vAlign w:val="center"/>
          </w:tcPr>
          <w:p w14:paraId="15DA8AFA" w14:textId="77777777" w:rsidR="006714FF" w:rsidRDefault="006714FF" w:rsidP="00B77C41">
            <w:pPr>
              <w:spacing w:after="0" w:line="278" w:lineRule="auto"/>
              <w:jc w:val="center"/>
            </w:pPr>
            <w:r>
              <w:rPr>
                <w:rFonts w:ascii="Times New Roman" w:hAnsi="Times New Roman"/>
                <w:sz w:val="22"/>
                <w:szCs w:val="22"/>
              </w:rPr>
              <w:t>GO=</w:t>
            </w:r>
            <w:r w:rsidRPr="57EE44F5">
              <w:rPr>
                <w:rFonts w:ascii="Times New Roman" w:hAnsi="Times New Roman"/>
                <w:sz w:val="22"/>
                <w:szCs w:val="22"/>
              </w:rPr>
              <w:t>9</w:t>
            </w:r>
          </w:p>
        </w:tc>
        <w:tc>
          <w:tcPr>
            <w:tcW w:w="1077" w:type="dxa"/>
            <w:vMerge/>
            <w:vAlign w:val="center"/>
          </w:tcPr>
          <w:p w14:paraId="7C125476" w14:textId="77777777" w:rsidR="006714FF" w:rsidRDefault="006714FF" w:rsidP="00B77C41"/>
        </w:tc>
        <w:tc>
          <w:tcPr>
            <w:tcW w:w="1041" w:type="dxa"/>
            <w:vMerge/>
            <w:tcMar>
              <w:top w:w="15" w:type="dxa"/>
              <w:left w:w="15" w:type="dxa"/>
              <w:right w:w="15" w:type="dxa"/>
            </w:tcMar>
            <w:vAlign w:val="center"/>
          </w:tcPr>
          <w:p w14:paraId="663F232F" w14:textId="77777777" w:rsidR="006714FF" w:rsidRDefault="006714FF" w:rsidP="00B77C41"/>
        </w:tc>
        <w:tc>
          <w:tcPr>
            <w:tcW w:w="877" w:type="dxa"/>
            <w:shd w:val="clear" w:color="auto" w:fill="FFFFFF" w:themeFill="background1"/>
            <w:tcMar>
              <w:top w:w="15" w:type="dxa"/>
              <w:left w:w="15" w:type="dxa"/>
              <w:right w:w="15" w:type="dxa"/>
            </w:tcMar>
            <w:vAlign w:val="center"/>
          </w:tcPr>
          <w:p w14:paraId="1F35A6B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808" w:type="dxa"/>
            <w:shd w:val="clear" w:color="auto" w:fill="D0D0D0"/>
            <w:tcMar>
              <w:top w:w="15" w:type="dxa"/>
              <w:left w:w="15" w:type="dxa"/>
              <w:right w:w="15" w:type="dxa"/>
            </w:tcMar>
            <w:vAlign w:val="bottom"/>
          </w:tcPr>
          <w:p w14:paraId="68491F0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 xml:space="preserve"> </w:t>
            </w:r>
          </w:p>
        </w:tc>
        <w:tc>
          <w:tcPr>
            <w:tcW w:w="904" w:type="dxa"/>
            <w:shd w:val="clear" w:color="auto" w:fill="FFFFFF" w:themeFill="background1"/>
            <w:tcMar>
              <w:top w:w="15" w:type="dxa"/>
              <w:left w:w="15" w:type="dxa"/>
              <w:right w:w="15" w:type="dxa"/>
            </w:tcMar>
            <w:vAlign w:val="bottom"/>
          </w:tcPr>
          <w:p w14:paraId="583949D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w:t>
            </w:r>
          </w:p>
        </w:tc>
        <w:tc>
          <w:tcPr>
            <w:tcW w:w="810" w:type="dxa"/>
            <w:shd w:val="clear" w:color="auto" w:fill="FFFFFF" w:themeFill="background1"/>
            <w:tcMar>
              <w:top w:w="15" w:type="dxa"/>
              <w:left w:w="15" w:type="dxa"/>
              <w:right w:w="15" w:type="dxa"/>
            </w:tcMar>
            <w:vAlign w:val="bottom"/>
          </w:tcPr>
          <w:p w14:paraId="28D3345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935" w:type="dxa"/>
            <w:shd w:val="clear" w:color="auto" w:fill="FFFFFF" w:themeFill="background1"/>
            <w:tcMar>
              <w:top w:w="15" w:type="dxa"/>
              <w:left w:w="15" w:type="dxa"/>
              <w:right w:w="15" w:type="dxa"/>
            </w:tcMar>
            <w:vAlign w:val="bottom"/>
          </w:tcPr>
          <w:p w14:paraId="498CE3D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N/A</w:t>
            </w:r>
          </w:p>
        </w:tc>
        <w:tc>
          <w:tcPr>
            <w:tcW w:w="775" w:type="dxa"/>
            <w:shd w:val="clear" w:color="auto" w:fill="FFFFFF" w:themeFill="background1"/>
            <w:tcMar>
              <w:top w:w="15" w:type="dxa"/>
              <w:left w:w="15" w:type="dxa"/>
              <w:right w:w="15" w:type="dxa"/>
            </w:tcMar>
            <w:vAlign w:val="bottom"/>
          </w:tcPr>
          <w:p w14:paraId="3D0EC72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3.25</w:t>
            </w:r>
          </w:p>
        </w:tc>
      </w:tr>
    </w:tbl>
    <w:p w14:paraId="1C447288" w14:textId="77777777" w:rsidR="006714FF" w:rsidRDefault="006714FF" w:rsidP="006714FF">
      <w:pPr>
        <w:spacing w:after="0"/>
      </w:pPr>
    </w:p>
    <w:p w14:paraId="08EA857B" w14:textId="77777777" w:rsidR="006714FF" w:rsidRDefault="006714FF" w:rsidP="006714FF">
      <w:pPr>
        <w:spacing w:after="0"/>
      </w:pPr>
    </w:p>
    <w:p w14:paraId="280F6A65" w14:textId="77777777" w:rsidR="006714FF" w:rsidRPr="0034394B" w:rsidRDefault="006714FF" w:rsidP="006714FF">
      <w:pPr>
        <w:pStyle w:val="TESupportingInformation"/>
      </w:pPr>
      <w:r w:rsidRPr="0034394B">
        <w:t>The raw spatial and raw/smoothed temporal features of the three global offsets selected using three-degree radius cross-validation are shown for SBTEX in Figures S9-S13.</w:t>
      </w:r>
    </w:p>
    <w:p w14:paraId="72716CB2" w14:textId="77777777" w:rsidR="006714FF" w:rsidRPr="0034394B" w:rsidRDefault="006714FF" w:rsidP="006714FF">
      <w:pPr>
        <w:spacing w:after="0"/>
        <w:rPr>
          <w:sz w:val="22"/>
          <w:szCs w:val="22"/>
        </w:rPr>
      </w:pPr>
    </w:p>
    <w:p w14:paraId="0463D7DD" w14:textId="77777777" w:rsidR="006714FF" w:rsidRDefault="006714FF" w:rsidP="006714FF">
      <w:pPr>
        <w:spacing w:after="0"/>
      </w:pPr>
    </w:p>
    <w:p w14:paraId="055CDBAE" w14:textId="77777777" w:rsidR="006714FF" w:rsidRDefault="006714FF" w:rsidP="006714FF">
      <w:pPr>
        <w:spacing w:after="0"/>
      </w:pPr>
    </w:p>
    <w:p w14:paraId="566463FF" w14:textId="77777777" w:rsidR="006714FF" w:rsidRDefault="006714FF" w:rsidP="006714FF">
      <w:pPr>
        <w:spacing w:after="0"/>
      </w:pPr>
    </w:p>
    <w:p w14:paraId="645D19E8" w14:textId="77777777" w:rsidR="006714FF" w:rsidRDefault="006714FF" w:rsidP="006714FF">
      <w:pPr>
        <w:pStyle w:val="VAFigureCaption"/>
        <w:rPr>
          <w:rFonts w:ascii="Times New Roman" w:hAnsi="Times New Roman"/>
        </w:rPr>
      </w:pPr>
      <w:r>
        <w:rPr>
          <w:noProof/>
        </w:rPr>
        <w:lastRenderedPageBreak/>
        <w:drawing>
          <wp:inline distT="0" distB="0" distL="0" distR="0" wp14:anchorId="3ADF72E9" wp14:editId="07890AB1">
            <wp:extent cx="1950720" cy="1463040"/>
            <wp:effectExtent l="0" t="0" r="0" b="0"/>
            <wp:docPr id="478982908" name="Picture 478982908" descr="A red and yellow gradient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82908" name="Picture 478982908" descr="A red and yellow gradient with black dots&#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52F80807" wp14:editId="2F6BCAB2">
            <wp:extent cx="1950720" cy="1463040"/>
            <wp:effectExtent l="0" t="0" r="0" b="0"/>
            <wp:docPr id="1054148555" name="Picture 1054148555" descr="A red and yellow gradient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48555" name="Picture 1054148555" descr="A red and yellow gradient with black dots&#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38CD2477" wp14:editId="554BD073">
            <wp:extent cx="1950720" cy="1463040"/>
            <wp:effectExtent l="0" t="0" r="0" b="0"/>
            <wp:docPr id="1950167494" name="Picture 1950167494" descr="A screen 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67494" name="Picture 1950167494" descr="A screen shot of a map&#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6B83DED4" wp14:editId="5888B80C">
            <wp:extent cx="1950720" cy="1463040"/>
            <wp:effectExtent l="0" t="0" r="0" b="0"/>
            <wp:docPr id="782245324" name="Picture 782245324" descr="A graph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45324" name="Picture 782245324" descr="A graph with red lines&#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0700555A" wp14:editId="10099042">
            <wp:extent cx="1950720" cy="1463040"/>
            <wp:effectExtent l="0" t="0" r="0" b="0"/>
            <wp:docPr id="1002976837" name="Picture 1002976837" descr="A graph with red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76837" name="Picture 1002976837" descr="A graph with red lines and numbers&#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01F0DD2F" wp14:editId="59EFFD08">
            <wp:extent cx="1950720" cy="1463040"/>
            <wp:effectExtent l="0" t="0" r="0" b="0"/>
            <wp:docPr id="479133182" name="Picture 479133182" descr="A graph with red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33182" name="Picture 479133182" descr="A graph with red lines and numbers&#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62B7C52D" w14:textId="77777777" w:rsidR="006714FF" w:rsidRPr="009E43C8" w:rsidRDefault="006714FF" w:rsidP="006714FF">
      <w:pPr>
        <w:pStyle w:val="VAFigureCaption"/>
      </w:pPr>
      <w:r w:rsidRPr="009E43C8">
        <w:rPr>
          <w:b/>
          <w:bCs/>
        </w:rPr>
        <w:t>Figure S9.</w:t>
      </w:r>
      <w:r w:rsidRPr="009E43C8">
        <w:t xml:space="preserve"> Raw spatial (top row) and raw/smoothed temporal (bottom row) styrene global offsets calculated using log-styrene concentrations in the Gulf States from 2006 to 2017. Left column: flat global offset (i.e., Global Offset [GO]=1); center column: domain-wide spatial (S)/temporal (T) - kernel-smoothing (KS) (i.e., GO=2); right column: local S/T-KS (i.e., GO=5).</w:t>
      </w:r>
    </w:p>
    <w:p w14:paraId="3F143EC4" w14:textId="77777777" w:rsidR="006714FF" w:rsidRPr="009E43C8" w:rsidRDefault="006714FF" w:rsidP="006714FF">
      <w:pPr>
        <w:pStyle w:val="VAFigureCaption"/>
      </w:pPr>
    </w:p>
    <w:p w14:paraId="06B8C2DE" w14:textId="77777777" w:rsidR="006714FF" w:rsidRPr="009E43C8" w:rsidRDefault="006714FF" w:rsidP="006714FF">
      <w:pPr>
        <w:pStyle w:val="VAFigureCaption"/>
      </w:pPr>
      <w:r w:rsidRPr="009E43C8">
        <w:lastRenderedPageBreak/>
        <w:t xml:space="preserve"> </w:t>
      </w:r>
      <w:r w:rsidRPr="009E43C8">
        <w:rPr>
          <w:noProof/>
        </w:rPr>
        <w:drawing>
          <wp:inline distT="0" distB="0" distL="0" distR="0" wp14:anchorId="1AC8A969" wp14:editId="66CAF991">
            <wp:extent cx="1950720" cy="1463040"/>
            <wp:effectExtent l="0" t="0" r="0" b="0"/>
            <wp:docPr id="1916802665" name="Picture 1916802665"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802665" name="Picture 1916802665" descr="A screen shot of a graph&#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711F1F9A" wp14:editId="13D50B77">
            <wp:extent cx="1950720" cy="1463040"/>
            <wp:effectExtent l="0" t="0" r="0" b="0"/>
            <wp:docPr id="618399000" name="Picture 618399000" descr="A char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99000" name="Picture 618399000" descr="A chart of a graph&#10;&#10;Description automatically generated with medium confidenc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3D756A31" wp14:editId="6F259B43">
            <wp:extent cx="1950720" cy="1463040"/>
            <wp:effectExtent l="0" t="0" r="0" b="0"/>
            <wp:docPr id="983211375" name="Picture 983211375" descr="A char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11375" name="Picture 983211375" descr="A chart of a graph&#10;&#10;Description automatically generated with medium confidenc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7644D6FB" wp14:editId="10C23AAD">
            <wp:extent cx="1950720" cy="1463040"/>
            <wp:effectExtent l="0" t="0" r="0" b="0"/>
            <wp:docPr id="1918830532" name="Picture 1918830532" descr="A graph of a graph showing the number of tre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30532" name="Picture 1918830532" descr="A graph of a graph showing the number of trends&#10;&#10;Description automatically generated with medium confidenc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5749DD1F" wp14:editId="0651B087">
            <wp:extent cx="1950720" cy="1463040"/>
            <wp:effectExtent l="0" t="0" r="0" b="0"/>
            <wp:docPr id="1787652426" name="Picture 1787652426" descr="A graph with red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652426" name="Picture 1787652426" descr="A graph with red lines and numbers&#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00F6D662" wp14:editId="06EDEEEF">
            <wp:extent cx="1950720" cy="1463040"/>
            <wp:effectExtent l="0" t="0" r="0" b="0"/>
            <wp:docPr id="180388429" name="Picture 180388429" descr="A graph of a graph showing the temperature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8429" name="Picture 180388429" descr="A graph of a graph showing the temperature of a person&#10;&#10;Description automatically generated with medium confidenc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79187412" w14:textId="77777777" w:rsidR="006714FF" w:rsidRPr="009E43C8" w:rsidRDefault="006714FF" w:rsidP="006714FF">
      <w:pPr>
        <w:pStyle w:val="VAFigureCaption"/>
      </w:pPr>
      <w:r w:rsidRPr="009E43C8">
        <w:rPr>
          <w:b/>
          <w:bCs/>
        </w:rPr>
        <w:t>Figure S10.</w:t>
      </w:r>
      <w:r w:rsidRPr="009E43C8">
        <w:t xml:space="preserve"> Raw spatial (top row) and raw/smoothed temporal (bottom row) benzene global offsets calculated using log-benzene concentrations in the Gulf States from 2006 to 2017. Left column: flat global offset (i.e., GO=1); center column: S-land use regression (LUR) and domain-wide T-KS (i.e., GO=6); right column: S-land use regression (LUR) and semi-local T-KS (i.e., GO=5).</w:t>
      </w:r>
    </w:p>
    <w:p w14:paraId="3A29C3EF" w14:textId="77777777" w:rsidR="006714FF" w:rsidRPr="009E43C8" w:rsidRDefault="006714FF" w:rsidP="006714FF">
      <w:pPr>
        <w:pStyle w:val="VAFigureCaption"/>
      </w:pPr>
    </w:p>
    <w:p w14:paraId="6F4E8927" w14:textId="77777777" w:rsidR="006714FF" w:rsidRPr="009E43C8" w:rsidRDefault="006714FF" w:rsidP="006714FF">
      <w:pPr>
        <w:pStyle w:val="VAFigureCaption"/>
      </w:pPr>
      <w:r w:rsidRPr="009E43C8">
        <w:rPr>
          <w:noProof/>
        </w:rPr>
        <w:lastRenderedPageBreak/>
        <w:drawing>
          <wp:inline distT="0" distB="0" distL="0" distR="0" wp14:anchorId="2D5E23FB" wp14:editId="70F3E9AA">
            <wp:extent cx="1950720" cy="1463040"/>
            <wp:effectExtent l="0" t="0" r="0" b="0"/>
            <wp:docPr id="1635585450" name="Picture 1635585450" descr="A red and yellow gradient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85450" name="Picture 1635585450" descr="A red and yellow gradient with black dots&#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35E5DCC1" wp14:editId="58580A5B">
            <wp:extent cx="1950720" cy="1463040"/>
            <wp:effectExtent l="0" t="0" r="0" b="0"/>
            <wp:docPr id="2015396465" name="Picture 2015396465" descr="A red and yellow gradient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96465" name="Picture 2015396465" descr="A red and yellow gradient with black dots&#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53107B67" wp14:editId="4492189B">
            <wp:extent cx="1950720" cy="1463040"/>
            <wp:effectExtent l="0" t="0" r="0" b="0"/>
            <wp:docPr id="1618919125" name="Picture 1618919125" descr="A screen 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19125" name="Picture 1618919125" descr="A screen shot of a map&#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5073FC51" wp14:editId="33C6BA17">
            <wp:extent cx="1950720" cy="1463040"/>
            <wp:effectExtent l="0" t="0" r="0" b="0"/>
            <wp:docPr id="377549940" name="Picture 377549940" descr="A graph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49940" name="Picture 377549940" descr="A graph with red lines&#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7C3FA00E" wp14:editId="69DDDEA4">
            <wp:extent cx="1950720" cy="1463040"/>
            <wp:effectExtent l="0" t="0" r="0" b="0"/>
            <wp:docPr id="1744850940" name="Picture 1744850940" descr="A graph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50940" name="Picture 1744850940" descr="A graph with red lines&#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164747A6" wp14:editId="7FB3350E">
            <wp:extent cx="1950720" cy="1463040"/>
            <wp:effectExtent l="0" t="0" r="0" b="0"/>
            <wp:docPr id="809487440" name="Picture 809487440" descr="A graph with red lin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87440" name="Picture 809487440" descr="A graph with red lines and black text&#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32F09B80" w14:textId="77777777" w:rsidR="006714FF" w:rsidRPr="009E43C8" w:rsidRDefault="006714FF" w:rsidP="006714FF">
      <w:pPr>
        <w:pStyle w:val="VAFigureCaption"/>
      </w:pPr>
      <w:r w:rsidRPr="009E43C8">
        <w:rPr>
          <w:b/>
          <w:bCs/>
        </w:rPr>
        <w:t>Figure S11.</w:t>
      </w:r>
      <w:r w:rsidRPr="009E43C8">
        <w:t xml:space="preserve"> Raw spatial (top row) and raw/smoothed temporal (bottom row) toluene global offsets calculated using log-toluene concentrations in the Gulf States from 2006 to 2017. Left column: flat global offset (i.e., GO=1); center column: domain-wide S/T-KS (i.e., GO=2); right column: local S/T-KS (i.e., GO=5).</w:t>
      </w:r>
    </w:p>
    <w:p w14:paraId="538A3A91" w14:textId="77777777" w:rsidR="006714FF" w:rsidRPr="009E43C8" w:rsidRDefault="006714FF" w:rsidP="006714FF">
      <w:pPr>
        <w:pStyle w:val="VAFigureCaption"/>
      </w:pPr>
    </w:p>
    <w:p w14:paraId="78F5A7EF" w14:textId="77777777" w:rsidR="006714FF" w:rsidRPr="009E43C8" w:rsidRDefault="006714FF" w:rsidP="006714FF">
      <w:pPr>
        <w:pStyle w:val="VAFigureCaption"/>
      </w:pPr>
      <w:r w:rsidRPr="009E43C8">
        <w:rPr>
          <w:noProof/>
        </w:rPr>
        <w:lastRenderedPageBreak/>
        <w:drawing>
          <wp:inline distT="0" distB="0" distL="0" distR="0" wp14:anchorId="217DD669" wp14:editId="1907677A">
            <wp:extent cx="1950720" cy="1463040"/>
            <wp:effectExtent l="0" t="0" r="0" b="0"/>
            <wp:docPr id="949393158" name="Picture 949393158" descr="A chart of a red and yellow grad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93158" name="Picture 949393158" descr="A chart of a red and yellow gradient&#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09F49BFB" wp14:editId="4C1983DE">
            <wp:extent cx="1950720" cy="1463040"/>
            <wp:effectExtent l="0" t="0" r="0" b="0"/>
            <wp:docPr id="415860187" name="Picture 415860187" descr="A chart of a red yellow and black grad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60187" name="Picture 415860187" descr="A chart of a red yellow and black gradient&#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007F2B6F" wp14:editId="09E4BF9B">
            <wp:extent cx="1950720" cy="1463040"/>
            <wp:effectExtent l="0" t="0" r="0" b="0"/>
            <wp:docPr id="1715166949" name="Picture 1715166949"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66949" name="Picture 1715166949" descr="A screen shot of a graph&#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29C73CA2" wp14:editId="27975CA0">
            <wp:extent cx="1950720" cy="1463040"/>
            <wp:effectExtent l="0" t="0" r="0" b="0"/>
            <wp:docPr id="1424370466" name="Picture 1424370466" descr="A graph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70466" name="Picture 1424370466" descr="A graph with red dots&#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1F34510C" wp14:editId="74C92C41">
            <wp:extent cx="1950720" cy="1463040"/>
            <wp:effectExtent l="0" t="0" r="0" b="0"/>
            <wp:docPr id="1696967591" name="Picture 1696967591" descr="A graph with red lines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67591" name="Picture 1696967591" descr="A graph with red lines and black lines&#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24BB8476" wp14:editId="64B3BA6A">
            <wp:extent cx="1950720" cy="1463040"/>
            <wp:effectExtent l="0" t="0" r="0" b="0"/>
            <wp:docPr id="1904651219" name="Picture 1904651219" descr="A graph with red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51219" name="Picture 1904651219" descr="A graph with red lines and dots&#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0338852C" w14:textId="77777777" w:rsidR="006714FF" w:rsidRPr="009E43C8" w:rsidRDefault="006714FF" w:rsidP="006714FF">
      <w:pPr>
        <w:pStyle w:val="VAFigureCaption"/>
      </w:pPr>
      <w:r w:rsidRPr="009E43C8">
        <w:rPr>
          <w:b/>
          <w:bCs/>
        </w:rPr>
        <w:t>Figure S12.</w:t>
      </w:r>
      <w:r w:rsidRPr="009E43C8">
        <w:t xml:space="preserve"> Raw spatial (top row) and raw/smoothed temporal (bottom row) ethylbenzene global offsets calculated using log-ethylbenzene concentrations in the Gulf States from 2006 to 2017. Left column: flat global offset (i.e., GO=1); center column: domain-wide S/T-KS (i.e., GO=2); right column: local S/T-KS (i.e., GO=5).</w:t>
      </w:r>
    </w:p>
    <w:p w14:paraId="2A599A83" w14:textId="77777777" w:rsidR="006714FF" w:rsidRPr="009E43C8" w:rsidRDefault="006714FF" w:rsidP="006714FF">
      <w:pPr>
        <w:pStyle w:val="VAFigureCaption"/>
      </w:pPr>
    </w:p>
    <w:p w14:paraId="4A896FE7" w14:textId="77777777" w:rsidR="006714FF" w:rsidRPr="009E43C8" w:rsidRDefault="006714FF" w:rsidP="006714FF">
      <w:pPr>
        <w:pStyle w:val="VAFigureCaption"/>
      </w:pPr>
      <w:r w:rsidRPr="009E43C8">
        <w:rPr>
          <w:noProof/>
        </w:rPr>
        <w:lastRenderedPageBreak/>
        <w:drawing>
          <wp:inline distT="0" distB="0" distL="0" distR="0" wp14:anchorId="3C63D3DF" wp14:editId="5E0357A3">
            <wp:extent cx="1950720" cy="1463040"/>
            <wp:effectExtent l="0" t="0" r="0" b="0"/>
            <wp:docPr id="842607128" name="Picture 842607128"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07128" name="Picture 842607128" descr="A screen shot of a graph&#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64752DC5" wp14:editId="4145EDF8">
            <wp:extent cx="1950720" cy="1463040"/>
            <wp:effectExtent l="0" t="0" r="0" b="0"/>
            <wp:docPr id="833422211" name="Picture 83342221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22211" name="Picture 833422211" descr="A screen shot of a graph&#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3A6F4CF6" wp14:editId="32C71032">
            <wp:extent cx="1950720" cy="1463040"/>
            <wp:effectExtent l="0" t="0" r="0" b="0"/>
            <wp:docPr id="296613448" name="Picture 296613448" descr="A screen 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48" name="Picture 296613448" descr="A screen shot of a map&#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1BAAC280" wp14:editId="19C5247C">
            <wp:extent cx="1950720" cy="1463040"/>
            <wp:effectExtent l="0" t="0" r="0" b="0"/>
            <wp:docPr id="111083026" name="Picture 111083026" descr="A graph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3026" name="Picture 111083026" descr="A graph with red dots&#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3BC3BD1C" wp14:editId="3B15661D">
            <wp:extent cx="1950720" cy="1463040"/>
            <wp:effectExtent l="0" t="0" r="0" b="0"/>
            <wp:docPr id="836680654" name="Picture 836680654" descr="A graph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80654" name="Picture 836680654" descr="A graph with red lines&#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9E43C8">
        <w:rPr>
          <w:noProof/>
        </w:rPr>
        <w:drawing>
          <wp:inline distT="0" distB="0" distL="0" distR="0" wp14:anchorId="6AAC4C4F" wp14:editId="3EFB41CC">
            <wp:extent cx="1950720" cy="1463040"/>
            <wp:effectExtent l="0" t="0" r="0" b="0"/>
            <wp:docPr id="1605735828" name="Picture 1605735828" descr="A graph with red lines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35828" name="Picture 1605735828" descr="A graph with red lines and black dots&#10;&#10;Description automatically generated"/>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1596D95F" w14:textId="77777777" w:rsidR="006714FF" w:rsidRDefault="006714FF" w:rsidP="006714FF">
      <w:pPr>
        <w:pStyle w:val="VAFigureCaption"/>
      </w:pPr>
      <w:r w:rsidRPr="009E43C8">
        <w:rPr>
          <w:b/>
          <w:bCs/>
        </w:rPr>
        <w:t>Figure S13.</w:t>
      </w:r>
      <w:r w:rsidRPr="009E43C8">
        <w:t xml:space="preserve"> Raw spatial (top row) and raw/smoothed temporal (bottom row) xylenes global offsets calculated using log-xylenes concentrations in the Gulf States from 2006 to 2017. Left column: flat global offset (i.e., GO=1); center column: domain-wide S/T-KS (i.e., GO=2); right column: local S/T-KS (i.e., GO=5).</w:t>
      </w:r>
    </w:p>
    <w:p w14:paraId="571DCCEE" w14:textId="77777777" w:rsidR="006714FF" w:rsidRDefault="006714FF" w:rsidP="006714FF"/>
    <w:p w14:paraId="2D4BA1E0" w14:textId="77777777" w:rsidR="006714FF" w:rsidRDefault="006714FF" w:rsidP="006714FF"/>
    <w:p w14:paraId="498DD8EE" w14:textId="77777777" w:rsidR="006714FF" w:rsidRDefault="006714FF" w:rsidP="006714FF"/>
    <w:p w14:paraId="61C7F208" w14:textId="77777777" w:rsidR="006714FF" w:rsidRDefault="006714FF" w:rsidP="006714FF"/>
    <w:p w14:paraId="4E9D195D" w14:textId="77777777" w:rsidR="006714FF" w:rsidRDefault="006714FF" w:rsidP="006714FF"/>
    <w:p w14:paraId="7BE2D34F" w14:textId="77777777" w:rsidR="006714FF" w:rsidRDefault="006714FF" w:rsidP="006714FF"/>
    <w:p w14:paraId="47D16553" w14:textId="77777777" w:rsidR="006714FF" w:rsidRDefault="006714FF" w:rsidP="006714FF"/>
    <w:p w14:paraId="47290315" w14:textId="77777777" w:rsidR="006714FF" w:rsidRDefault="006714FF" w:rsidP="006714FF"/>
    <w:p w14:paraId="0B6825FB" w14:textId="77777777" w:rsidR="006714FF" w:rsidRDefault="006714FF" w:rsidP="006714FF"/>
    <w:p w14:paraId="3585D07F" w14:textId="77777777" w:rsidR="006714FF" w:rsidRPr="005D115D" w:rsidRDefault="006714FF" w:rsidP="006714FF"/>
    <w:p w14:paraId="699C6875" w14:textId="77777777" w:rsidR="006714FF" w:rsidRDefault="006714FF" w:rsidP="006714FF">
      <w:pPr>
        <w:pStyle w:val="TESupportingInformation"/>
      </w:pPr>
      <w:r w:rsidRPr="0095368D">
        <w:lastRenderedPageBreak/>
        <w:t>In step 2</w:t>
      </w:r>
      <w:r>
        <w:t xml:space="preserve"> of the BME analysis, we manually modeled the covariance of the log-transformed, offset-removed residual data</w:t>
      </w:r>
      <w:r w:rsidRPr="0095368D">
        <w:t xml:space="preserve"> </w:t>
      </w:r>
      <m:oMath>
        <m:sSub>
          <m:sSubPr>
            <m:ctrlPr>
              <w:rPr>
                <w:rFonts w:ascii="Cambria Math" w:hAnsi="Cambria Math"/>
                <w:i/>
              </w:rPr>
            </m:ctrlPr>
          </m:sSubPr>
          <m:e>
            <m:r>
              <m:rPr>
                <m:sty m:val="bi"/>
              </m:rPr>
              <w:rPr>
                <w:rFonts w:ascii="Cambria Math" w:hAnsi="Cambria Math"/>
              </w:rPr>
              <m:t>x</m:t>
            </m:r>
          </m:e>
          <m:sub>
            <m:r>
              <w:rPr>
                <w:rFonts w:ascii="Cambria Math" w:hAnsi="Cambria Math"/>
              </w:rPr>
              <m:t>h</m:t>
            </m:r>
          </m:sub>
        </m:sSub>
        <m:r>
          <w:rPr>
            <w:rFonts w:ascii="Cambria Math" w:hAnsi="Cambria Math"/>
          </w:rPr>
          <m:t>=ln(</m:t>
        </m:r>
        <m:sSub>
          <m:sSubPr>
            <m:ctrlPr>
              <w:rPr>
                <w:rFonts w:ascii="Cambria Math" w:hAnsi="Cambria Math"/>
                <w:i/>
              </w:rPr>
            </m:ctrlPr>
          </m:sSubPr>
          <m:e>
            <m:r>
              <m:rPr>
                <m:sty m:val="bi"/>
              </m:rPr>
              <w:rPr>
                <w:rFonts w:ascii="Cambria Math" w:hAnsi="Cambria Math"/>
              </w:rPr>
              <m:t>z</m:t>
            </m:r>
          </m:e>
          <m:sub>
            <m:r>
              <w:rPr>
                <w:rFonts w:ascii="Cambria Math" w:hAnsi="Cambria Math"/>
              </w:rPr>
              <m:t>h</m:t>
            </m:r>
          </m:sub>
        </m:sSub>
        <m:r>
          <w:rPr>
            <w:rFonts w:ascii="Cambria Math" w:hAnsi="Cambria Math"/>
          </w:rPr>
          <m:t>)</m:t>
        </m:r>
        <m:r>
          <m:rPr>
            <m:sty m:val="bi"/>
          </m:rP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α</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p</m:t>
            </m:r>
          </m:e>
          <m:sub>
            <m:r>
              <w:rPr>
                <w:rFonts w:ascii="Cambria Math" w:hAnsi="Cambria Math"/>
              </w:rPr>
              <m:t>h</m:t>
            </m:r>
          </m:sub>
        </m:sSub>
        <m:r>
          <w:rPr>
            <w:rFonts w:ascii="Cambria Math" w:hAnsi="Cambria Math"/>
          </w:rPr>
          <m:t>)</m:t>
        </m:r>
      </m:oMath>
      <w:r w:rsidRPr="00C93473">
        <w:rPr>
          <w:bCs/>
        </w:rPr>
        <w:t>,</w:t>
      </w:r>
      <w:r>
        <w:rPr>
          <w:b/>
        </w:rPr>
        <w:t xml:space="preserve"> </w:t>
      </w:r>
      <w:r>
        <w:t xml:space="preserve">where </w:t>
      </w:r>
      <m:oMath>
        <m:sSub>
          <m:sSubPr>
            <m:ctrlPr>
              <w:rPr>
                <w:rFonts w:ascii="Cambria Math" w:hAnsi="Cambria Math"/>
                <w:i/>
              </w:rPr>
            </m:ctrlPr>
          </m:sSubPr>
          <m:e>
            <m:r>
              <m:rPr>
                <m:sty m:val="bi"/>
              </m:rPr>
              <w:rPr>
                <w:rFonts w:ascii="Cambria Math" w:hAnsi="Cambria Math"/>
              </w:rPr>
              <m:t>z</m:t>
            </m:r>
          </m:e>
          <m:sub>
            <m:r>
              <w:rPr>
                <w:rFonts w:ascii="Cambria Math" w:hAnsi="Cambria Math"/>
              </w:rPr>
              <m:t>h</m:t>
            </m:r>
          </m:sub>
        </m:sSub>
      </m:oMath>
      <w:r>
        <w:t xml:space="preserve"> are the concentrations observed at points, and </w:t>
      </w:r>
      <m:oMath>
        <m:sSub>
          <m:sSubPr>
            <m:ctrlPr>
              <w:rPr>
                <w:rFonts w:ascii="Cambria Math" w:hAnsi="Cambria Math"/>
                <w:i/>
              </w:rPr>
            </m:ctrlPr>
          </m:sSubPr>
          <m:e>
            <m:r>
              <w:rPr>
                <w:rFonts w:ascii="Cambria Math" w:hAnsi="Cambria Math"/>
              </w:rPr>
              <m:t>o</m:t>
            </m:r>
          </m:e>
          <m:sub>
            <m:r>
              <w:rPr>
                <w:rFonts w:ascii="Cambria Math" w:hAnsi="Cambria Math"/>
              </w:rPr>
              <m:t>α</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p</m:t>
            </m:r>
          </m:e>
          <m:sub>
            <m:r>
              <w:rPr>
                <w:rFonts w:ascii="Cambria Math" w:hAnsi="Cambria Math"/>
              </w:rPr>
              <m:t>h</m:t>
            </m:r>
          </m:sub>
        </m:sSub>
        <m:r>
          <w:rPr>
            <w:rFonts w:ascii="Cambria Math" w:hAnsi="Cambria Math"/>
          </w:rPr>
          <m:t>)</m:t>
        </m:r>
      </m:oMath>
      <w:r w:rsidRPr="007F10A1">
        <w:t xml:space="preserve"> is the</w:t>
      </w:r>
      <w:r>
        <w:t xml:space="preserve"> global offset at resolution, </w:t>
      </w:r>
      <m:oMath>
        <m:r>
          <w:rPr>
            <w:rFonts w:ascii="Cambria Math" w:hAnsi="Cambria Math"/>
          </w:rPr>
          <m:t>α</m:t>
        </m:r>
      </m:oMath>
      <w:r>
        <w:t xml:space="preserve">, set to either flat, medium, or fine, as shown in boldface in Tables S2-S6. For each global offset resolution, we modeled the variability of the corresponding residual data, </w:t>
      </w:r>
      <m:oMath>
        <m:sSub>
          <m:sSubPr>
            <m:ctrlPr>
              <w:rPr>
                <w:rFonts w:ascii="Cambria Math" w:hAnsi="Cambria Math"/>
                <w:i/>
              </w:rPr>
            </m:ctrlPr>
          </m:sSubPr>
          <m:e>
            <m:r>
              <m:rPr>
                <m:sty m:val="bi"/>
              </m:rPr>
              <w:rPr>
                <w:rFonts w:ascii="Cambria Math" w:hAnsi="Cambria Math"/>
              </w:rPr>
              <m:t>x</m:t>
            </m:r>
          </m:e>
          <m:sub>
            <m:r>
              <w:rPr>
                <w:rFonts w:ascii="Cambria Math" w:hAnsi="Cambria Math"/>
              </w:rPr>
              <m:t>h</m:t>
            </m:r>
          </m:sub>
        </m:sSub>
      </m:oMath>
      <w:r>
        <w:t xml:space="preserve">, using a </w:t>
      </w:r>
      <w:r w:rsidRPr="007F10A1">
        <w:t>homogenous/stationary Space/Time Random Field (S/TRF)</w:t>
      </w:r>
      <w:r>
        <w:t>,</w:t>
      </w:r>
      <w:r w:rsidRPr="007F10A1">
        <w:t xml:space="preserve"> </w:t>
      </w:r>
      <m:oMath>
        <m:r>
          <w:rPr>
            <w:rFonts w:ascii="Cambria Math" w:hAnsi="Cambria Math"/>
          </w:rPr>
          <m:t>X(</m:t>
        </m:r>
        <m:r>
          <m:rPr>
            <m:sty m:val="bi"/>
          </m:rPr>
          <w:rPr>
            <w:rFonts w:ascii="Cambria Math" w:hAnsi="Cambria Math"/>
          </w:rPr>
          <m:t>p</m:t>
        </m:r>
        <m:r>
          <w:rPr>
            <w:rFonts w:ascii="Cambria Math" w:hAnsi="Cambria Math"/>
          </w:rPr>
          <m:t>)</m:t>
        </m:r>
      </m:oMath>
      <w:r>
        <w:t>,</w:t>
      </w:r>
      <w:r w:rsidRPr="007F10A1">
        <w:rPr>
          <w:bCs/>
        </w:rPr>
        <w:t xml:space="preserve"> with a </w:t>
      </w:r>
      <w:r w:rsidRPr="00BC13FE">
        <w:t>th</w:t>
      </w:r>
      <w:r w:rsidRPr="0034394B">
        <w:t>ree-structure exponential model as shown in equation S2,</w:t>
      </w:r>
    </w:p>
    <w:p w14:paraId="0CCB09C4" w14:textId="77777777" w:rsidR="009E0C18" w:rsidRDefault="00000000" w:rsidP="006714FF">
      <w:pPr>
        <w:pStyle w:val="TESupportingInformation"/>
        <w:ind w:firstLine="0"/>
      </w:pPr>
      <m:oMath>
        <m:sSub>
          <m:sSubPr>
            <m:ctrlPr>
              <w:rPr>
                <w:rFonts w:ascii="Cambria Math" w:hAnsi="Cambria Math"/>
                <w:iCs/>
              </w:rPr>
            </m:ctrlPr>
          </m:sSubPr>
          <m:e>
            <m:r>
              <m:rPr>
                <m:sty m:val="p"/>
              </m:rPr>
              <w:rPr>
                <w:rFonts w:ascii="Cambria Math" w:hAnsi="Cambria Math"/>
              </w:rPr>
              <m:t>c</m:t>
            </m:r>
          </m:e>
          <m:sub>
            <m:r>
              <w:rPr>
                <w:rFonts w:ascii="Cambria Math" w:hAnsi="Cambria Math"/>
              </w:rPr>
              <m:t>X</m:t>
            </m:r>
          </m:sub>
        </m:sSub>
        <m:d>
          <m:dPr>
            <m:ctrlPr>
              <w:rPr>
                <w:rFonts w:ascii="Cambria Math" w:hAnsi="Cambria Math"/>
              </w:rPr>
            </m:ctrlPr>
          </m:dPr>
          <m:e>
            <m:r>
              <w:rPr>
                <w:rFonts w:ascii="Cambria Math" w:hAnsi="Cambria Math"/>
              </w:rPr>
              <m:t>r,τ</m:t>
            </m:r>
          </m:e>
        </m:d>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X</m:t>
                </m:r>
              </m:sub>
            </m:sSub>
          </m:e>
          <m:sup>
            <m:r>
              <w:rPr>
                <w:rFonts w:ascii="Cambria Math" w:hAnsi="Cambria Math"/>
              </w:rPr>
              <m:t>2</m:t>
            </m:r>
          </m:sup>
        </m:sSup>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r>
                      <w:rPr>
                        <w:rFonts w:ascii="Cambria Math" w:hAnsi="Cambria Math"/>
                      </w:rPr>
                      <m:t>-3r</m:t>
                    </m:r>
                  </m:num>
                  <m:den>
                    <m:sSub>
                      <m:sSubPr>
                        <m:ctrlPr>
                          <w:rPr>
                            <w:rFonts w:ascii="Cambria Math" w:hAnsi="Cambria Math"/>
                          </w:rPr>
                        </m:ctrlPr>
                      </m:sSubPr>
                      <m:e>
                        <m:r>
                          <w:rPr>
                            <w:rFonts w:ascii="Cambria Math" w:hAnsi="Cambria Math"/>
                          </w:rPr>
                          <m:t>a</m:t>
                        </m:r>
                      </m:e>
                      <m:sub>
                        <m:r>
                          <w:rPr>
                            <w:rFonts w:ascii="Cambria Math" w:hAnsi="Cambria Math"/>
                          </w:rPr>
                          <m:t>r1</m:t>
                        </m:r>
                      </m:sub>
                    </m:sSub>
                  </m:den>
                </m:f>
              </m:e>
            </m:d>
          </m:e>
        </m:func>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r>
                      <w:rPr>
                        <w:rFonts w:ascii="Cambria Math" w:hAnsi="Cambria Math"/>
                      </w:rPr>
                      <m:t>-3τ</m:t>
                    </m:r>
                  </m:num>
                  <m:den>
                    <m:sSub>
                      <m:sSubPr>
                        <m:ctrlPr>
                          <w:rPr>
                            <w:rFonts w:ascii="Cambria Math" w:hAnsi="Cambria Math"/>
                          </w:rPr>
                        </m:ctrlPr>
                      </m:sSubPr>
                      <m:e>
                        <m:r>
                          <w:rPr>
                            <w:rFonts w:ascii="Cambria Math" w:hAnsi="Cambria Math"/>
                          </w:rPr>
                          <m:t>a</m:t>
                        </m:r>
                      </m:e>
                      <m:sub>
                        <m:r>
                          <w:rPr>
                            <w:rFonts w:ascii="Cambria Math" w:hAnsi="Cambria Math"/>
                          </w:rPr>
                          <m:t>τ1</m:t>
                        </m:r>
                      </m:sub>
                    </m:sSub>
                  </m:den>
                </m:f>
              </m:e>
            </m:d>
          </m:e>
        </m:func>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2</m:t>
            </m:r>
          </m:sub>
        </m:sSub>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X</m:t>
                </m:r>
              </m:sub>
            </m:sSub>
          </m:e>
          <m:sup>
            <m:r>
              <w:rPr>
                <w:rFonts w:ascii="Cambria Math" w:hAnsi="Cambria Math"/>
              </w:rPr>
              <m:t>2</m:t>
            </m:r>
          </m:sup>
        </m:sSup>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r>
                      <w:rPr>
                        <w:rFonts w:ascii="Cambria Math" w:hAnsi="Cambria Math"/>
                      </w:rPr>
                      <m:t>-3r</m:t>
                    </m:r>
                  </m:num>
                  <m:den>
                    <m:sSub>
                      <m:sSubPr>
                        <m:ctrlPr>
                          <w:rPr>
                            <w:rFonts w:ascii="Cambria Math" w:hAnsi="Cambria Math"/>
                          </w:rPr>
                        </m:ctrlPr>
                      </m:sSubPr>
                      <m:e>
                        <m:r>
                          <w:rPr>
                            <w:rFonts w:ascii="Cambria Math" w:hAnsi="Cambria Math"/>
                          </w:rPr>
                          <m:t>a</m:t>
                        </m:r>
                      </m:e>
                      <m:sub>
                        <m:r>
                          <w:rPr>
                            <w:rFonts w:ascii="Cambria Math" w:hAnsi="Cambria Math"/>
                          </w:rPr>
                          <m:t>r1</m:t>
                        </m:r>
                      </m:sub>
                    </m:sSub>
                  </m:den>
                </m:f>
              </m:e>
            </m:d>
          </m:e>
        </m:func>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r>
                      <w:rPr>
                        <w:rFonts w:ascii="Cambria Math" w:hAnsi="Cambria Math"/>
                      </w:rPr>
                      <m:t>-3τ</m:t>
                    </m:r>
                  </m:num>
                  <m:den>
                    <m:r>
                      <w:rPr>
                        <w:rFonts w:ascii="Cambria Math" w:hAnsi="Cambria Math"/>
                      </w:rPr>
                      <m:t>a</m:t>
                    </m:r>
                    <m:sSub>
                      <m:sSubPr>
                        <m:ctrlPr>
                          <w:rPr>
                            <w:rFonts w:ascii="Cambria Math" w:hAnsi="Cambria Math"/>
                          </w:rPr>
                        </m:ctrlPr>
                      </m:sSubPr>
                      <m:e>
                        <m:r>
                          <w:rPr>
                            <w:rFonts w:ascii="Cambria Math" w:hAnsi="Cambria Math"/>
                          </w:rPr>
                          <m:t>τ</m:t>
                        </m:r>
                      </m:e>
                      <m:sub>
                        <m:r>
                          <w:rPr>
                            <w:rFonts w:ascii="Cambria Math" w:hAnsi="Cambria Math"/>
                          </w:rPr>
                          <m:t>2</m:t>
                        </m:r>
                      </m:sub>
                    </m:sSub>
                  </m:den>
                </m:f>
              </m:e>
            </m:d>
          </m:e>
        </m:func>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3</m:t>
            </m:r>
          </m:sub>
        </m:sSub>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X</m:t>
                </m:r>
              </m:sub>
            </m:sSub>
          </m:e>
          <m:sup>
            <m:r>
              <w:rPr>
                <w:rFonts w:ascii="Cambria Math" w:hAnsi="Cambria Math"/>
              </w:rPr>
              <m:t>2</m:t>
            </m:r>
          </m:sup>
        </m:sSup>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r>
                      <w:rPr>
                        <w:rFonts w:ascii="Cambria Math" w:hAnsi="Cambria Math"/>
                      </w:rPr>
                      <m:t>-3r</m:t>
                    </m:r>
                  </m:num>
                  <m:den>
                    <m:sSub>
                      <m:sSubPr>
                        <m:ctrlPr>
                          <w:rPr>
                            <w:rFonts w:ascii="Cambria Math" w:hAnsi="Cambria Math"/>
                          </w:rPr>
                        </m:ctrlPr>
                      </m:sSubPr>
                      <m:e>
                        <m:r>
                          <w:rPr>
                            <w:rFonts w:ascii="Cambria Math" w:hAnsi="Cambria Math"/>
                          </w:rPr>
                          <m:t>a</m:t>
                        </m:r>
                      </m:e>
                      <m:sub>
                        <m:r>
                          <w:rPr>
                            <w:rFonts w:ascii="Cambria Math" w:hAnsi="Cambria Math"/>
                          </w:rPr>
                          <m:t>r2</m:t>
                        </m:r>
                      </m:sub>
                    </m:sSub>
                  </m:den>
                </m:f>
              </m:e>
            </m:d>
          </m:e>
        </m:func>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rPr>
                    </m:ctrlPr>
                  </m:fPr>
                  <m:num>
                    <m:r>
                      <w:rPr>
                        <w:rFonts w:ascii="Cambria Math" w:hAnsi="Cambria Math"/>
                      </w:rPr>
                      <m:t>-3τ</m:t>
                    </m:r>
                  </m:num>
                  <m:den>
                    <m:r>
                      <w:rPr>
                        <w:rFonts w:ascii="Cambria Math" w:hAnsi="Cambria Math"/>
                      </w:rPr>
                      <m:t>a</m:t>
                    </m:r>
                    <m:sSub>
                      <m:sSubPr>
                        <m:ctrlPr>
                          <w:rPr>
                            <w:rFonts w:ascii="Cambria Math" w:hAnsi="Cambria Math"/>
                          </w:rPr>
                        </m:ctrlPr>
                      </m:sSubPr>
                      <m:e>
                        <m:r>
                          <w:rPr>
                            <w:rFonts w:ascii="Cambria Math" w:hAnsi="Cambria Math"/>
                          </w:rPr>
                          <m:t>τ</m:t>
                        </m:r>
                      </m:e>
                      <m:sub>
                        <m:r>
                          <w:rPr>
                            <w:rFonts w:ascii="Cambria Math" w:hAnsi="Cambria Math"/>
                          </w:rPr>
                          <m:t>2</m:t>
                        </m:r>
                      </m:sub>
                    </m:sSub>
                  </m:den>
                </m:f>
              </m:e>
            </m:d>
          </m:e>
        </m:func>
      </m:oMath>
      <w:r w:rsidR="006714FF">
        <w:t xml:space="preserve">    </w:t>
      </w:r>
    </w:p>
    <w:p w14:paraId="306045EB" w14:textId="40836BCA" w:rsidR="006714FF" w:rsidRPr="0034394B" w:rsidRDefault="006714FF" w:rsidP="009E0C18">
      <w:pPr>
        <w:pStyle w:val="TESupportingInformation"/>
        <w:ind w:left="7200" w:firstLine="720"/>
      </w:pPr>
      <w:r w:rsidRPr="0034394B">
        <w:t>(</w:t>
      </w:r>
      <w:r>
        <w:t xml:space="preserve">Eqn. </w:t>
      </w:r>
      <w:r w:rsidRPr="0034394B">
        <w:t>S2)</w:t>
      </w:r>
    </w:p>
    <w:p w14:paraId="7867140C" w14:textId="77777777" w:rsidR="006714FF" w:rsidRDefault="006714FF" w:rsidP="009E0C18">
      <w:pPr>
        <w:pStyle w:val="TESupportingInformation"/>
        <w:ind w:firstLine="0"/>
      </w:pPr>
      <w:r w:rsidRPr="0034394B">
        <w:t xml:space="preserve">where </w:t>
      </w:r>
      <m:oMath>
        <m:sSub>
          <m:sSubPr>
            <m:ctrlPr>
              <w:rPr>
                <w:rFonts w:ascii="Cambria Math" w:hAnsi="Cambria Math"/>
                <w:iCs/>
              </w:rPr>
            </m:ctrlPr>
          </m:sSubPr>
          <m:e>
            <m:r>
              <m:rPr>
                <m:sty m:val="p"/>
              </m:rPr>
              <w:rPr>
                <w:rFonts w:ascii="Cambria Math" w:hAnsi="Cambria Math"/>
              </w:rPr>
              <m:t>c</m:t>
            </m:r>
          </m:e>
          <m:sub>
            <m:r>
              <w:rPr>
                <w:rFonts w:ascii="Cambria Math" w:hAnsi="Cambria Math"/>
              </w:rPr>
              <m:t>X</m:t>
            </m:r>
          </m:sub>
        </m:sSub>
        <m:d>
          <m:dPr>
            <m:ctrlPr>
              <w:rPr>
                <w:rFonts w:ascii="Cambria Math" w:hAnsi="Cambria Math"/>
              </w:rPr>
            </m:ctrlPr>
          </m:dPr>
          <m:e>
            <m:r>
              <w:rPr>
                <w:rFonts w:ascii="Cambria Math" w:hAnsi="Cambria Math"/>
              </w:rPr>
              <m:t>r,τ</m:t>
            </m:r>
          </m:e>
        </m:d>
      </m:oMath>
      <w:r w:rsidRPr="0034394B">
        <w:t xml:space="preserve"> is the modeled covariance; c</w:t>
      </w:r>
      <w:r w:rsidRPr="0034394B">
        <w:rPr>
          <w:vertAlign w:val="subscript"/>
        </w:rPr>
        <w:t>1</w:t>
      </w:r>
      <w:r w:rsidRPr="0034394B">
        <w:t>, c</w:t>
      </w:r>
      <w:r w:rsidRPr="0034394B">
        <w:rPr>
          <w:vertAlign w:val="subscript"/>
        </w:rPr>
        <w:t>2</w:t>
      </w:r>
      <w:r w:rsidRPr="0034394B">
        <w:t>, and c</w:t>
      </w:r>
      <w:r w:rsidRPr="0034394B">
        <w:rPr>
          <w:vertAlign w:val="subscript"/>
        </w:rPr>
        <w:t>3</w:t>
      </w:r>
      <w:r w:rsidRPr="0034394B">
        <w:t xml:space="preserve"> are the sill fractions; </w:t>
      </w:r>
      <m:oMath>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X</m:t>
                </m:r>
              </m:sub>
            </m:sSub>
          </m:e>
          <m:sup>
            <m:r>
              <w:rPr>
                <w:rFonts w:ascii="Cambria Math" w:hAnsi="Cambria Math"/>
              </w:rPr>
              <m:t>2</m:t>
            </m:r>
          </m:sup>
        </m:sSup>
      </m:oMath>
      <w:r w:rsidRPr="0034394B">
        <w:t xml:space="preserve"> is the sill ((</w:t>
      </w:r>
      <w:r>
        <w:t>log(</w:t>
      </w:r>
      <w:r w:rsidRPr="0034394B">
        <w:t>ppb)</w:t>
      </w:r>
      <w:r w:rsidRPr="0034394B">
        <w:rPr>
          <w:vertAlign w:val="superscript"/>
        </w:rPr>
        <w:t>2</w:t>
      </w:r>
      <w:r w:rsidRPr="0034394B">
        <w:t xml:space="preserve">); </w:t>
      </w:r>
      <m:oMath>
        <m:sSub>
          <m:sSubPr>
            <m:ctrlPr>
              <w:rPr>
                <w:rFonts w:ascii="Cambria Math" w:hAnsi="Cambria Math"/>
              </w:rPr>
            </m:ctrlPr>
          </m:sSubPr>
          <m:e>
            <m:r>
              <w:rPr>
                <w:rFonts w:ascii="Cambria Math" w:hAnsi="Cambria Math"/>
              </w:rPr>
              <m:t>a</m:t>
            </m:r>
          </m:e>
          <m:sub>
            <m:r>
              <w:rPr>
                <w:rFonts w:ascii="Cambria Math" w:hAnsi="Cambria Math"/>
              </w:rPr>
              <m:t>r1</m:t>
            </m:r>
          </m:sub>
        </m:sSub>
      </m:oMath>
      <w:r w:rsidRPr="0034394B">
        <w:t xml:space="preserve">  is the short spatial range (degrees); </w:t>
      </w:r>
      <m:oMath>
        <m:sSub>
          <m:sSubPr>
            <m:ctrlPr>
              <w:rPr>
                <w:rFonts w:ascii="Cambria Math" w:hAnsi="Cambria Math"/>
              </w:rPr>
            </m:ctrlPr>
          </m:sSubPr>
          <m:e>
            <m:r>
              <w:rPr>
                <w:rFonts w:ascii="Cambria Math" w:hAnsi="Cambria Math"/>
              </w:rPr>
              <m:t>a</m:t>
            </m:r>
          </m:e>
          <m:sub>
            <m:r>
              <w:rPr>
                <w:rFonts w:ascii="Cambria Math" w:hAnsi="Cambria Math"/>
              </w:rPr>
              <m:t>r2</m:t>
            </m:r>
          </m:sub>
        </m:sSub>
      </m:oMath>
      <w:r w:rsidRPr="0034394B">
        <w:t xml:space="preserve"> is the long spatial range (degrees); </w:t>
      </w:r>
      <m:oMath>
        <m:sSub>
          <m:sSubPr>
            <m:ctrlPr>
              <w:rPr>
                <w:rFonts w:ascii="Cambria Math" w:hAnsi="Cambria Math"/>
              </w:rPr>
            </m:ctrlPr>
          </m:sSubPr>
          <m:e>
            <m:r>
              <w:rPr>
                <w:rFonts w:ascii="Cambria Math" w:hAnsi="Cambria Math"/>
              </w:rPr>
              <m:t>a</m:t>
            </m:r>
          </m:e>
          <m:sub>
            <m:r>
              <w:rPr>
                <w:rFonts w:ascii="Cambria Math" w:hAnsi="Cambria Math"/>
              </w:rPr>
              <m:t>τ1</m:t>
            </m:r>
          </m:sub>
        </m:sSub>
      </m:oMath>
      <w:r w:rsidRPr="0034394B">
        <w:t xml:space="preserve"> is the short temporal range (days); </w:t>
      </w:r>
      <m:oMath>
        <m:sSub>
          <m:sSubPr>
            <m:ctrlPr>
              <w:rPr>
                <w:rFonts w:ascii="Cambria Math" w:hAnsi="Cambria Math"/>
              </w:rPr>
            </m:ctrlPr>
          </m:sSubPr>
          <m:e>
            <m:r>
              <w:rPr>
                <w:rFonts w:ascii="Cambria Math" w:hAnsi="Cambria Math"/>
              </w:rPr>
              <m:t>a</m:t>
            </m:r>
          </m:e>
          <m:sub>
            <m:r>
              <w:rPr>
                <w:rFonts w:ascii="Cambria Math" w:hAnsi="Cambria Math"/>
              </w:rPr>
              <m:t>τ2</m:t>
            </m:r>
          </m:sub>
        </m:sSub>
      </m:oMath>
      <w:r w:rsidRPr="0034394B">
        <w:t xml:space="preserve"> is the long temporal range (days); </w:t>
      </w:r>
      <w:r>
        <w:t xml:space="preserve">and </w:t>
      </w:r>
      <w:r w:rsidRPr="007F10A1">
        <w:rPr>
          <w:i/>
          <w:iCs/>
        </w:rPr>
        <w:t>r</w:t>
      </w:r>
      <w:r w:rsidRPr="0034394B">
        <w:t xml:space="preserve"> and </w:t>
      </w:r>
      <w:r w:rsidRPr="0034394B">
        <w:rPr>
          <w:rFonts w:ascii="Cambria Math" w:hAnsi="Cambria Math" w:cs="Cambria Math"/>
        </w:rPr>
        <w:t>𝜏</w:t>
      </w:r>
      <w:r w:rsidRPr="0034394B">
        <w:t xml:space="preserve"> </w:t>
      </w:r>
      <w:r>
        <w:t>are</w:t>
      </w:r>
      <w:r w:rsidRPr="0034394B">
        <w:t xml:space="preserve"> the spatial </w:t>
      </w:r>
      <w:r>
        <w:t>lag</w:t>
      </w:r>
      <w:r w:rsidRPr="0034394B">
        <w:t xml:space="preserve"> (degrees) </w:t>
      </w:r>
      <w:r>
        <w:t xml:space="preserve">and </w:t>
      </w:r>
      <w:r w:rsidRPr="0034394B">
        <w:t xml:space="preserve">temporal </w:t>
      </w:r>
      <w:r>
        <w:t>lag</w:t>
      </w:r>
      <w:r w:rsidRPr="0034394B">
        <w:t xml:space="preserve"> (days)</w:t>
      </w:r>
      <w:r>
        <w:t>, respectively,</w:t>
      </w:r>
      <w:r w:rsidRPr="0034394B">
        <w:t xml:space="preserve"> </w:t>
      </w:r>
      <w:r>
        <w:t>separating any two space/time</w:t>
      </w:r>
      <w:r w:rsidRPr="0034394B">
        <w:t xml:space="preserve"> point</w:t>
      </w:r>
      <w:r>
        <w:t>s of interest. Manual covariance fitting was performed such that the change in covariance parameters was progressive, monotonic, and gradual between global offsets to avoid large changes in parameter values. The</w:t>
      </w:r>
      <w:r w:rsidRPr="0034394B">
        <w:t xml:space="preserve"> </w:t>
      </w:r>
      <w:r>
        <w:t>c</w:t>
      </w:r>
      <w:r w:rsidRPr="0034394B">
        <w:t xml:space="preserve">ovariance model parameters </w:t>
      </w:r>
      <w:r>
        <w:t xml:space="preserve">used for each of the 10 global offsets of styrene </w:t>
      </w:r>
      <w:r w:rsidRPr="0034394B">
        <w:t>are shown in Table</w:t>
      </w:r>
      <w:r>
        <w:t xml:space="preserve"> S7, and those for </w:t>
      </w:r>
      <w:r>
        <w:rPr>
          <w:color w:val="000000" w:themeColor="text1"/>
        </w:rPr>
        <w:t>benzene, toluene, ethylbenzene, and xylenes</w:t>
      </w:r>
      <w:r w:rsidRPr="0034394B" w:rsidDel="002C75AF">
        <w:t xml:space="preserve"> </w:t>
      </w:r>
      <w:r>
        <w:t xml:space="preserve">are shown in </w:t>
      </w:r>
      <w:r w:rsidRPr="0034394B">
        <w:t>S</w:t>
      </w:r>
      <w:r>
        <w:t>8</w:t>
      </w:r>
      <w:r w:rsidRPr="0034394B">
        <w:t>-S11.</w:t>
      </w:r>
      <w:r>
        <w:t xml:space="preserve"> As can be seen from these tables, the variance </w:t>
      </w:r>
      <m:oMath>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X</m:t>
                </m:r>
              </m:sub>
            </m:sSub>
          </m:e>
          <m:sup>
            <m:r>
              <w:rPr>
                <w:rFonts w:ascii="Cambria Math" w:hAnsi="Cambria Math"/>
              </w:rPr>
              <m:t>2</m:t>
            </m:r>
          </m:sup>
        </m:sSup>
      </m:oMath>
      <w:r w:rsidRPr="0034394B">
        <w:t xml:space="preserve"> </w:t>
      </w:r>
      <w:r>
        <w:t xml:space="preserve">generally decreases from go0 to go5, indicating that finer resolution global offsets produce residual data with smaller variability. </w:t>
      </w:r>
    </w:p>
    <w:p w14:paraId="2578FBBC" w14:textId="77777777" w:rsidR="006714FF" w:rsidRDefault="006714FF" w:rsidP="006714FF"/>
    <w:p w14:paraId="2D5E1A03" w14:textId="77777777" w:rsidR="006714FF" w:rsidRDefault="006714FF" w:rsidP="006714FF"/>
    <w:p w14:paraId="0E18C035" w14:textId="77777777" w:rsidR="006714FF" w:rsidRDefault="006714FF" w:rsidP="006714FF"/>
    <w:p w14:paraId="66925FEF" w14:textId="77777777" w:rsidR="006714FF" w:rsidRPr="005D115D" w:rsidRDefault="006714FF" w:rsidP="006714FF"/>
    <w:p w14:paraId="187733E3" w14:textId="77777777" w:rsidR="006714FF" w:rsidRDefault="006714FF" w:rsidP="006714FF">
      <w:pPr>
        <w:pStyle w:val="VDTableTitle"/>
        <w:rPr>
          <w:color w:val="000000" w:themeColor="text1"/>
        </w:rPr>
      </w:pPr>
      <w:r w:rsidRPr="00E91DFB">
        <w:rPr>
          <w:b/>
          <w:bCs/>
        </w:rPr>
        <w:lastRenderedPageBreak/>
        <w:t>Table S7.</w:t>
      </w:r>
      <w:r w:rsidRPr="57EE44F5">
        <w:t xml:space="preserve"> </w:t>
      </w:r>
      <w:r>
        <w:t>Log-</w:t>
      </w:r>
      <w:r w:rsidRPr="57EE44F5">
        <w:t>styrene covariance models inputs based on selected global offset. Bolded covariance models were used during method evaluation and determined using 3-degree RCV sensitivity analyses.</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152"/>
        <w:gridCol w:w="1080"/>
        <w:gridCol w:w="1008"/>
        <w:gridCol w:w="648"/>
        <w:gridCol w:w="648"/>
        <w:gridCol w:w="648"/>
        <w:gridCol w:w="648"/>
        <w:gridCol w:w="648"/>
        <w:gridCol w:w="648"/>
        <w:gridCol w:w="648"/>
        <w:gridCol w:w="648"/>
        <w:gridCol w:w="648"/>
      </w:tblGrid>
      <w:tr w:rsidR="006714FF" w14:paraId="07E372F9" w14:textId="77777777" w:rsidTr="00B77C41">
        <w:trPr>
          <w:trHeight w:val="300"/>
        </w:trPr>
        <w:tc>
          <w:tcPr>
            <w:tcW w:w="1152" w:type="dxa"/>
            <w:vMerge w:val="restart"/>
            <w:shd w:val="clear" w:color="auto" w:fill="FFFFFF" w:themeFill="background1"/>
            <w:tcMar>
              <w:top w:w="15" w:type="dxa"/>
              <w:left w:w="15" w:type="dxa"/>
              <w:right w:w="15" w:type="dxa"/>
            </w:tcMar>
            <w:vAlign w:val="bottom"/>
          </w:tcPr>
          <w:p w14:paraId="300E39B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80" w:type="dxa"/>
            <w:vMerge w:val="restart"/>
            <w:shd w:val="clear" w:color="auto" w:fill="FFFFFF" w:themeFill="background1"/>
            <w:tcMar>
              <w:top w:w="15" w:type="dxa"/>
              <w:left w:w="15" w:type="dxa"/>
              <w:right w:w="15" w:type="dxa"/>
            </w:tcMar>
            <w:vAlign w:val="bottom"/>
          </w:tcPr>
          <w:p w14:paraId="2CC83E47"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008" w:type="dxa"/>
            <w:vMerge w:val="restart"/>
            <w:shd w:val="clear" w:color="auto" w:fill="FFFFFF" w:themeFill="background1"/>
            <w:tcMar>
              <w:top w:w="15" w:type="dxa"/>
              <w:left w:w="15" w:type="dxa"/>
              <w:right w:w="15" w:type="dxa"/>
            </w:tcMar>
            <w:vAlign w:val="bottom"/>
          </w:tcPr>
          <w:p w14:paraId="1909F0C1" w14:textId="77777777" w:rsidR="006714FF" w:rsidRDefault="00000000" w:rsidP="00B77C41">
            <w:pPr>
              <w:spacing w:after="0"/>
              <w:jc w:val="center"/>
              <w:rPr>
                <w:rFonts w:ascii="Times New Roman" w:hAnsi="Times New Roman"/>
                <w:sz w:val="22"/>
                <w:szCs w:val="22"/>
              </w:rPr>
            </w:pPr>
            <m:oMath>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X</m:t>
                      </m:r>
                    </m:sub>
                  </m:sSub>
                </m:e>
                <m:sup>
                  <m:r>
                    <w:rPr>
                      <w:rFonts w:ascii="Cambria Math" w:hAnsi="Cambria Math"/>
                      <w:sz w:val="22"/>
                      <w:szCs w:val="22"/>
                    </w:rPr>
                    <m:t>2</m:t>
                  </m:r>
                </m:sup>
              </m:sSup>
            </m:oMath>
            <w:r w:rsidR="006714FF" w:rsidRPr="57EE44F5">
              <w:rPr>
                <w:rFonts w:ascii="Times New Roman" w:hAnsi="Times New Roman"/>
                <w:sz w:val="22"/>
                <w:szCs w:val="22"/>
              </w:rPr>
              <w:t xml:space="preserve"> (</w:t>
            </w:r>
            <w:r w:rsidR="006714FF">
              <w:rPr>
                <w:rFonts w:ascii="Times New Roman" w:hAnsi="Times New Roman"/>
                <w:sz w:val="22"/>
                <w:szCs w:val="22"/>
              </w:rPr>
              <w:t>log(</w:t>
            </w:r>
            <w:r w:rsidR="006714FF" w:rsidRPr="57EE44F5">
              <w:rPr>
                <w:rFonts w:ascii="Times New Roman" w:hAnsi="Times New Roman"/>
                <w:sz w:val="22"/>
                <w:szCs w:val="22"/>
              </w:rPr>
              <w:t>ppb)</w:t>
            </w:r>
            <w:r w:rsidR="006714FF" w:rsidRPr="57EE44F5">
              <w:rPr>
                <w:rFonts w:ascii="Times New Roman" w:hAnsi="Times New Roman"/>
                <w:sz w:val="22"/>
                <w:szCs w:val="22"/>
                <w:vertAlign w:val="superscript"/>
              </w:rPr>
              <w:t>2</w:t>
            </w:r>
            <w:r w:rsidR="006714FF" w:rsidRPr="57EE44F5">
              <w:rPr>
                <w:rFonts w:ascii="Times New Roman" w:hAnsi="Times New Roman"/>
                <w:sz w:val="22"/>
                <w:szCs w:val="22"/>
              </w:rPr>
              <w:t>)</w:t>
            </w:r>
          </w:p>
        </w:tc>
        <w:tc>
          <w:tcPr>
            <w:tcW w:w="1944" w:type="dxa"/>
            <w:gridSpan w:val="3"/>
            <w:shd w:val="clear" w:color="auto" w:fill="FFFFFF" w:themeFill="background1"/>
            <w:tcMar>
              <w:top w:w="15" w:type="dxa"/>
              <w:left w:w="15" w:type="dxa"/>
              <w:right w:w="15" w:type="dxa"/>
            </w:tcMar>
            <w:vAlign w:val="bottom"/>
          </w:tcPr>
          <w:p w14:paraId="2D65D01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1 (exp.)</w:t>
            </w:r>
          </w:p>
        </w:tc>
        <w:tc>
          <w:tcPr>
            <w:tcW w:w="1944" w:type="dxa"/>
            <w:gridSpan w:val="3"/>
            <w:shd w:val="clear" w:color="auto" w:fill="FFFFFF" w:themeFill="background1"/>
            <w:tcMar>
              <w:top w:w="15" w:type="dxa"/>
              <w:left w:w="15" w:type="dxa"/>
              <w:right w:w="15" w:type="dxa"/>
            </w:tcMar>
            <w:vAlign w:val="bottom"/>
          </w:tcPr>
          <w:p w14:paraId="35EDC49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2 (exp.)</w:t>
            </w:r>
          </w:p>
        </w:tc>
        <w:tc>
          <w:tcPr>
            <w:tcW w:w="1944" w:type="dxa"/>
            <w:gridSpan w:val="3"/>
            <w:shd w:val="clear" w:color="auto" w:fill="FFFFFF" w:themeFill="background1"/>
            <w:tcMar>
              <w:top w:w="15" w:type="dxa"/>
              <w:left w:w="15" w:type="dxa"/>
              <w:right w:w="15" w:type="dxa"/>
            </w:tcMar>
            <w:vAlign w:val="bottom"/>
          </w:tcPr>
          <w:p w14:paraId="7D9CEAA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3 (exp.)</w:t>
            </w:r>
          </w:p>
        </w:tc>
      </w:tr>
      <w:tr w:rsidR="006714FF" w14:paraId="11B6298D" w14:textId="77777777" w:rsidTr="00B77C41">
        <w:trPr>
          <w:trHeight w:val="345"/>
        </w:trPr>
        <w:tc>
          <w:tcPr>
            <w:tcW w:w="1152" w:type="dxa"/>
            <w:vMerge/>
            <w:vAlign w:val="center"/>
          </w:tcPr>
          <w:p w14:paraId="3BBE6DA2" w14:textId="77777777" w:rsidR="006714FF" w:rsidRDefault="006714FF" w:rsidP="00B77C41"/>
        </w:tc>
        <w:tc>
          <w:tcPr>
            <w:tcW w:w="1080" w:type="dxa"/>
            <w:vMerge/>
            <w:vAlign w:val="center"/>
          </w:tcPr>
          <w:p w14:paraId="1380BC04" w14:textId="77777777" w:rsidR="006714FF" w:rsidRDefault="006714FF" w:rsidP="00B77C41"/>
        </w:tc>
        <w:tc>
          <w:tcPr>
            <w:tcW w:w="1008" w:type="dxa"/>
            <w:vMerge/>
            <w:vAlign w:val="center"/>
          </w:tcPr>
          <w:p w14:paraId="4CB9A8F7" w14:textId="77777777" w:rsidR="006714FF" w:rsidRDefault="006714FF" w:rsidP="00B77C41"/>
        </w:tc>
        <w:tc>
          <w:tcPr>
            <w:tcW w:w="648" w:type="dxa"/>
            <w:shd w:val="clear" w:color="auto" w:fill="FFFFFF" w:themeFill="background1"/>
            <w:tcMar>
              <w:top w:w="15" w:type="dxa"/>
              <w:left w:w="15" w:type="dxa"/>
              <w:right w:w="15" w:type="dxa"/>
            </w:tcMar>
            <w:vAlign w:val="bottom"/>
          </w:tcPr>
          <w:p w14:paraId="0993D876"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1</w:t>
            </w:r>
          </w:p>
        </w:tc>
        <w:tc>
          <w:tcPr>
            <w:tcW w:w="648" w:type="dxa"/>
            <w:shd w:val="clear" w:color="auto" w:fill="FFFFFF" w:themeFill="background1"/>
            <w:tcMar>
              <w:top w:w="15" w:type="dxa"/>
              <w:left w:w="15" w:type="dxa"/>
              <w:right w:w="15" w:type="dxa"/>
            </w:tcMar>
            <w:vAlign w:val="bottom"/>
          </w:tcPr>
          <w:p w14:paraId="07E3DA5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shd w:val="clear" w:color="auto" w:fill="FFFFFF" w:themeFill="background1"/>
            <w:tcMar>
              <w:top w:w="15" w:type="dxa"/>
              <w:left w:w="15" w:type="dxa"/>
              <w:right w:w="15" w:type="dxa"/>
            </w:tcMar>
            <w:vAlign w:val="bottom"/>
          </w:tcPr>
          <w:p w14:paraId="4B3C33A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t1</w:t>
            </w:r>
            <w:r w:rsidRPr="57EE44F5">
              <w:rPr>
                <w:rFonts w:ascii="Times New Roman" w:hAnsi="Times New Roman"/>
                <w:sz w:val="22"/>
                <w:szCs w:val="22"/>
              </w:rPr>
              <w:t xml:space="preserve"> (day)</w:t>
            </w:r>
          </w:p>
        </w:tc>
        <w:tc>
          <w:tcPr>
            <w:tcW w:w="648" w:type="dxa"/>
            <w:shd w:val="clear" w:color="auto" w:fill="FFFFFF" w:themeFill="background1"/>
            <w:tcMar>
              <w:top w:w="15" w:type="dxa"/>
              <w:left w:w="15" w:type="dxa"/>
              <w:right w:w="15" w:type="dxa"/>
            </w:tcMar>
            <w:vAlign w:val="bottom"/>
          </w:tcPr>
          <w:p w14:paraId="5F95F3F7"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2</w:t>
            </w:r>
          </w:p>
        </w:tc>
        <w:tc>
          <w:tcPr>
            <w:tcW w:w="648" w:type="dxa"/>
            <w:shd w:val="clear" w:color="auto" w:fill="FFFFFF" w:themeFill="background1"/>
            <w:tcMar>
              <w:top w:w="15" w:type="dxa"/>
              <w:left w:w="15" w:type="dxa"/>
              <w:right w:w="15" w:type="dxa"/>
            </w:tcMar>
            <w:vAlign w:val="bottom"/>
          </w:tcPr>
          <w:p w14:paraId="16BD3F5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shd w:val="clear" w:color="auto" w:fill="FFFFFF" w:themeFill="background1"/>
            <w:tcMar>
              <w:top w:w="15" w:type="dxa"/>
              <w:left w:w="15" w:type="dxa"/>
              <w:right w:w="15" w:type="dxa"/>
            </w:tcMar>
            <w:vAlign w:val="bottom"/>
          </w:tcPr>
          <w:p w14:paraId="7532F88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c>
          <w:tcPr>
            <w:tcW w:w="648" w:type="dxa"/>
            <w:shd w:val="clear" w:color="auto" w:fill="FFFFFF" w:themeFill="background1"/>
            <w:tcMar>
              <w:top w:w="15" w:type="dxa"/>
              <w:left w:w="15" w:type="dxa"/>
              <w:right w:w="15" w:type="dxa"/>
            </w:tcMar>
            <w:vAlign w:val="bottom"/>
          </w:tcPr>
          <w:p w14:paraId="3F75B879"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3</w:t>
            </w:r>
          </w:p>
        </w:tc>
        <w:tc>
          <w:tcPr>
            <w:tcW w:w="648" w:type="dxa"/>
            <w:shd w:val="clear" w:color="auto" w:fill="FFFFFF" w:themeFill="background1"/>
            <w:tcMar>
              <w:top w:w="15" w:type="dxa"/>
              <w:left w:w="15" w:type="dxa"/>
              <w:right w:w="15" w:type="dxa"/>
            </w:tcMar>
            <w:vAlign w:val="bottom"/>
          </w:tcPr>
          <w:p w14:paraId="2232DAFE"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r2</w:t>
            </w:r>
            <w:r w:rsidRPr="57EE44F5">
              <w:rPr>
                <w:rFonts w:ascii="Times New Roman" w:hAnsi="Times New Roman"/>
                <w:sz w:val="22"/>
                <w:szCs w:val="22"/>
              </w:rPr>
              <w:t xml:space="preserve"> (deg.)</w:t>
            </w:r>
          </w:p>
        </w:tc>
        <w:tc>
          <w:tcPr>
            <w:tcW w:w="648" w:type="dxa"/>
            <w:shd w:val="clear" w:color="auto" w:fill="FFFFFF" w:themeFill="background1"/>
            <w:tcMar>
              <w:top w:w="15" w:type="dxa"/>
              <w:left w:w="15" w:type="dxa"/>
              <w:right w:w="15" w:type="dxa"/>
            </w:tcMar>
            <w:vAlign w:val="bottom"/>
          </w:tcPr>
          <w:p w14:paraId="1407FE5E"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r>
      <w:tr w:rsidR="006714FF" w14:paraId="3F7F3039" w14:textId="77777777" w:rsidTr="00B77C41">
        <w:trPr>
          <w:trHeight w:val="285"/>
        </w:trPr>
        <w:tc>
          <w:tcPr>
            <w:tcW w:w="1152" w:type="dxa"/>
            <w:shd w:val="clear" w:color="auto" w:fill="FFFFFF" w:themeFill="background1"/>
            <w:tcMar>
              <w:top w:w="15" w:type="dxa"/>
              <w:left w:w="15" w:type="dxa"/>
              <w:right w:w="15" w:type="dxa"/>
            </w:tcMar>
            <w:vAlign w:val="center"/>
          </w:tcPr>
          <w:p w14:paraId="1464D20E"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80" w:type="dxa"/>
            <w:shd w:val="clear" w:color="auto" w:fill="D9D9D9" w:themeFill="background1" w:themeFillShade="D9"/>
            <w:tcMar>
              <w:top w:w="15" w:type="dxa"/>
              <w:left w:w="15" w:type="dxa"/>
              <w:right w:w="15" w:type="dxa"/>
            </w:tcMar>
            <w:vAlign w:val="center"/>
          </w:tcPr>
          <w:p w14:paraId="7ADB0FA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1008" w:type="dxa"/>
            <w:shd w:val="clear" w:color="auto" w:fill="FFFFFF" w:themeFill="background1"/>
            <w:tcMar>
              <w:top w:w="15" w:type="dxa"/>
              <w:left w:w="15" w:type="dxa"/>
              <w:right w:w="15" w:type="dxa"/>
            </w:tcMar>
            <w:vAlign w:val="bottom"/>
          </w:tcPr>
          <w:p w14:paraId="40F4EFE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3.2270</w:t>
            </w:r>
          </w:p>
        </w:tc>
        <w:tc>
          <w:tcPr>
            <w:tcW w:w="648" w:type="dxa"/>
            <w:shd w:val="clear" w:color="auto" w:fill="FFFFFF" w:themeFill="background1"/>
            <w:tcMar>
              <w:top w:w="15" w:type="dxa"/>
              <w:left w:w="15" w:type="dxa"/>
              <w:right w:w="15" w:type="dxa"/>
            </w:tcMar>
            <w:vAlign w:val="bottom"/>
          </w:tcPr>
          <w:p w14:paraId="0FA3862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shd w:val="clear" w:color="auto" w:fill="FFFFFF" w:themeFill="background1"/>
            <w:tcMar>
              <w:top w:w="15" w:type="dxa"/>
              <w:left w:w="15" w:type="dxa"/>
              <w:right w:w="15" w:type="dxa"/>
            </w:tcMar>
            <w:vAlign w:val="bottom"/>
          </w:tcPr>
          <w:p w14:paraId="0F5E198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0.45</w:t>
            </w:r>
          </w:p>
        </w:tc>
        <w:tc>
          <w:tcPr>
            <w:tcW w:w="648" w:type="dxa"/>
            <w:shd w:val="clear" w:color="auto" w:fill="FFFFFF" w:themeFill="background1"/>
            <w:tcMar>
              <w:top w:w="15" w:type="dxa"/>
              <w:left w:w="15" w:type="dxa"/>
              <w:right w:w="15" w:type="dxa"/>
            </w:tcMar>
            <w:vAlign w:val="bottom"/>
          </w:tcPr>
          <w:p w14:paraId="2805181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4.0</w:t>
            </w:r>
          </w:p>
        </w:tc>
        <w:tc>
          <w:tcPr>
            <w:tcW w:w="648" w:type="dxa"/>
            <w:shd w:val="clear" w:color="auto" w:fill="FFFFFF" w:themeFill="background1"/>
            <w:tcMar>
              <w:top w:w="15" w:type="dxa"/>
              <w:left w:w="15" w:type="dxa"/>
              <w:right w:w="15" w:type="dxa"/>
            </w:tcMar>
            <w:vAlign w:val="bottom"/>
          </w:tcPr>
          <w:p w14:paraId="667A2D5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0.65</w:t>
            </w:r>
          </w:p>
        </w:tc>
        <w:tc>
          <w:tcPr>
            <w:tcW w:w="648" w:type="dxa"/>
            <w:shd w:val="clear" w:color="auto" w:fill="FFFFFF" w:themeFill="background1"/>
            <w:tcMar>
              <w:top w:w="15" w:type="dxa"/>
              <w:left w:w="15" w:type="dxa"/>
              <w:right w:w="15" w:type="dxa"/>
            </w:tcMar>
            <w:vAlign w:val="bottom"/>
          </w:tcPr>
          <w:p w14:paraId="7829DCD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0.45</w:t>
            </w:r>
          </w:p>
        </w:tc>
        <w:tc>
          <w:tcPr>
            <w:tcW w:w="648" w:type="dxa"/>
            <w:shd w:val="clear" w:color="auto" w:fill="FFFFFF" w:themeFill="background1"/>
            <w:tcMar>
              <w:top w:w="15" w:type="dxa"/>
              <w:left w:w="15" w:type="dxa"/>
              <w:right w:w="15" w:type="dxa"/>
            </w:tcMar>
            <w:vAlign w:val="bottom"/>
          </w:tcPr>
          <w:p w14:paraId="7909D81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700</w:t>
            </w:r>
          </w:p>
        </w:tc>
        <w:tc>
          <w:tcPr>
            <w:tcW w:w="648" w:type="dxa"/>
            <w:shd w:val="clear" w:color="auto" w:fill="FFFFFF" w:themeFill="background1"/>
            <w:tcMar>
              <w:top w:w="15" w:type="dxa"/>
              <w:left w:w="15" w:type="dxa"/>
              <w:right w:w="15" w:type="dxa"/>
            </w:tcMar>
            <w:vAlign w:val="bottom"/>
          </w:tcPr>
          <w:p w14:paraId="09B4600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0.10</w:t>
            </w:r>
          </w:p>
        </w:tc>
        <w:tc>
          <w:tcPr>
            <w:tcW w:w="648" w:type="dxa"/>
            <w:shd w:val="clear" w:color="auto" w:fill="FFFFFF" w:themeFill="background1"/>
            <w:tcMar>
              <w:top w:w="15" w:type="dxa"/>
              <w:left w:w="15" w:type="dxa"/>
              <w:right w:w="15" w:type="dxa"/>
            </w:tcMar>
            <w:vAlign w:val="bottom"/>
          </w:tcPr>
          <w:p w14:paraId="67D576E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w:t>
            </w:r>
          </w:p>
        </w:tc>
        <w:tc>
          <w:tcPr>
            <w:tcW w:w="648" w:type="dxa"/>
            <w:shd w:val="clear" w:color="auto" w:fill="FFFFFF" w:themeFill="background1"/>
            <w:tcMar>
              <w:top w:w="15" w:type="dxa"/>
              <w:left w:w="15" w:type="dxa"/>
              <w:right w:w="15" w:type="dxa"/>
            </w:tcMar>
            <w:vAlign w:val="bottom"/>
          </w:tcPr>
          <w:p w14:paraId="033FBE9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700</w:t>
            </w:r>
          </w:p>
        </w:tc>
      </w:tr>
      <w:tr w:rsidR="006714FF" w14:paraId="7D36B43E" w14:textId="77777777" w:rsidTr="00B77C41">
        <w:trPr>
          <w:trHeight w:val="285"/>
        </w:trPr>
        <w:tc>
          <w:tcPr>
            <w:tcW w:w="1152" w:type="dxa"/>
            <w:shd w:val="clear" w:color="auto" w:fill="FFFFFF" w:themeFill="background1"/>
            <w:tcMar>
              <w:top w:w="15" w:type="dxa"/>
              <w:left w:w="15" w:type="dxa"/>
              <w:right w:w="15" w:type="dxa"/>
            </w:tcMar>
            <w:vAlign w:val="center"/>
          </w:tcPr>
          <w:p w14:paraId="0D69C93D"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Flat</w:t>
            </w:r>
          </w:p>
        </w:tc>
        <w:tc>
          <w:tcPr>
            <w:tcW w:w="1080" w:type="dxa"/>
            <w:shd w:val="clear" w:color="auto" w:fill="D9D9D9" w:themeFill="background1" w:themeFillShade="D9"/>
            <w:tcMar>
              <w:top w:w="15" w:type="dxa"/>
              <w:left w:w="15" w:type="dxa"/>
              <w:right w:w="15" w:type="dxa"/>
            </w:tcMar>
            <w:vAlign w:val="center"/>
          </w:tcPr>
          <w:p w14:paraId="2E59DB10"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 xml:space="preserve"> </w:t>
            </w:r>
          </w:p>
        </w:tc>
        <w:tc>
          <w:tcPr>
            <w:tcW w:w="1008" w:type="dxa"/>
            <w:shd w:val="clear" w:color="auto" w:fill="FFFFFF" w:themeFill="background1"/>
            <w:tcMar>
              <w:top w:w="15" w:type="dxa"/>
              <w:left w:w="15" w:type="dxa"/>
              <w:right w:w="15" w:type="dxa"/>
            </w:tcMar>
            <w:vAlign w:val="bottom"/>
          </w:tcPr>
          <w:p w14:paraId="4835CD9A"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3.2113</w:t>
            </w:r>
          </w:p>
        </w:tc>
        <w:tc>
          <w:tcPr>
            <w:tcW w:w="648" w:type="dxa"/>
            <w:shd w:val="clear" w:color="auto" w:fill="FFFFFF" w:themeFill="background1"/>
            <w:tcMar>
              <w:top w:w="15" w:type="dxa"/>
              <w:left w:w="15" w:type="dxa"/>
              <w:right w:w="15" w:type="dxa"/>
            </w:tcMar>
            <w:vAlign w:val="bottom"/>
          </w:tcPr>
          <w:p w14:paraId="531D702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0.25</w:t>
            </w:r>
          </w:p>
        </w:tc>
        <w:tc>
          <w:tcPr>
            <w:tcW w:w="648" w:type="dxa"/>
            <w:shd w:val="clear" w:color="auto" w:fill="FFFFFF" w:themeFill="background1"/>
            <w:tcMar>
              <w:top w:w="15" w:type="dxa"/>
              <w:left w:w="15" w:type="dxa"/>
              <w:right w:w="15" w:type="dxa"/>
            </w:tcMar>
            <w:vAlign w:val="bottom"/>
          </w:tcPr>
          <w:p w14:paraId="2B644E8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0.45</w:t>
            </w:r>
          </w:p>
        </w:tc>
        <w:tc>
          <w:tcPr>
            <w:tcW w:w="648" w:type="dxa"/>
            <w:shd w:val="clear" w:color="auto" w:fill="FFFFFF" w:themeFill="background1"/>
            <w:tcMar>
              <w:top w:w="15" w:type="dxa"/>
              <w:left w:w="15" w:type="dxa"/>
              <w:right w:w="15" w:type="dxa"/>
            </w:tcMar>
            <w:vAlign w:val="bottom"/>
          </w:tcPr>
          <w:p w14:paraId="42255A0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4.0</w:t>
            </w:r>
          </w:p>
        </w:tc>
        <w:tc>
          <w:tcPr>
            <w:tcW w:w="648" w:type="dxa"/>
            <w:shd w:val="clear" w:color="auto" w:fill="FFFFFF" w:themeFill="background1"/>
            <w:tcMar>
              <w:top w:w="15" w:type="dxa"/>
              <w:left w:w="15" w:type="dxa"/>
              <w:right w:w="15" w:type="dxa"/>
            </w:tcMar>
            <w:vAlign w:val="bottom"/>
          </w:tcPr>
          <w:p w14:paraId="2DFB6EE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0.65</w:t>
            </w:r>
          </w:p>
        </w:tc>
        <w:tc>
          <w:tcPr>
            <w:tcW w:w="648" w:type="dxa"/>
            <w:shd w:val="clear" w:color="auto" w:fill="FFFFFF" w:themeFill="background1"/>
            <w:tcMar>
              <w:top w:w="15" w:type="dxa"/>
              <w:left w:w="15" w:type="dxa"/>
              <w:right w:w="15" w:type="dxa"/>
            </w:tcMar>
            <w:vAlign w:val="bottom"/>
          </w:tcPr>
          <w:p w14:paraId="21D940E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0.45</w:t>
            </w:r>
          </w:p>
        </w:tc>
        <w:tc>
          <w:tcPr>
            <w:tcW w:w="648" w:type="dxa"/>
            <w:shd w:val="clear" w:color="auto" w:fill="FFFFFF" w:themeFill="background1"/>
            <w:tcMar>
              <w:top w:w="15" w:type="dxa"/>
              <w:left w:w="15" w:type="dxa"/>
              <w:right w:w="15" w:type="dxa"/>
            </w:tcMar>
            <w:vAlign w:val="bottom"/>
          </w:tcPr>
          <w:p w14:paraId="269C646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700</w:t>
            </w:r>
          </w:p>
        </w:tc>
        <w:tc>
          <w:tcPr>
            <w:tcW w:w="648" w:type="dxa"/>
            <w:shd w:val="clear" w:color="auto" w:fill="FFFFFF" w:themeFill="background1"/>
            <w:tcMar>
              <w:top w:w="15" w:type="dxa"/>
              <w:left w:w="15" w:type="dxa"/>
              <w:right w:w="15" w:type="dxa"/>
            </w:tcMar>
            <w:vAlign w:val="bottom"/>
          </w:tcPr>
          <w:p w14:paraId="58C4352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0.10</w:t>
            </w:r>
          </w:p>
        </w:tc>
        <w:tc>
          <w:tcPr>
            <w:tcW w:w="648" w:type="dxa"/>
            <w:shd w:val="clear" w:color="auto" w:fill="FFFFFF" w:themeFill="background1"/>
            <w:tcMar>
              <w:top w:w="15" w:type="dxa"/>
              <w:left w:w="15" w:type="dxa"/>
              <w:right w:w="15" w:type="dxa"/>
            </w:tcMar>
            <w:vAlign w:val="bottom"/>
          </w:tcPr>
          <w:p w14:paraId="7A39124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w:t>
            </w:r>
          </w:p>
        </w:tc>
        <w:tc>
          <w:tcPr>
            <w:tcW w:w="648" w:type="dxa"/>
            <w:shd w:val="clear" w:color="auto" w:fill="FFFFFF" w:themeFill="background1"/>
            <w:tcMar>
              <w:top w:w="15" w:type="dxa"/>
              <w:left w:w="15" w:type="dxa"/>
              <w:right w:w="15" w:type="dxa"/>
            </w:tcMar>
            <w:vAlign w:val="bottom"/>
          </w:tcPr>
          <w:p w14:paraId="7A7F358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700</w:t>
            </w:r>
          </w:p>
        </w:tc>
      </w:tr>
      <w:tr w:rsidR="006714FF" w14:paraId="44B834FE" w14:textId="77777777" w:rsidTr="00B77C41">
        <w:trPr>
          <w:trHeight w:val="362"/>
        </w:trPr>
        <w:tc>
          <w:tcPr>
            <w:tcW w:w="1152" w:type="dxa"/>
            <w:vMerge w:val="restart"/>
            <w:shd w:val="clear" w:color="auto" w:fill="FFFFFF" w:themeFill="background1"/>
            <w:tcMar>
              <w:top w:w="15" w:type="dxa"/>
              <w:left w:w="15" w:type="dxa"/>
              <w:right w:w="15" w:type="dxa"/>
            </w:tcMar>
            <w:vAlign w:val="center"/>
          </w:tcPr>
          <w:p w14:paraId="36ADB41F"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&amp; Temporal Kernel Smoothing</w:t>
            </w:r>
          </w:p>
        </w:tc>
        <w:tc>
          <w:tcPr>
            <w:tcW w:w="1080" w:type="dxa"/>
            <w:shd w:val="clear" w:color="auto" w:fill="FFFFFF" w:themeFill="background1"/>
            <w:tcMar>
              <w:top w:w="15" w:type="dxa"/>
              <w:left w:w="15" w:type="dxa"/>
              <w:right w:w="15" w:type="dxa"/>
            </w:tcMar>
            <w:vAlign w:val="center"/>
          </w:tcPr>
          <w:p w14:paraId="40E3DE02"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1008" w:type="dxa"/>
            <w:shd w:val="clear" w:color="auto" w:fill="FFFFFF" w:themeFill="background1"/>
            <w:tcMar>
              <w:top w:w="15" w:type="dxa"/>
              <w:left w:w="15" w:type="dxa"/>
              <w:right w:w="15" w:type="dxa"/>
            </w:tcMar>
            <w:vAlign w:val="bottom"/>
          </w:tcPr>
          <w:p w14:paraId="00C8B6EA"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2.9665</w:t>
            </w:r>
          </w:p>
        </w:tc>
        <w:tc>
          <w:tcPr>
            <w:tcW w:w="648" w:type="dxa"/>
            <w:shd w:val="clear" w:color="auto" w:fill="FFFFFF" w:themeFill="background1"/>
            <w:tcMar>
              <w:top w:w="15" w:type="dxa"/>
              <w:left w:w="15" w:type="dxa"/>
              <w:right w:w="15" w:type="dxa"/>
            </w:tcMar>
            <w:vAlign w:val="bottom"/>
          </w:tcPr>
          <w:p w14:paraId="2F1DEDB9"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0.30</w:t>
            </w:r>
          </w:p>
        </w:tc>
        <w:tc>
          <w:tcPr>
            <w:tcW w:w="648" w:type="dxa"/>
            <w:shd w:val="clear" w:color="auto" w:fill="FFFFFF" w:themeFill="background1"/>
            <w:tcMar>
              <w:top w:w="15" w:type="dxa"/>
              <w:left w:w="15" w:type="dxa"/>
              <w:right w:w="15" w:type="dxa"/>
            </w:tcMar>
            <w:vAlign w:val="bottom"/>
          </w:tcPr>
          <w:p w14:paraId="2A35AD5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0.45</w:t>
            </w:r>
          </w:p>
        </w:tc>
        <w:tc>
          <w:tcPr>
            <w:tcW w:w="648" w:type="dxa"/>
            <w:shd w:val="clear" w:color="auto" w:fill="FFFFFF" w:themeFill="background1"/>
            <w:tcMar>
              <w:top w:w="15" w:type="dxa"/>
              <w:left w:w="15" w:type="dxa"/>
              <w:right w:w="15" w:type="dxa"/>
            </w:tcMar>
            <w:vAlign w:val="bottom"/>
          </w:tcPr>
          <w:p w14:paraId="6847035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3.5</w:t>
            </w:r>
          </w:p>
        </w:tc>
        <w:tc>
          <w:tcPr>
            <w:tcW w:w="648" w:type="dxa"/>
            <w:shd w:val="clear" w:color="auto" w:fill="FFFFFF" w:themeFill="background1"/>
            <w:tcMar>
              <w:top w:w="15" w:type="dxa"/>
              <w:left w:w="15" w:type="dxa"/>
              <w:right w:w="15" w:type="dxa"/>
            </w:tcMar>
            <w:vAlign w:val="bottom"/>
          </w:tcPr>
          <w:p w14:paraId="0757C29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0.60</w:t>
            </w:r>
          </w:p>
        </w:tc>
        <w:tc>
          <w:tcPr>
            <w:tcW w:w="648" w:type="dxa"/>
            <w:shd w:val="clear" w:color="auto" w:fill="FFFFFF" w:themeFill="background1"/>
            <w:tcMar>
              <w:top w:w="15" w:type="dxa"/>
              <w:left w:w="15" w:type="dxa"/>
              <w:right w:w="15" w:type="dxa"/>
            </w:tcMar>
            <w:vAlign w:val="bottom"/>
          </w:tcPr>
          <w:p w14:paraId="4CD0C97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0.45</w:t>
            </w:r>
          </w:p>
        </w:tc>
        <w:tc>
          <w:tcPr>
            <w:tcW w:w="648" w:type="dxa"/>
            <w:shd w:val="clear" w:color="auto" w:fill="FFFFFF" w:themeFill="background1"/>
            <w:tcMar>
              <w:top w:w="15" w:type="dxa"/>
              <w:left w:w="15" w:type="dxa"/>
              <w:right w:w="15" w:type="dxa"/>
            </w:tcMar>
            <w:vAlign w:val="bottom"/>
          </w:tcPr>
          <w:p w14:paraId="00CD8CF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700</w:t>
            </w:r>
          </w:p>
        </w:tc>
        <w:tc>
          <w:tcPr>
            <w:tcW w:w="648" w:type="dxa"/>
            <w:shd w:val="clear" w:color="auto" w:fill="FFFFFF" w:themeFill="background1"/>
            <w:tcMar>
              <w:top w:w="15" w:type="dxa"/>
              <w:left w:w="15" w:type="dxa"/>
              <w:right w:w="15" w:type="dxa"/>
            </w:tcMar>
            <w:vAlign w:val="bottom"/>
          </w:tcPr>
          <w:p w14:paraId="68A56BB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0.10</w:t>
            </w:r>
          </w:p>
        </w:tc>
        <w:tc>
          <w:tcPr>
            <w:tcW w:w="648" w:type="dxa"/>
            <w:shd w:val="clear" w:color="auto" w:fill="FFFFFF" w:themeFill="background1"/>
            <w:tcMar>
              <w:top w:w="15" w:type="dxa"/>
              <w:left w:w="15" w:type="dxa"/>
              <w:right w:w="15" w:type="dxa"/>
            </w:tcMar>
            <w:vAlign w:val="bottom"/>
          </w:tcPr>
          <w:p w14:paraId="2D224E1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w:t>
            </w:r>
          </w:p>
        </w:tc>
        <w:tc>
          <w:tcPr>
            <w:tcW w:w="648" w:type="dxa"/>
            <w:shd w:val="clear" w:color="auto" w:fill="FFFFFF" w:themeFill="background1"/>
            <w:tcMar>
              <w:top w:w="15" w:type="dxa"/>
              <w:left w:w="15" w:type="dxa"/>
              <w:right w:w="15" w:type="dxa"/>
            </w:tcMar>
            <w:vAlign w:val="bottom"/>
          </w:tcPr>
          <w:p w14:paraId="181A519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700</w:t>
            </w:r>
          </w:p>
        </w:tc>
      </w:tr>
      <w:tr w:rsidR="006714FF" w14:paraId="6B349730" w14:textId="77777777" w:rsidTr="00B77C41">
        <w:trPr>
          <w:trHeight w:val="285"/>
        </w:trPr>
        <w:tc>
          <w:tcPr>
            <w:tcW w:w="1152" w:type="dxa"/>
            <w:vMerge/>
            <w:vAlign w:val="center"/>
          </w:tcPr>
          <w:p w14:paraId="69D5BDC7" w14:textId="77777777" w:rsidR="006714FF" w:rsidRDefault="006714FF" w:rsidP="00B77C41"/>
        </w:tc>
        <w:tc>
          <w:tcPr>
            <w:tcW w:w="1080" w:type="dxa"/>
            <w:shd w:val="clear" w:color="auto" w:fill="FFFFFF" w:themeFill="background1"/>
            <w:tcMar>
              <w:top w:w="15" w:type="dxa"/>
              <w:left w:w="15" w:type="dxa"/>
              <w:right w:w="15" w:type="dxa"/>
            </w:tcMar>
            <w:vAlign w:val="center"/>
          </w:tcPr>
          <w:p w14:paraId="47DE5C66"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shd w:val="clear" w:color="auto" w:fill="FFFFFF" w:themeFill="background1"/>
            <w:tcMar>
              <w:top w:w="15" w:type="dxa"/>
              <w:left w:w="15" w:type="dxa"/>
              <w:right w:w="15" w:type="dxa"/>
            </w:tcMar>
            <w:vAlign w:val="bottom"/>
          </w:tcPr>
          <w:p w14:paraId="388B9E7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2.7880</w:t>
            </w:r>
          </w:p>
        </w:tc>
        <w:tc>
          <w:tcPr>
            <w:tcW w:w="648" w:type="dxa"/>
            <w:shd w:val="clear" w:color="auto" w:fill="FFFFFF" w:themeFill="background1"/>
            <w:tcMar>
              <w:top w:w="15" w:type="dxa"/>
              <w:left w:w="15" w:type="dxa"/>
              <w:right w:w="15" w:type="dxa"/>
            </w:tcMar>
            <w:vAlign w:val="bottom"/>
          </w:tcPr>
          <w:p w14:paraId="5F4B9DF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shd w:val="clear" w:color="auto" w:fill="FFFFFF" w:themeFill="background1"/>
            <w:tcMar>
              <w:top w:w="15" w:type="dxa"/>
              <w:left w:w="15" w:type="dxa"/>
              <w:right w:w="15" w:type="dxa"/>
            </w:tcMar>
            <w:vAlign w:val="bottom"/>
          </w:tcPr>
          <w:p w14:paraId="72F7D8E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shd w:val="clear" w:color="auto" w:fill="FFFFFF" w:themeFill="background1"/>
            <w:tcMar>
              <w:top w:w="15" w:type="dxa"/>
              <w:left w:w="15" w:type="dxa"/>
              <w:right w:w="15" w:type="dxa"/>
            </w:tcMar>
            <w:vAlign w:val="bottom"/>
          </w:tcPr>
          <w:p w14:paraId="294A184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3.2</w:t>
            </w:r>
          </w:p>
        </w:tc>
        <w:tc>
          <w:tcPr>
            <w:tcW w:w="648" w:type="dxa"/>
            <w:shd w:val="clear" w:color="auto" w:fill="FFFFFF" w:themeFill="background1"/>
            <w:tcMar>
              <w:top w:w="15" w:type="dxa"/>
              <w:left w:w="15" w:type="dxa"/>
              <w:right w:w="15" w:type="dxa"/>
            </w:tcMar>
            <w:vAlign w:val="bottom"/>
          </w:tcPr>
          <w:p w14:paraId="1A91176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0.55</w:t>
            </w:r>
          </w:p>
        </w:tc>
        <w:tc>
          <w:tcPr>
            <w:tcW w:w="648" w:type="dxa"/>
            <w:shd w:val="clear" w:color="auto" w:fill="FFFFFF" w:themeFill="background1"/>
            <w:tcMar>
              <w:top w:w="15" w:type="dxa"/>
              <w:left w:w="15" w:type="dxa"/>
              <w:right w:w="15" w:type="dxa"/>
            </w:tcMar>
            <w:vAlign w:val="bottom"/>
          </w:tcPr>
          <w:p w14:paraId="4B3BC78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shd w:val="clear" w:color="auto" w:fill="FFFFFF" w:themeFill="background1"/>
            <w:tcMar>
              <w:top w:w="15" w:type="dxa"/>
              <w:left w:w="15" w:type="dxa"/>
              <w:right w:w="15" w:type="dxa"/>
            </w:tcMar>
            <w:vAlign w:val="bottom"/>
          </w:tcPr>
          <w:p w14:paraId="4F632CB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shd w:val="clear" w:color="auto" w:fill="FFFFFF" w:themeFill="background1"/>
            <w:tcMar>
              <w:top w:w="15" w:type="dxa"/>
              <w:left w:w="15" w:type="dxa"/>
              <w:right w:w="15" w:type="dxa"/>
            </w:tcMar>
            <w:vAlign w:val="bottom"/>
          </w:tcPr>
          <w:p w14:paraId="2AB8113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0.10</w:t>
            </w:r>
          </w:p>
        </w:tc>
        <w:tc>
          <w:tcPr>
            <w:tcW w:w="648" w:type="dxa"/>
            <w:shd w:val="clear" w:color="auto" w:fill="FFFFFF" w:themeFill="background1"/>
            <w:tcMar>
              <w:top w:w="15" w:type="dxa"/>
              <w:left w:w="15" w:type="dxa"/>
              <w:right w:w="15" w:type="dxa"/>
            </w:tcMar>
            <w:vAlign w:val="bottom"/>
          </w:tcPr>
          <w:p w14:paraId="7278906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w:t>
            </w:r>
          </w:p>
        </w:tc>
        <w:tc>
          <w:tcPr>
            <w:tcW w:w="648" w:type="dxa"/>
            <w:shd w:val="clear" w:color="auto" w:fill="FFFFFF" w:themeFill="background1"/>
            <w:tcMar>
              <w:top w:w="15" w:type="dxa"/>
              <w:left w:w="15" w:type="dxa"/>
              <w:right w:w="15" w:type="dxa"/>
            </w:tcMar>
            <w:vAlign w:val="bottom"/>
          </w:tcPr>
          <w:p w14:paraId="1648356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047C91B1" w14:textId="77777777" w:rsidTr="00B77C41">
        <w:trPr>
          <w:trHeight w:val="285"/>
        </w:trPr>
        <w:tc>
          <w:tcPr>
            <w:tcW w:w="1152" w:type="dxa"/>
            <w:vMerge/>
            <w:vAlign w:val="center"/>
          </w:tcPr>
          <w:p w14:paraId="5B98FB2E" w14:textId="77777777" w:rsidR="006714FF" w:rsidRDefault="006714FF" w:rsidP="00B77C41"/>
        </w:tc>
        <w:tc>
          <w:tcPr>
            <w:tcW w:w="1080" w:type="dxa"/>
            <w:shd w:val="clear" w:color="auto" w:fill="FFFFFF" w:themeFill="background1"/>
            <w:tcMar>
              <w:top w:w="15" w:type="dxa"/>
              <w:left w:w="15" w:type="dxa"/>
              <w:right w:w="15" w:type="dxa"/>
            </w:tcMar>
            <w:vAlign w:val="center"/>
          </w:tcPr>
          <w:p w14:paraId="16E8FF8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shd w:val="clear" w:color="auto" w:fill="FFFFFF" w:themeFill="background1"/>
            <w:tcMar>
              <w:top w:w="15" w:type="dxa"/>
              <w:left w:w="15" w:type="dxa"/>
              <w:right w:w="15" w:type="dxa"/>
            </w:tcMar>
            <w:vAlign w:val="bottom"/>
          </w:tcPr>
          <w:p w14:paraId="039FECD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2.4023</w:t>
            </w:r>
          </w:p>
        </w:tc>
        <w:tc>
          <w:tcPr>
            <w:tcW w:w="648" w:type="dxa"/>
            <w:shd w:val="clear" w:color="auto" w:fill="FFFFFF" w:themeFill="background1"/>
            <w:tcMar>
              <w:top w:w="15" w:type="dxa"/>
              <w:left w:w="15" w:type="dxa"/>
              <w:right w:w="15" w:type="dxa"/>
            </w:tcMar>
            <w:vAlign w:val="bottom"/>
          </w:tcPr>
          <w:p w14:paraId="294E6F5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0.43</w:t>
            </w:r>
          </w:p>
        </w:tc>
        <w:tc>
          <w:tcPr>
            <w:tcW w:w="648" w:type="dxa"/>
            <w:shd w:val="clear" w:color="auto" w:fill="FFFFFF" w:themeFill="background1"/>
            <w:tcMar>
              <w:top w:w="15" w:type="dxa"/>
              <w:left w:w="15" w:type="dxa"/>
              <w:right w:w="15" w:type="dxa"/>
            </w:tcMar>
            <w:vAlign w:val="bottom"/>
          </w:tcPr>
          <w:p w14:paraId="4112380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0.15</w:t>
            </w:r>
          </w:p>
        </w:tc>
        <w:tc>
          <w:tcPr>
            <w:tcW w:w="648" w:type="dxa"/>
            <w:shd w:val="clear" w:color="auto" w:fill="FFFFFF" w:themeFill="background1"/>
            <w:tcMar>
              <w:top w:w="15" w:type="dxa"/>
              <w:left w:w="15" w:type="dxa"/>
              <w:right w:w="15" w:type="dxa"/>
            </w:tcMar>
            <w:vAlign w:val="bottom"/>
          </w:tcPr>
          <w:p w14:paraId="72FBE25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3.2</w:t>
            </w:r>
          </w:p>
        </w:tc>
        <w:tc>
          <w:tcPr>
            <w:tcW w:w="648" w:type="dxa"/>
            <w:shd w:val="clear" w:color="auto" w:fill="FFFFFF" w:themeFill="background1"/>
            <w:tcMar>
              <w:top w:w="15" w:type="dxa"/>
              <w:left w:w="15" w:type="dxa"/>
              <w:right w:w="15" w:type="dxa"/>
            </w:tcMar>
            <w:vAlign w:val="bottom"/>
          </w:tcPr>
          <w:p w14:paraId="4428261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shd w:val="clear" w:color="auto" w:fill="FFFFFF" w:themeFill="background1"/>
            <w:tcMar>
              <w:top w:w="15" w:type="dxa"/>
              <w:left w:w="15" w:type="dxa"/>
              <w:right w:w="15" w:type="dxa"/>
            </w:tcMar>
            <w:vAlign w:val="bottom"/>
          </w:tcPr>
          <w:p w14:paraId="5349F03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0.15</w:t>
            </w:r>
          </w:p>
        </w:tc>
        <w:tc>
          <w:tcPr>
            <w:tcW w:w="648" w:type="dxa"/>
            <w:shd w:val="clear" w:color="auto" w:fill="FFFFFF" w:themeFill="background1"/>
            <w:tcMar>
              <w:top w:w="15" w:type="dxa"/>
              <w:left w:w="15" w:type="dxa"/>
              <w:right w:w="15" w:type="dxa"/>
            </w:tcMar>
            <w:vAlign w:val="bottom"/>
          </w:tcPr>
          <w:p w14:paraId="56920A4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shd w:val="clear" w:color="auto" w:fill="FFFFFF" w:themeFill="background1"/>
            <w:tcMar>
              <w:top w:w="15" w:type="dxa"/>
              <w:left w:w="15" w:type="dxa"/>
              <w:right w:w="15" w:type="dxa"/>
            </w:tcMar>
            <w:vAlign w:val="bottom"/>
          </w:tcPr>
          <w:p w14:paraId="3BA0655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0.17</w:t>
            </w:r>
          </w:p>
        </w:tc>
        <w:tc>
          <w:tcPr>
            <w:tcW w:w="648" w:type="dxa"/>
            <w:shd w:val="clear" w:color="auto" w:fill="FFFFFF" w:themeFill="background1"/>
            <w:tcMar>
              <w:top w:w="15" w:type="dxa"/>
              <w:left w:w="15" w:type="dxa"/>
              <w:right w:w="15" w:type="dxa"/>
            </w:tcMar>
            <w:vAlign w:val="bottom"/>
          </w:tcPr>
          <w:p w14:paraId="135D5D0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w:t>
            </w:r>
          </w:p>
        </w:tc>
        <w:tc>
          <w:tcPr>
            <w:tcW w:w="648" w:type="dxa"/>
            <w:shd w:val="clear" w:color="auto" w:fill="FFFFFF" w:themeFill="background1"/>
            <w:tcMar>
              <w:top w:w="15" w:type="dxa"/>
              <w:left w:w="15" w:type="dxa"/>
              <w:right w:w="15" w:type="dxa"/>
            </w:tcMar>
            <w:vAlign w:val="bottom"/>
          </w:tcPr>
          <w:p w14:paraId="7FC6B0E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618285E5" w14:textId="77777777" w:rsidTr="00B77C41">
        <w:trPr>
          <w:trHeight w:val="285"/>
        </w:trPr>
        <w:tc>
          <w:tcPr>
            <w:tcW w:w="1152" w:type="dxa"/>
            <w:vMerge/>
            <w:vAlign w:val="center"/>
          </w:tcPr>
          <w:p w14:paraId="39EDE0C8" w14:textId="77777777" w:rsidR="006714FF" w:rsidRDefault="006714FF" w:rsidP="00B77C41"/>
        </w:tc>
        <w:tc>
          <w:tcPr>
            <w:tcW w:w="1080" w:type="dxa"/>
            <w:shd w:val="clear" w:color="auto" w:fill="FFFFFF" w:themeFill="background1"/>
            <w:tcMar>
              <w:top w:w="15" w:type="dxa"/>
              <w:left w:w="15" w:type="dxa"/>
              <w:right w:w="15" w:type="dxa"/>
            </w:tcMar>
            <w:vAlign w:val="center"/>
          </w:tcPr>
          <w:p w14:paraId="75D53C4F"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Local</w:t>
            </w:r>
          </w:p>
        </w:tc>
        <w:tc>
          <w:tcPr>
            <w:tcW w:w="1008" w:type="dxa"/>
            <w:shd w:val="clear" w:color="auto" w:fill="FFFFFF" w:themeFill="background1"/>
            <w:tcMar>
              <w:top w:w="15" w:type="dxa"/>
              <w:left w:w="15" w:type="dxa"/>
              <w:right w:w="15" w:type="dxa"/>
            </w:tcMar>
            <w:vAlign w:val="bottom"/>
          </w:tcPr>
          <w:p w14:paraId="107792D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2.1938</w:t>
            </w:r>
          </w:p>
        </w:tc>
        <w:tc>
          <w:tcPr>
            <w:tcW w:w="648" w:type="dxa"/>
            <w:shd w:val="clear" w:color="auto" w:fill="FFFFFF" w:themeFill="background1"/>
            <w:tcMar>
              <w:top w:w="15" w:type="dxa"/>
              <w:left w:w="15" w:type="dxa"/>
              <w:right w:w="15" w:type="dxa"/>
            </w:tcMar>
            <w:vAlign w:val="bottom"/>
          </w:tcPr>
          <w:p w14:paraId="564A255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0.50</w:t>
            </w:r>
          </w:p>
        </w:tc>
        <w:tc>
          <w:tcPr>
            <w:tcW w:w="648" w:type="dxa"/>
            <w:shd w:val="clear" w:color="auto" w:fill="FFFFFF" w:themeFill="background1"/>
            <w:tcMar>
              <w:top w:w="15" w:type="dxa"/>
              <w:left w:w="15" w:type="dxa"/>
              <w:right w:w="15" w:type="dxa"/>
            </w:tcMar>
            <w:vAlign w:val="bottom"/>
          </w:tcPr>
          <w:p w14:paraId="75875A8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0.15</w:t>
            </w:r>
          </w:p>
        </w:tc>
        <w:tc>
          <w:tcPr>
            <w:tcW w:w="648" w:type="dxa"/>
            <w:shd w:val="clear" w:color="auto" w:fill="FFFFFF" w:themeFill="background1"/>
            <w:tcMar>
              <w:top w:w="15" w:type="dxa"/>
              <w:left w:w="15" w:type="dxa"/>
              <w:right w:w="15" w:type="dxa"/>
            </w:tcMar>
            <w:vAlign w:val="bottom"/>
          </w:tcPr>
          <w:p w14:paraId="64A8409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3.2</w:t>
            </w:r>
          </w:p>
        </w:tc>
        <w:tc>
          <w:tcPr>
            <w:tcW w:w="648" w:type="dxa"/>
            <w:shd w:val="clear" w:color="auto" w:fill="FFFFFF" w:themeFill="background1"/>
            <w:tcMar>
              <w:top w:w="15" w:type="dxa"/>
              <w:left w:w="15" w:type="dxa"/>
              <w:right w:w="15" w:type="dxa"/>
            </w:tcMar>
            <w:vAlign w:val="bottom"/>
          </w:tcPr>
          <w:p w14:paraId="25C3859A"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0.30</w:t>
            </w:r>
          </w:p>
        </w:tc>
        <w:tc>
          <w:tcPr>
            <w:tcW w:w="648" w:type="dxa"/>
            <w:shd w:val="clear" w:color="auto" w:fill="FFFFFF" w:themeFill="background1"/>
            <w:tcMar>
              <w:top w:w="15" w:type="dxa"/>
              <w:left w:w="15" w:type="dxa"/>
              <w:right w:w="15" w:type="dxa"/>
            </w:tcMar>
            <w:vAlign w:val="bottom"/>
          </w:tcPr>
          <w:p w14:paraId="58E9321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0.15</w:t>
            </w:r>
          </w:p>
        </w:tc>
        <w:tc>
          <w:tcPr>
            <w:tcW w:w="648" w:type="dxa"/>
            <w:shd w:val="clear" w:color="auto" w:fill="FFFFFF" w:themeFill="background1"/>
            <w:tcMar>
              <w:top w:w="15" w:type="dxa"/>
              <w:left w:w="15" w:type="dxa"/>
              <w:right w:w="15" w:type="dxa"/>
            </w:tcMar>
            <w:vAlign w:val="bottom"/>
          </w:tcPr>
          <w:p w14:paraId="0534AC8D"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500</w:t>
            </w:r>
          </w:p>
        </w:tc>
        <w:tc>
          <w:tcPr>
            <w:tcW w:w="648" w:type="dxa"/>
            <w:shd w:val="clear" w:color="auto" w:fill="FFFFFF" w:themeFill="background1"/>
            <w:tcMar>
              <w:top w:w="15" w:type="dxa"/>
              <w:left w:w="15" w:type="dxa"/>
              <w:right w:w="15" w:type="dxa"/>
            </w:tcMar>
            <w:vAlign w:val="bottom"/>
          </w:tcPr>
          <w:p w14:paraId="50CC562B"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0.20</w:t>
            </w:r>
          </w:p>
        </w:tc>
        <w:tc>
          <w:tcPr>
            <w:tcW w:w="648" w:type="dxa"/>
            <w:shd w:val="clear" w:color="auto" w:fill="FFFFFF" w:themeFill="background1"/>
            <w:tcMar>
              <w:top w:w="15" w:type="dxa"/>
              <w:left w:w="15" w:type="dxa"/>
              <w:right w:w="15" w:type="dxa"/>
            </w:tcMar>
            <w:vAlign w:val="bottom"/>
          </w:tcPr>
          <w:p w14:paraId="4A128B4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w:t>
            </w:r>
          </w:p>
        </w:tc>
        <w:tc>
          <w:tcPr>
            <w:tcW w:w="648" w:type="dxa"/>
            <w:shd w:val="clear" w:color="auto" w:fill="FFFFFF" w:themeFill="background1"/>
            <w:tcMar>
              <w:top w:w="15" w:type="dxa"/>
              <w:left w:w="15" w:type="dxa"/>
              <w:right w:w="15" w:type="dxa"/>
            </w:tcMar>
            <w:vAlign w:val="bottom"/>
          </w:tcPr>
          <w:p w14:paraId="4475426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500</w:t>
            </w:r>
          </w:p>
        </w:tc>
      </w:tr>
      <w:tr w:rsidR="006714FF" w14:paraId="38AA0DC1" w14:textId="77777777" w:rsidTr="00B77C41">
        <w:trPr>
          <w:trHeight w:val="300"/>
        </w:trPr>
        <w:tc>
          <w:tcPr>
            <w:tcW w:w="1152" w:type="dxa"/>
            <w:vMerge w:val="restart"/>
            <w:shd w:val="clear" w:color="auto" w:fill="FFFFFF" w:themeFill="background1"/>
            <w:tcMar>
              <w:top w:w="15" w:type="dxa"/>
              <w:left w:w="15" w:type="dxa"/>
              <w:right w:w="15" w:type="dxa"/>
            </w:tcMar>
            <w:vAlign w:val="center"/>
          </w:tcPr>
          <w:p w14:paraId="67579FC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LUR &amp; Temporal Kernel Smoothing</w:t>
            </w:r>
          </w:p>
        </w:tc>
        <w:tc>
          <w:tcPr>
            <w:tcW w:w="1080" w:type="dxa"/>
            <w:shd w:val="clear" w:color="auto" w:fill="FFFFFF" w:themeFill="background1"/>
            <w:tcMar>
              <w:top w:w="15" w:type="dxa"/>
              <w:left w:w="15" w:type="dxa"/>
              <w:right w:w="15" w:type="dxa"/>
            </w:tcMar>
            <w:vAlign w:val="center"/>
          </w:tcPr>
          <w:p w14:paraId="279932E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1008" w:type="dxa"/>
            <w:shd w:val="clear" w:color="auto" w:fill="FFFFFF" w:themeFill="background1"/>
            <w:tcMar>
              <w:top w:w="15" w:type="dxa"/>
              <w:left w:w="15" w:type="dxa"/>
              <w:right w:w="15" w:type="dxa"/>
            </w:tcMar>
            <w:vAlign w:val="bottom"/>
          </w:tcPr>
          <w:p w14:paraId="3B42250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2.5390</w:t>
            </w:r>
          </w:p>
        </w:tc>
        <w:tc>
          <w:tcPr>
            <w:tcW w:w="648" w:type="dxa"/>
            <w:shd w:val="clear" w:color="auto" w:fill="FFFFFF" w:themeFill="background1"/>
            <w:tcMar>
              <w:top w:w="15" w:type="dxa"/>
              <w:left w:w="15" w:type="dxa"/>
              <w:right w:w="15" w:type="dxa"/>
            </w:tcMar>
            <w:vAlign w:val="bottom"/>
          </w:tcPr>
          <w:p w14:paraId="7392587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0.52</w:t>
            </w:r>
          </w:p>
        </w:tc>
        <w:tc>
          <w:tcPr>
            <w:tcW w:w="648" w:type="dxa"/>
            <w:shd w:val="clear" w:color="auto" w:fill="FFFFFF" w:themeFill="background1"/>
            <w:tcMar>
              <w:top w:w="15" w:type="dxa"/>
              <w:left w:w="15" w:type="dxa"/>
              <w:right w:w="15" w:type="dxa"/>
            </w:tcMar>
            <w:vAlign w:val="bottom"/>
          </w:tcPr>
          <w:p w14:paraId="5059143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046A52C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3.5</w:t>
            </w:r>
          </w:p>
        </w:tc>
        <w:tc>
          <w:tcPr>
            <w:tcW w:w="648" w:type="dxa"/>
            <w:shd w:val="clear" w:color="auto" w:fill="FFFFFF" w:themeFill="background1"/>
            <w:tcMar>
              <w:top w:w="15" w:type="dxa"/>
              <w:left w:w="15" w:type="dxa"/>
              <w:right w:w="15" w:type="dxa"/>
            </w:tcMar>
            <w:vAlign w:val="bottom"/>
          </w:tcPr>
          <w:p w14:paraId="7DF6AEB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7B99066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3896B31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700</w:t>
            </w:r>
          </w:p>
        </w:tc>
        <w:tc>
          <w:tcPr>
            <w:tcW w:w="648" w:type="dxa"/>
            <w:shd w:val="clear" w:color="auto" w:fill="FFFFFF" w:themeFill="background1"/>
            <w:tcMar>
              <w:top w:w="15" w:type="dxa"/>
              <w:left w:w="15" w:type="dxa"/>
              <w:right w:w="15" w:type="dxa"/>
            </w:tcMar>
            <w:vAlign w:val="bottom"/>
          </w:tcPr>
          <w:p w14:paraId="0861834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0.18</w:t>
            </w:r>
          </w:p>
        </w:tc>
        <w:tc>
          <w:tcPr>
            <w:tcW w:w="648" w:type="dxa"/>
            <w:shd w:val="clear" w:color="auto" w:fill="FFFFFF" w:themeFill="background1"/>
            <w:tcMar>
              <w:top w:w="15" w:type="dxa"/>
              <w:left w:w="15" w:type="dxa"/>
              <w:right w:w="15" w:type="dxa"/>
            </w:tcMar>
            <w:vAlign w:val="bottom"/>
          </w:tcPr>
          <w:p w14:paraId="1FF6E3D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shd w:val="clear" w:color="auto" w:fill="FFFFFF" w:themeFill="background1"/>
            <w:tcMar>
              <w:top w:w="15" w:type="dxa"/>
              <w:left w:w="15" w:type="dxa"/>
              <w:right w:w="15" w:type="dxa"/>
            </w:tcMar>
            <w:vAlign w:val="bottom"/>
          </w:tcPr>
          <w:p w14:paraId="5D8E56F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700</w:t>
            </w:r>
          </w:p>
        </w:tc>
      </w:tr>
      <w:tr w:rsidR="006714FF" w14:paraId="7165A44A" w14:textId="77777777" w:rsidTr="00B77C41">
        <w:trPr>
          <w:trHeight w:val="285"/>
        </w:trPr>
        <w:tc>
          <w:tcPr>
            <w:tcW w:w="1152" w:type="dxa"/>
            <w:vMerge/>
            <w:vAlign w:val="center"/>
          </w:tcPr>
          <w:p w14:paraId="6EDE7369" w14:textId="77777777" w:rsidR="006714FF" w:rsidRDefault="006714FF" w:rsidP="00B77C41"/>
        </w:tc>
        <w:tc>
          <w:tcPr>
            <w:tcW w:w="1080" w:type="dxa"/>
            <w:shd w:val="clear" w:color="auto" w:fill="FFFFFF" w:themeFill="background1"/>
            <w:tcMar>
              <w:top w:w="15" w:type="dxa"/>
              <w:left w:w="15" w:type="dxa"/>
              <w:right w:w="15" w:type="dxa"/>
            </w:tcMar>
            <w:vAlign w:val="center"/>
          </w:tcPr>
          <w:p w14:paraId="66FE7C3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shd w:val="clear" w:color="auto" w:fill="FFFFFF" w:themeFill="background1"/>
            <w:tcMar>
              <w:top w:w="15" w:type="dxa"/>
              <w:left w:w="15" w:type="dxa"/>
              <w:right w:w="15" w:type="dxa"/>
            </w:tcMar>
            <w:vAlign w:val="bottom"/>
          </w:tcPr>
          <w:p w14:paraId="4BF0AB4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2.5329</w:t>
            </w:r>
          </w:p>
        </w:tc>
        <w:tc>
          <w:tcPr>
            <w:tcW w:w="648" w:type="dxa"/>
            <w:shd w:val="clear" w:color="auto" w:fill="FFFFFF" w:themeFill="background1"/>
            <w:tcMar>
              <w:top w:w="15" w:type="dxa"/>
              <w:left w:w="15" w:type="dxa"/>
              <w:right w:w="15" w:type="dxa"/>
            </w:tcMar>
            <w:vAlign w:val="bottom"/>
          </w:tcPr>
          <w:p w14:paraId="6AE8172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0.52</w:t>
            </w:r>
          </w:p>
        </w:tc>
        <w:tc>
          <w:tcPr>
            <w:tcW w:w="648" w:type="dxa"/>
            <w:shd w:val="clear" w:color="auto" w:fill="FFFFFF" w:themeFill="background1"/>
            <w:tcMar>
              <w:top w:w="15" w:type="dxa"/>
              <w:left w:w="15" w:type="dxa"/>
              <w:right w:w="15" w:type="dxa"/>
            </w:tcMar>
            <w:vAlign w:val="bottom"/>
          </w:tcPr>
          <w:p w14:paraId="64CC911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16E66D6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3.5</w:t>
            </w:r>
          </w:p>
        </w:tc>
        <w:tc>
          <w:tcPr>
            <w:tcW w:w="648" w:type="dxa"/>
            <w:shd w:val="clear" w:color="auto" w:fill="FFFFFF" w:themeFill="background1"/>
            <w:tcMar>
              <w:top w:w="15" w:type="dxa"/>
              <w:left w:w="15" w:type="dxa"/>
              <w:right w:w="15" w:type="dxa"/>
            </w:tcMar>
            <w:vAlign w:val="bottom"/>
          </w:tcPr>
          <w:p w14:paraId="20FEF62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7036472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6D548F3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shd w:val="clear" w:color="auto" w:fill="FFFFFF" w:themeFill="background1"/>
            <w:tcMar>
              <w:top w:w="15" w:type="dxa"/>
              <w:left w:w="15" w:type="dxa"/>
              <w:right w:w="15" w:type="dxa"/>
            </w:tcMar>
            <w:vAlign w:val="bottom"/>
          </w:tcPr>
          <w:p w14:paraId="6007081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0.18</w:t>
            </w:r>
          </w:p>
        </w:tc>
        <w:tc>
          <w:tcPr>
            <w:tcW w:w="648" w:type="dxa"/>
            <w:shd w:val="clear" w:color="auto" w:fill="FFFFFF" w:themeFill="background1"/>
            <w:tcMar>
              <w:top w:w="15" w:type="dxa"/>
              <w:left w:w="15" w:type="dxa"/>
              <w:right w:w="15" w:type="dxa"/>
            </w:tcMar>
            <w:vAlign w:val="bottom"/>
          </w:tcPr>
          <w:p w14:paraId="08CF70B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shd w:val="clear" w:color="auto" w:fill="FFFFFF" w:themeFill="background1"/>
            <w:tcMar>
              <w:top w:w="15" w:type="dxa"/>
              <w:left w:w="15" w:type="dxa"/>
              <w:right w:w="15" w:type="dxa"/>
            </w:tcMar>
            <w:vAlign w:val="bottom"/>
          </w:tcPr>
          <w:p w14:paraId="1923119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0EFBF964" w14:textId="77777777" w:rsidTr="00B77C41">
        <w:trPr>
          <w:trHeight w:val="285"/>
        </w:trPr>
        <w:tc>
          <w:tcPr>
            <w:tcW w:w="1152" w:type="dxa"/>
            <w:vMerge/>
            <w:vAlign w:val="center"/>
          </w:tcPr>
          <w:p w14:paraId="635CA90F" w14:textId="77777777" w:rsidR="006714FF" w:rsidRDefault="006714FF" w:rsidP="00B77C41"/>
        </w:tc>
        <w:tc>
          <w:tcPr>
            <w:tcW w:w="1080" w:type="dxa"/>
            <w:shd w:val="clear" w:color="auto" w:fill="FFFFFF" w:themeFill="background1"/>
            <w:tcMar>
              <w:top w:w="15" w:type="dxa"/>
              <w:left w:w="15" w:type="dxa"/>
              <w:right w:w="15" w:type="dxa"/>
            </w:tcMar>
            <w:vAlign w:val="center"/>
          </w:tcPr>
          <w:p w14:paraId="74CEA027"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shd w:val="clear" w:color="auto" w:fill="FFFFFF" w:themeFill="background1"/>
            <w:tcMar>
              <w:top w:w="15" w:type="dxa"/>
              <w:left w:w="15" w:type="dxa"/>
              <w:right w:w="15" w:type="dxa"/>
            </w:tcMar>
            <w:vAlign w:val="bottom"/>
          </w:tcPr>
          <w:p w14:paraId="35E2F41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2.5215</w:t>
            </w:r>
          </w:p>
        </w:tc>
        <w:tc>
          <w:tcPr>
            <w:tcW w:w="648" w:type="dxa"/>
            <w:shd w:val="clear" w:color="auto" w:fill="FFFFFF" w:themeFill="background1"/>
            <w:tcMar>
              <w:top w:w="15" w:type="dxa"/>
              <w:left w:w="15" w:type="dxa"/>
              <w:right w:w="15" w:type="dxa"/>
            </w:tcMar>
            <w:vAlign w:val="bottom"/>
          </w:tcPr>
          <w:p w14:paraId="5EBB4DB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0.52</w:t>
            </w:r>
          </w:p>
        </w:tc>
        <w:tc>
          <w:tcPr>
            <w:tcW w:w="648" w:type="dxa"/>
            <w:shd w:val="clear" w:color="auto" w:fill="FFFFFF" w:themeFill="background1"/>
            <w:tcMar>
              <w:top w:w="15" w:type="dxa"/>
              <w:left w:w="15" w:type="dxa"/>
              <w:right w:w="15" w:type="dxa"/>
            </w:tcMar>
            <w:vAlign w:val="bottom"/>
          </w:tcPr>
          <w:p w14:paraId="52A0DE7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008245A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3.2</w:t>
            </w:r>
          </w:p>
        </w:tc>
        <w:tc>
          <w:tcPr>
            <w:tcW w:w="648" w:type="dxa"/>
            <w:shd w:val="clear" w:color="auto" w:fill="FFFFFF" w:themeFill="background1"/>
            <w:tcMar>
              <w:top w:w="15" w:type="dxa"/>
              <w:left w:w="15" w:type="dxa"/>
              <w:right w:w="15" w:type="dxa"/>
            </w:tcMar>
            <w:vAlign w:val="bottom"/>
          </w:tcPr>
          <w:p w14:paraId="20B7F9A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4CF0720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3F53420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shd w:val="clear" w:color="auto" w:fill="FFFFFF" w:themeFill="background1"/>
            <w:tcMar>
              <w:top w:w="15" w:type="dxa"/>
              <w:left w:w="15" w:type="dxa"/>
              <w:right w:w="15" w:type="dxa"/>
            </w:tcMar>
            <w:vAlign w:val="bottom"/>
          </w:tcPr>
          <w:p w14:paraId="78191A0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0.18</w:t>
            </w:r>
          </w:p>
        </w:tc>
        <w:tc>
          <w:tcPr>
            <w:tcW w:w="648" w:type="dxa"/>
            <w:shd w:val="clear" w:color="auto" w:fill="FFFFFF" w:themeFill="background1"/>
            <w:tcMar>
              <w:top w:w="15" w:type="dxa"/>
              <w:left w:w="15" w:type="dxa"/>
              <w:right w:w="15" w:type="dxa"/>
            </w:tcMar>
            <w:vAlign w:val="bottom"/>
          </w:tcPr>
          <w:p w14:paraId="76075DD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shd w:val="clear" w:color="auto" w:fill="FFFFFF" w:themeFill="background1"/>
            <w:tcMar>
              <w:top w:w="15" w:type="dxa"/>
              <w:left w:w="15" w:type="dxa"/>
              <w:right w:w="15" w:type="dxa"/>
            </w:tcMar>
            <w:vAlign w:val="bottom"/>
          </w:tcPr>
          <w:p w14:paraId="13A729D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4306E572" w14:textId="77777777" w:rsidTr="00B77C41">
        <w:trPr>
          <w:trHeight w:val="285"/>
        </w:trPr>
        <w:tc>
          <w:tcPr>
            <w:tcW w:w="1152" w:type="dxa"/>
            <w:vMerge/>
            <w:vAlign w:val="center"/>
          </w:tcPr>
          <w:p w14:paraId="739B2939" w14:textId="77777777" w:rsidR="006714FF" w:rsidRDefault="006714FF" w:rsidP="00B77C41"/>
        </w:tc>
        <w:tc>
          <w:tcPr>
            <w:tcW w:w="1080" w:type="dxa"/>
            <w:shd w:val="clear" w:color="auto" w:fill="FFFFFF" w:themeFill="background1"/>
            <w:tcMar>
              <w:top w:w="15" w:type="dxa"/>
              <w:left w:w="15" w:type="dxa"/>
              <w:right w:w="15" w:type="dxa"/>
            </w:tcMar>
            <w:vAlign w:val="bottom"/>
          </w:tcPr>
          <w:p w14:paraId="22895CE1" w14:textId="77777777" w:rsidR="006714FF" w:rsidRDefault="006714FF" w:rsidP="00B77C41">
            <w:pPr>
              <w:spacing w:after="0"/>
              <w:rPr>
                <w:rFonts w:ascii="Times New Roman" w:hAnsi="Times New Roman"/>
                <w:sz w:val="22"/>
                <w:szCs w:val="22"/>
              </w:rPr>
            </w:pPr>
            <w:r w:rsidRPr="57EE44F5">
              <w:rPr>
                <w:rFonts w:ascii="Times New Roman" w:hAnsi="Times New Roman"/>
                <w:sz w:val="22"/>
                <w:szCs w:val="22"/>
              </w:rPr>
              <w:t>Local</w:t>
            </w:r>
          </w:p>
        </w:tc>
        <w:tc>
          <w:tcPr>
            <w:tcW w:w="1008" w:type="dxa"/>
            <w:shd w:val="clear" w:color="auto" w:fill="FFFFFF" w:themeFill="background1"/>
            <w:tcMar>
              <w:top w:w="15" w:type="dxa"/>
              <w:left w:w="15" w:type="dxa"/>
              <w:right w:w="15" w:type="dxa"/>
            </w:tcMar>
            <w:vAlign w:val="bottom"/>
          </w:tcPr>
          <w:p w14:paraId="0ABCF03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2.5037</w:t>
            </w:r>
          </w:p>
        </w:tc>
        <w:tc>
          <w:tcPr>
            <w:tcW w:w="648" w:type="dxa"/>
            <w:shd w:val="clear" w:color="auto" w:fill="FFFFFF" w:themeFill="background1"/>
            <w:tcMar>
              <w:top w:w="15" w:type="dxa"/>
              <w:left w:w="15" w:type="dxa"/>
              <w:right w:w="15" w:type="dxa"/>
            </w:tcMar>
            <w:vAlign w:val="bottom"/>
          </w:tcPr>
          <w:p w14:paraId="0D593F7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0.52</w:t>
            </w:r>
          </w:p>
        </w:tc>
        <w:tc>
          <w:tcPr>
            <w:tcW w:w="648" w:type="dxa"/>
            <w:shd w:val="clear" w:color="auto" w:fill="FFFFFF" w:themeFill="background1"/>
            <w:tcMar>
              <w:top w:w="15" w:type="dxa"/>
              <w:left w:w="15" w:type="dxa"/>
              <w:right w:w="15" w:type="dxa"/>
            </w:tcMar>
            <w:vAlign w:val="bottom"/>
          </w:tcPr>
          <w:p w14:paraId="33E4498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57E60B6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3.2</w:t>
            </w:r>
          </w:p>
        </w:tc>
        <w:tc>
          <w:tcPr>
            <w:tcW w:w="648" w:type="dxa"/>
            <w:shd w:val="clear" w:color="auto" w:fill="FFFFFF" w:themeFill="background1"/>
            <w:tcMar>
              <w:top w:w="15" w:type="dxa"/>
              <w:left w:w="15" w:type="dxa"/>
              <w:right w:w="15" w:type="dxa"/>
            </w:tcMar>
            <w:vAlign w:val="bottom"/>
          </w:tcPr>
          <w:p w14:paraId="2F5020D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3008E1A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shd w:val="clear" w:color="auto" w:fill="FFFFFF" w:themeFill="background1"/>
            <w:tcMar>
              <w:top w:w="15" w:type="dxa"/>
              <w:left w:w="15" w:type="dxa"/>
              <w:right w:w="15" w:type="dxa"/>
            </w:tcMar>
            <w:vAlign w:val="bottom"/>
          </w:tcPr>
          <w:p w14:paraId="5FC6703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c>
          <w:tcPr>
            <w:tcW w:w="648" w:type="dxa"/>
            <w:shd w:val="clear" w:color="auto" w:fill="FFFFFF" w:themeFill="background1"/>
            <w:tcMar>
              <w:top w:w="15" w:type="dxa"/>
              <w:left w:w="15" w:type="dxa"/>
              <w:right w:w="15" w:type="dxa"/>
            </w:tcMar>
            <w:vAlign w:val="bottom"/>
          </w:tcPr>
          <w:p w14:paraId="5ACB6A3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0.18</w:t>
            </w:r>
          </w:p>
        </w:tc>
        <w:tc>
          <w:tcPr>
            <w:tcW w:w="648" w:type="dxa"/>
            <w:shd w:val="clear" w:color="auto" w:fill="FFFFFF" w:themeFill="background1"/>
            <w:tcMar>
              <w:top w:w="15" w:type="dxa"/>
              <w:left w:w="15" w:type="dxa"/>
              <w:right w:w="15" w:type="dxa"/>
            </w:tcMar>
            <w:vAlign w:val="bottom"/>
          </w:tcPr>
          <w:p w14:paraId="48B7567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shd w:val="clear" w:color="auto" w:fill="FFFFFF" w:themeFill="background1"/>
            <w:tcMar>
              <w:top w:w="15" w:type="dxa"/>
              <w:left w:w="15" w:type="dxa"/>
              <w:right w:w="15" w:type="dxa"/>
            </w:tcMar>
            <w:vAlign w:val="bottom"/>
          </w:tcPr>
          <w:p w14:paraId="3C7DD95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r>
    </w:tbl>
    <w:p w14:paraId="7A9D2B44" w14:textId="77777777" w:rsidR="006714FF" w:rsidRDefault="006714FF" w:rsidP="006714FF">
      <w:pPr>
        <w:spacing w:after="0" w:line="259" w:lineRule="auto"/>
        <w:rPr>
          <w:rFonts w:ascii="Times New Roman" w:hAnsi="Times New Roman"/>
          <w:color w:val="000000" w:themeColor="text1"/>
          <w:sz w:val="20"/>
        </w:rPr>
      </w:pPr>
    </w:p>
    <w:p w14:paraId="7A91BC45" w14:textId="77777777" w:rsidR="006714FF" w:rsidRDefault="006714FF" w:rsidP="006714FF">
      <w:pPr>
        <w:pStyle w:val="VDTableTitle"/>
        <w:rPr>
          <w:b/>
          <w:bCs/>
        </w:rPr>
      </w:pPr>
    </w:p>
    <w:p w14:paraId="43F0AAE9" w14:textId="77777777" w:rsidR="006714FF" w:rsidRDefault="006714FF" w:rsidP="006714FF">
      <w:pPr>
        <w:pStyle w:val="VDTableTitle"/>
        <w:rPr>
          <w:b/>
          <w:bCs/>
        </w:rPr>
      </w:pPr>
    </w:p>
    <w:p w14:paraId="02D992A0" w14:textId="77777777" w:rsidR="006714FF" w:rsidRDefault="006714FF" w:rsidP="006714FF">
      <w:pPr>
        <w:pStyle w:val="VDTableTitle"/>
        <w:rPr>
          <w:b/>
          <w:bCs/>
        </w:rPr>
      </w:pPr>
    </w:p>
    <w:p w14:paraId="6FDABFC4" w14:textId="77777777" w:rsidR="006714FF" w:rsidRDefault="006714FF" w:rsidP="006714FF">
      <w:pPr>
        <w:pStyle w:val="VDTableTitle"/>
        <w:rPr>
          <w:b/>
          <w:bCs/>
        </w:rPr>
      </w:pPr>
    </w:p>
    <w:p w14:paraId="35FBB286" w14:textId="77777777" w:rsidR="006714FF" w:rsidRDefault="006714FF" w:rsidP="006714FF">
      <w:pPr>
        <w:pStyle w:val="VDTableTitle"/>
        <w:rPr>
          <w:b/>
          <w:bCs/>
        </w:rPr>
      </w:pPr>
    </w:p>
    <w:p w14:paraId="13FC93E0" w14:textId="77777777" w:rsidR="006714FF" w:rsidRDefault="006714FF" w:rsidP="006714FF">
      <w:pPr>
        <w:pStyle w:val="VDTableTitle"/>
        <w:rPr>
          <w:b/>
          <w:bCs/>
        </w:rPr>
      </w:pPr>
    </w:p>
    <w:p w14:paraId="5BC1C001" w14:textId="77777777" w:rsidR="006714FF" w:rsidRDefault="006714FF" w:rsidP="006714FF">
      <w:pPr>
        <w:pStyle w:val="VDTableTitle"/>
        <w:rPr>
          <w:b/>
          <w:bCs/>
        </w:rPr>
      </w:pPr>
    </w:p>
    <w:p w14:paraId="32EFD914" w14:textId="77777777" w:rsidR="006714FF" w:rsidRDefault="006714FF" w:rsidP="006714FF">
      <w:pPr>
        <w:pStyle w:val="VDTableTitle"/>
        <w:rPr>
          <w:color w:val="000000" w:themeColor="text1"/>
        </w:rPr>
      </w:pPr>
      <w:r w:rsidRPr="00E91DFB">
        <w:rPr>
          <w:b/>
          <w:bCs/>
        </w:rPr>
        <w:lastRenderedPageBreak/>
        <w:t>Table S8.</w:t>
      </w:r>
      <w:r w:rsidRPr="57EE44F5">
        <w:t xml:space="preserve"> </w:t>
      </w:r>
      <w:r>
        <w:t>Log-</w:t>
      </w:r>
      <w:r w:rsidRPr="57EE44F5">
        <w:t>benzene covariance models inputs based on selected global offset. Bolded covariance models were used during method evaluation and determined using 3-degree RCV sensitivity analyses.</w:t>
      </w:r>
    </w:p>
    <w:tbl>
      <w:tblPr>
        <w:tblW w:w="0" w:type="auto"/>
        <w:tblLayout w:type="fixed"/>
        <w:tblLook w:val="06A0" w:firstRow="1" w:lastRow="0" w:firstColumn="1" w:lastColumn="0" w:noHBand="1" w:noVBand="1"/>
      </w:tblPr>
      <w:tblGrid>
        <w:gridCol w:w="1152"/>
        <w:gridCol w:w="1080"/>
        <w:gridCol w:w="1008"/>
        <w:gridCol w:w="648"/>
        <w:gridCol w:w="648"/>
        <w:gridCol w:w="648"/>
        <w:gridCol w:w="648"/>
        <w:gridCol w:w="648"/>
        <w:gridCol w:w="648"/>
        <w:gridCol w:w="648"/>
        <w:gridCol w:w="648"/>
        <w:gridCol w:w="648"/>
      </w:tblGrid>
      <w:tr w:rsidR="006714FF" w14:paraId="4A3F4024" w14:textId="77777777" w:rsidTr="00B77C41">
        <w:trPr>
          <w:trHeight w:val="300"/>
        </w:trPr>
        <w:tc>
          <w:tcPr>
            <w:tcW w:w="1152"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3667B1A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80"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43162D67"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008"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44D89FEF" w14:textId="77777777" w:rsidR="006714FF" w:rsidRDefault="00000000" w:rsidP="00B77C41">
            <w:pPr>
              <w:spacing w:after="0"/>
              <w:jc w:val="center"/>
              <w:rPr>
                <w:rFonts w:ascii="Times New Roman" w:hAnsi="Times New Roman"/>
                <w:sz w:val="22"/>
                <w:szCs w:val="22"/>
              </w:rPr>
            </w:pPr>
            <m:oMath>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X</m:t>
                      </m:r>
                    </m:sub>
                  </m:sSub>
                </m:e>
                <m:sup>
                  <m:r>
                    <w:rPr>
                      <w:rFonts w:ascii="Cambria Math" w:hAnsi="Cambria Math"/>
                      <w:sz w:val="22"/>
                      <w:szCs w:val="22"/>
                    </w:rPr>
                    <m:t>2</m:t>
                  </m:r>
                </m:sup>
              </m:sSup>
            </m:oMath>
            <w:r w:rsidR="006714FF">
              <w:rPr>
                <w:rFonts w:ascii="Times New Roman" w:hAnsi="Times New Roman"/>
                <w:sz w:val="22"/>
                <w:szCs w:val="22"/>
              </w:rPr>
              <w:t xml:space="preserve"> </w:t>
            </w:r>
            <w:r w:rsidR="006714FF" w:rsidRPr="57EE44F5">
              <w:rPr>
                <w:rFonts w:ascii="Times New Roman" w:hAnsi="Times New Roman"/>
                <w:sz w:val="22"/>
                <w:szCs w:val="22"/>
              </w:rPr>
              <w:t>(</w:t>
            </w:r>
            <w:r w:rsidR="006714FF">
              <w:rPr>
                <w:rFonts w:ascii="Times New Roman" w:hAnsi="Times New Roman"/>
                <w:sz w:val="22"/>
                <w:szCs w:val="22"/>
              </w:rPr>
              <w:t>log(</w:t>
            </w:r>
            <w:r w:rsidR="006714FF" w:rsidRPr="57EE44F5">
              <w:rPr>
                <w:rFonts w:ascii="Times New Roman" w:hAnsi="Times New Roman"/>
                <w:sz w:val="22"/>
                <w:szCs w:val="22"/>
              </w:rPr>
              <w:t>ppb)</w:t>
            </w:r>
            <w:r w:rsidR="006714FF" w:rsidRPr="57EE44F5">
              <w:rPr>
                <w:rFonts w:ascii="Times New Roman" w:hAnsi="Times New Roman"/>
                <w:sz w:val="22"/>
                <w:szCs w:val="22"/>
                <w:vertAlign w:val="superscript"/>
              </w:rPr>
              <w:t>2</w:t>
            </w:r>
            <w:r w:rsidR="006714FF" w:rsidRPr="57EE44F5">
              <w:rPr>
                <w:rFonts w:ascii="Times New Roman" w:hAnsi="Times New Roman"/>
                <w:sz w:val="22"/>
                <w:szCs w:val="22"/>
              </w:rPr>
              <w:t>)</w:t>
            </w:r>
          </w:p>
        </w:tc>
        <w:tc>
          <w:tcPr>
            <w:tcW w:w="1944"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57C73A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1 (exp.)</w:t>
            </w:r>
          </w:p>
        </w:tc>
        <w:tc>
          <w:tcPr>
            <w:tcW w:w="1944" w:type="dxa"/>
            <w:gridSpan w:val="3"/>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bottom"/>
          </w:tcPr>
          <w:p w14:paraId="526DDA1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2 (exp.)</w:t>
            </w:r>
          </w:p>
        </w:tc>
        <w:tc>
          <w:tcPr>
            <w:tcW w:w="1944" w:type="dxa"/>
            <w:gridSpan w:val="3"/>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bottom"/>
          </w:tcPr>
          <w:p w14:paraId="5B54409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3 (exp.)</w:t>
            </w:r>
          </w:p>
        </w:tc>
      </w:tr>
      <w:tr w:rsidR="006714FF" w14:paraId="2AEF3F39" w14:textId="77777777" w:rsidTr="00B77C41">
        <w:trPr>
          <w:trHeight w:val="345"/>
        </w:trPr>
        <w:tc>
          <w:tcPr>
            <w:tcW w:w="1152" w:type="dxa"/>
            <w:vMerge/>
            <w:tcBorders>
              <w:left w:val="single" w:sz="4" w:space="0" w:color="auto"/>
              <w:bottom w:val="single" w:sz="4" w:space="0" w:color="auto"/>
              <w:right w:val="single" w:sz="4" w:space="0" w:color="auto"/>
            </w:tcBorders>
            <w:vAlign w:val="center"/>
          </w:tcPr>
          <w:p w14:paraId="778C8A01" w14:textId="77777777" w:rsidR="006714FF" w:rsidRDefault="006714FF" w:rsidP="00B77C41"/>
        </w:tc>
        <w:tc>
          <w:tcPr>
            <w:tcW w:w="1080" w:type="dxa"/>
            <w:vMerge/>
            <w:tcBorders>
              <w:left w:val="single" w:sz="4" w:space="0" w:color="auto"/>
              <w:bottom w:val="single" w:sz="4" w:space="0" w:color="auto"/>
              <w:right w:val="single" w:sz="4" w:space="0" w:color="auto"/>
            </w:tcBorders>
            <w:vAlign w:val="center"/>
          </w:tcPr>
          <w:p w14:paraId="65973BE7" w14:textId="77777777" w:rsidR="006714FF" w:rsidRDefault="006714FF" w:rsidP="00B77C41"/>
        </w:tc>
        <w:tc>
          <w:tcPr>
            <w:tcW w:w="1008" w:type="dxa"/>
            <w:vMerge/>
            <w:tcBorders>
              <w:left w:val="single" w:sz="4" w:space="0" w:color="auto"/>
              <w:bottom w:val="single" w:sz="4" w:space="0" w:color="auto"/>
              <w:right w:val="single" w:sz="4" w:space="0" w:color="auto"/>
            </w:tcBorders>
            <w:vAlign w:val="center"/>
          </w:tcPr>
          <w:p w14:paraId="75E1EA5A" w14:textId="77777777" w:rsidR="006714FF" w:rsidRDefault="006714FF" w:rsidP="00B77C41"/>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76E86BF0"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1</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4D81D01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081916F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t1</w:t>
            </w:r>
            <w:r w:rsidRPr="57EE44F5">
              <w:rPr>
                <w:rFonts w:ascii="Times New Roman" w:hAnsi="Times New Roman"/>
                <w:sz w:val="22"/>
                <w:szCs w:val="22"/>
              </w:rPr>
              <w:t xml:space="preserve"> (day)</w:t>
            </w:r>
          </w:p>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4591D672"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2</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06DCA46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99C378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90BC2CF"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3</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33D6DF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r2</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6AFA23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r>
      <w:tr w:rsidR="006714FF" w14:paraId="6D4D9E2D" w14:textId="77777777" w:rsidTr="00B77C41">
        <w:trPr>
          <w:trHeight w:val="285"/>
        </w:trPr>
        <w:tc>
          <w:tcPr>
            <w:tcW w:w="115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759315E"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73C7BDC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0C9A62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0.9899</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2F8456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98AE6A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0BF0F3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CB6E76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FD8260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237723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425B77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5FC4A5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ABDC57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3986DA6E" w14:textId="77777777" w:rsidTr="00B77C41">
        <w:trPr>
          <w:trHeight w:val="285"/>
        </w:trPr>
        <w:tc>
          <w:tcPr>
            <w:tcW w:w="115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55BA21C7"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Flat</w:t>
            </w:r>
          </w:p>
        </w:tc>
        <w:tc>
          <w:tcPr>
            <w:tcW w:w="1080"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15" w:type="dxa"/>
              <w:left w:w="15" w:type="dxa"/>
              <w:right w:w="15" w:type="dxa"/>
            </w:tcMar>
            <w:vAlign w:val="center"/>
          </w:tcPr>
          <w:p w14:paraId="60AEABD4"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 xml:space="preserve"> </w:t>
            </w:r>
          </w:p>
        </w:tc>
        <w:tc>
          <w:tcPr>
            <w:tcW w:w="1008"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bottom"/>
          </w:tcPr>
          <w:p w14:paraId="2802CA5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0.9780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E1A56A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37A609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8D75AB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8C0EA1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BE2322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FA9DC6D"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27A238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2B1DB64"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C3A742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600</w:t>
            </w:r>
          </w:p>
        </w:tc>
      </w:tr>
      <w:tr w:rsidR="006714FF" w14:paraId="5233B07F" w14:textId="77777777" w:rsidTr="00B77C41">
        <w:trPr>
          <w:trHeight w:val="300"/>
        </w:trPr>
        <w:tc>
          <w:tcPr>
            <w:tcW w:w="115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57674C6"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&amp; Temporal Kernel Smoothing</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C6A75F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B3D759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0.8844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FD5771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B46F85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CB1D78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DA7340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28401D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D47039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860E4E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83A958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A8883C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5D2F349B" w14:textId="77777777" w:rsidTr="00B77C41">
        <w:trPr>
          <w:trHeight w:val="285"/>
        </w:trPr>
        <w:tc>
          <w:tcPr>
            <w:tcW w:w="1152" w:type="dxa"/>
            <w:vMerge/>
            <w:tcBorders>
              <w:left w:val="single" w:sz="4" w:space="0" w:color="auto"/>
              <w:right w:val="single" w:sz="4" w:space="0" w:color="auto"/>
            </w:tcBorders>
            <w:vAlign w:val="center"/>
          </w:tcPr>
          <w:p w14:paraId="2406DE1E"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683E08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C49FE7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0.8130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DB3665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699BB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C88080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9A9167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6CF9AD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574DCA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F4136A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3DA6B8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D5CD39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550</w:t>
            </w:r>
          </w:p>
        </w:tc>
      </w:tr>
      <w:tr w:rsidR="006714FF" w14:paraId="3B66E0AB" w14:textId="77777777" w:rsidTr="00B77C41">
        <w:trPr>
          <w:trHeight w:val="285"/>
        </w:trPr>
        <w:tc>
          <w:tcPr>
            <w:tcW w:w="1152" w:type="dxa"/>
            <w:vMerge/>
            <w:tcBorders>
              <w:left w:val="single" w:sz="4" w:space="0" w:color="auto"/>
              <w:right w:val="single" w:sz="4" w:space="0" w:color="auto"/>
            </w:tcBorders>
            <w:vAlign w:val="center"/>
          </w:tcPr>
          <w:p w14:paraId="770200D6"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2E70C7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4D66C2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0.7386</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100DB9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8F59A4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12D89B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B09F01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74D5F9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E58036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88975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0237CC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C76249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r>
      <w:tr w:rsidR="006714FF" w14:paraId="416423CD"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74C5C6DA"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26A850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B7DD2F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0.6812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513A99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E5D1D5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53B10C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600A14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136FC1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57241D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B54D17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FF56FF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5D5427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450</w:t>
            </w:r>
          </w:p>
        </w:tc>
      </w:tr>
      <w:tr w:rsidR="006714FF" w14:paraId="640558E0" w14:textId="77777777" w:rsidTr="00B77C41">
        <w:trPr>
          <w:trHeight w:val="300"/>
        </w:trPr>
        <w:tc>
          <w:tcPr>
            <w:tcW w:w="115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9BE5560"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LUR &amp; Temporal Kernel Smoothing</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5DE1EE9"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554C51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0.8502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0199AC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0.55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154CB6B"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D0CA80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99609ED"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C07A19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BCEE53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B3B394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A1146A4"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3CFBFF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600</w:t>
            </w:r>
          </w:p>
        </w:tc>
      </w:tr>
      <w:tr w:rsidR="006714FF" w14:paraId="4F1C4D4F" w14:textId="77777777" w:rsidTr="00B77C41">
        <w:trPr>
          <w:trHeight w:val="285"/>
        </w:trPr>
        <w:tc>
          <w:tcPr>
            <w:tcW w:w="1152" w:type="dxa"/>
            <w:vMerge/>
            <w:tcBorders>
              <w:left w:val="single" w:sz="4" w:space="0" w:color="auto"/>
              <w:right w:val="single" w:sz="4" w:space="0" w:color="auto"/>
            </w:tcBorders>
            <w:vAlign w:val="center"/>
          </w:tcPr>
          <w:p w14:paraId="3C2F6EE7"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2BE727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F3A950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0.8446</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573034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852C42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A3C709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BB97D2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602D82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62BE0C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C5A44F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E14DDC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8CBC3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550</w:t>
            </w:r>
          </w:p>
        </w:tc>
      </w:tr>
      <w:tr w:rsidR="006714FF" w14:paraId="49D2CE25" w14:textId="77777777" w:rsidTr="00B77C41">
        <w:trPr>
          <w:trHeight w:val="285"/>
        </w:trPr>
        <w:tc>
          <w:tcPr>
            <w:tcW w:w="1152" w:type="dxa"/>
            <w:vMerge/>
            <w:tcBorders>
              <w:left w:val="single" w:sz="4" w:space="0" w:color="auto"/>
              <w:right w:val="single" w:sz="4" w:space="0" w:color="auto"/>
            </w:tcBorders>
            <w:vAlign w:val="center"/>
          </w:tcPr>
          <w:p w14:paraId="0BCEC1AB"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5E87B2A"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Semi-local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2C9BD0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0.8299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0653C9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0.55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D2232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69C69A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8D687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0ED2CF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5E2DF1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500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B963E2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DDAC66A"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CFABA8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500</w:t>
            </w:r>
          </w:p>
        </w:tc>
      </w:tr>
      <w:tr w:rsidR="006714FF" w14:paraId="59364872"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373B3A02"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62D2D06"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E25384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0.8027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4EC508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8DB5F3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2E0454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0CD8FA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90CC69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A2C8A2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9BC72B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D8B0A4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A15965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450</w:t>
            </w:r>
          </w:p>
        </w:tc>
      </w:tr>
    </w:tbl>
    <w:p w14:paraId="12863561" w14:textId="77777777" w:rsidR="006714FF" w:rsidRDefault="006714FF" w:rsidP="006714FF">
      <w:pPr>
        <w:pStyle w:val="VDTableTitle"/>
        <w:rPr>
          <w:b/>
          <w:bCs/>
        </w:rPr>
      </w:pPr>
    </w:p>
    <w:p w14:paraId="41BA764C" w14:textId="77777777" w:rsidR="006714FF" w:rsidRDefault="006714FF" w:rsidP="006714FF">
      <w:pPr>
        <w:pStyle w:val="VDTableTitle"/>
        <w:rPr>
          <w:b/>
          <w:bCs/>
        </w:rPr>
      </w:pPr>
    </w:p>
    <w:p w14:paraId="295913F5" w14:textId="77777777" w:rsidR="006714FF" w:rsidRDefault="006714FF" w:rsidP="006714FF">
      <w:pPr>
        <w:pStyle w:val="VDTableTitle"/>
        <w:rPr>
          <w:b/>
          <w:bCs/>
        </w:rPr>
      </w:pPr>
    </w:p>
    <w:p w14:paraId="595F6961" w14:textId="77777777" w:rsidR="006714FF" w:rsidRDefault="006714FF" w:rsidP="006714FF">
      <w:pPr>
        <w:pStyle w:val="VDTableTitle"/>
        <w:rPr>
          <w:b/>
          <w:bCs/>
        </w:rPr>
      </w:pPr>
    </w:p>
    <w:p w14:paraId="3C5AA41A" w14:textId="77777777" w:rsidR="006714FF" w:rsidRDefault="006714FF" w:rsidP="006714FF">
      <w:pPr>
        <w:pStyle w:val="VDTableTitle"/>
        <w:rPr>
          <w:b/>
          <w:bCs/>
        </w:rPr>
      </w:pPr>
    </w:p>
    <w:p w14:paraId="7C564891" w14:textId="77777777" w:rsidR="006714FF" w:rsidRDefault="006714FF" w:rsidP="006714FF">
      <w:pPr>
        <w:pStyle w:val="VDTableTitle"/>
        <w:rPr>
          <w:b/>
          <w:bCs/>
        </w:rPr>
      </w:pPr>
    </w:p>
    <w:p w14:paraId="152ADBB0" w14:textId="77777777" w:rsidR="006714FF" w:rsidRDefault="006714FF" w:rsidP="006714FF">
      <w:pPr>
        <w:pStyle w:val="VDTableTitle"/>
        <w:rPr>
          <w:b/>
          <w:bCs/>
        </w:rPr>
      </w:pPr>
    </w:p>
    <w:p w14:paraId="283AAFE7" w14:textId="77777777" w:rsidR="006714FF" w:rsidRDefault="006714FF" w:rsidP="006714FF">
      <w:pPr>
        <w:pStyle w:val="VDTableTitle"/>
        <w:rPr>
          <w:b/>
          <w:bCs/>
        </w:rPr>
      </w:pPr>
    </w:p>
    <w:p w14:paraId="6E7AF6E6" w14:textId="77777777" w:rsidR="006714FF" w:rsidRDefault="006714FF" w:rsidP="006714FF">
      <w:pPr>
        <w:pStyle w:val="VDTableTitle"/>
        <w:rPr>
          <w:b/>
          <w:bCs/>
        </w:rPr>
      </w:pPr>
    </w:p>
    <w:p w14:paraId="7E5EC86B" w14:textId="77777777" w:rsidR="006714FF" w:rsidRDefault="006714FF" w:rsidP="006714FF">
      <w:pPr>
        <w:pStyle w:val="VDTableTitle"/>
        <w:rPr>
          <w:color w:val="000000" w:themeColor="text1"/>
        </w:rPr>
      </w:pPr>
      <w:r w:rsidRPr="00E91DFB">
        <w:rPr>
          <w:b/>
          <w:bCs/>
        </w:rPr>
        <w:lastRenderedPageBreak/>
        <w:t>Table S9.</w:t>
      </w:r>
      <w:r w:rsidRPr="57EE44F5">
        <w:t xml:space="preserve"> </w:t>
      </w:r>
      <w:r>
        <w:t>Log-</w:t>
      </w:r>
      <w:r w:rsidRPr="57EE44F5">
        <w:t>toluene covariance models inputs based on selected global offset. Bolded covariance models were used during method evaluation and determined using 3-degree RCV sensitivity analyses.</w:t>
      </w:r>
    </w:p>
    <w:tbl>
      <w:tblPr>
        <w:tblW w:w="0" w:type="auto"/>
        <w:tblLayout w:type="fixed"/>
        <w:tblLook w:val="06A0" w:firstRow="1" w:lastRow="0" w:firstColumn="1" w:lastColumn="0" w:noHBand="1" w:noVBand="1"/>
      </w:tblPr>
      <w:tblGrid>
        <w:gridCol w:w="1152"/>
        <w:gridCol w:w="1080"/>
        <w:gridCol w:w="1008"/>
        <w:gridCol w:w="648"/>
        <w:gridCol w:w="648"/>
        <w:gridCol w:w="648"/>
        <w:gridCol w:w="648"/>
        <w:gridCol w:w="648"/>
        <w:gridCol w:w="648"/>
        <w:gridCol w:w="648"/>
        <w:gridCol w:w="648"/>
        <w:gridCol w:w="648"/>
      </w:tblGrid>
      <w:tr w:rsidR="006714FF" w14:paraId="01435B13" w14:textId="77777777" w:rsidTr="00B77C41">
        <w:trPr>
          <w:trHeight w:val="300"/>
        </w:trPr>
        <w:tc>
          <w:tcPr>
            <w:tcW w:w="1152"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153B9C3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80"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2AE5DB9A"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008"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4F267E0F" w14:textId="77777777" w:rsidR="006714FF" w:rsidRDefault="00000000" w:rsidP="00B77C41">
            <w:pPr>
              <w:spacing w:after="0"/>
              <w:jc w:val="center"/>
              <w:rPr>
                <w:rFonts w:ascii="Times New Roman" w:hAnsi="Times New Roman"/>
                <w:sz w:val="22"/>
                <w:szCs w:val="22"/>
              </w:rPr>
            </w:pPr>
            <m:oMath>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X</m:t>
                      </m:r>
                    </m:sub>
                  </m:sSub>
                </m:e>
                <m:sup>
                  <m:r>
                    <w:rPr>
                      <w:rFonts w:ascii="Cambria Math" w:hAnsi="Cambria Math"/>
                      <w:sz w:val="22"/>
                      <w:szCs w:val="22"/>
                    </w:rPr>
                    <m:t>2</m:t>
                  </m:r>
                </m:sup>
              </m:sSup>
            </m:oMath>
            <w:r w:rsidR="006714FF">
              <w:rPr>
                <w:rFonts w:ascii="Times New Roman" w:hAnsi="Times New Roman"/>
                <w:sz w:val="22"/>
                <w:szCs w:val="22"/>
              </w:rPr>
              <w:t xml:space="preserve"> </w:t>
            </w:r>
            <w:r w:rsidR="006714FF" w:rsidRPr="57EE44F5">
              <w:rPr>
                <w:rFonts w:ascii="Times New Roman" w:hAnsi="Times New Roman"/>
                <w:sz w:val="22"/>
                <w:szCs w:val="22"/>
              </w:rPr>
              <w:t>(</w:t>
            </w:r>
            <w:r w:rsidR="006714FF">
              <w:rPr>
                <w:rFonts w:ascii="Times New Roman" w:hAnsi="Times New Roman"/>
                <w:sz w:val="22"/>
                <w:szCs w:val="22"/>
              </w:rPr>
              <w:t>log(</w:t>
            </w:r>
            <w:r w:rsidR="006714FF" w:rsidRPr="57EE44F5">
              <w:rPr>
                <w:rFonts w:ascii="Times New Roman" w:hAnsi="Times New Roman"/>
                <w:sz w:val="22"/>
                <w:szCs w:val="22"/>
              </w:rPr>
              <w:t>ppb)</w:t>
            </w:r>
            <w:r w:rsidR="006714FF" w:rsidRPr="57EE44F5">
              <w:rPr>
                <w:rFonts w:ascii="Times New Roman" w:hAnsi="Times New Roman"/>
                <w:sz w:val="22"/>
                <w:szCs w:val="22"/>
                <w:vertAlign w:val="superscript"/>
              </w:rPr>
              <w:t>2</w:t>
            </w:r>
            <w:r w:rsidR="006714FF" w:rsidRPr="57EE44F5">
              <w:rPr>
                <w:rFonts w:ascii="Times New Roman" w:hAnsi="Times New Roman"/>
                <w:sz w:val="22"/>
                <w:szCs w:val="22"/>
              </w:rPr>
              <w:t>)</w:t>
            </w:r>
          </w:p>
        </w:tc>
        <w:tc>
          <w:tcPr>
            <w:tcW w:w="1944"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2BEDA7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1 (exp.)</w:t>
            </w:r>
          </w:p>
        </w:tc>
        <w:tc>
          <w:tcPr>
            <w:tcW w:w="1944" w:type="dxa"/>
            <w:gridSpan w:val="3"/>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bottom"/>
          </w:tcPr>
          <w:p w14:paraId="3ED0F3D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2 (exp.)</w:t>
            </w:r>
          </w:p>
        </w:tc>
        <w:tc>
          <w:tcPr>
            <w:tcW w:w="1944" w:type="dxa"/>
            <w:gridSpan w:val="3"/>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bottom"/>
          </w:tcPr>
          <w:p w14:paraId="712706F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3 (exp.)</w:t>
            </w:r>
          </w:p>
        </w:tc>
      </w:tr>
      <w:tr w:rsidR="006714FF" w14:paraId="101C3063" w14:textId="77777777" w:rsidTr="00B77C41">
        <w:trPr>
          <w:trHeight w:val="345"/>
        </w:trPr>
        <w:tc>
          <w:tcPr>
            <w:tcW w:w="1152" w:type="dxa"/>
            <w:vMerge/>
            <w:tcBorders>
              <w:left w:val="single" w:sz="4" w:space="0" w:color="auto"/>
              <w:bottom w:val="single" w:sz="4" w:space="0" w:color="auto"/>
              <w:right w:val="single" w:sz="4" w:space="0" w:color="auto"/>
            </w:tcBorders>
            <w:vAlign w:val="center"/>
          </w:tcPr>
          <w:p w14:paraId="10098880" w14:textId="77777777" w:rsidR="006714FF" w:rsidRDefault="006714FF" w:rsidP="00B77C41"/>
        </w:tc>
        <w:tc>
          <w:tcPr>
            <w:tcW w:w="1080" w:type="dxa"/>
            <w:vMerge/>
            <w:tcBorders>
              <w:left w:val="single" w:sz="4" w:space="0" w:color="auto"/>
              <w:bottom w:val="single" w:sz="4" w:space="0" w:color="auto"/>
              <w:right w:val="single" w:sz="4" w:space="0" w:color="auto"/>
            </w:tcBorders>
            <w:vAlign w:val="center"/>
          </w:tcPr>
          <w:p w14:paraId="58C64A80" w14:textId="77777777" w:rsidR="006714FF" w:rsidRDefault="006714FF" w:rsidP="00B77C41"/>
        </w:tc>
        <w:tc>
          <w:tcPr>
            <w:tcW w:w="1008" w:type="dxa"/>
            <w:vMerge/>
            <w:tcBorders>
              <w:left w:val="single" w:sz="4" w:space="0" w:color="auto"/>
              <w:bottom w:val="single" w:sz="4" w:space="0" w:color="auto"/>
              <w:right w:val="single" w:sz="4" w:space="0" w:color="auto"/>
            </w:tcBorders>
            <w:vAlign w:val="center"/>
          </w:tcPr>
          <w:p w14:paraId="4A24F817" w14:textId="77777777" w:rsidR="006714FF" w:rsidRDefault="006714FF" w:rsidP="00B77C41"/>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074E5596"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1</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63361D0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2E05797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t1</w:t>
            </w:r>
            <w:r w:rsidRPr="57EE44F5">
              <w:rPr>
                <w:rFonts w:ascii="Times New Roman" w:hAnsi="Times New Roman"/>
                <w:sz w:val="22"/>
                <w:szCs w:val="22"/>
              </w:rPr>
              <w:t xml:space="preserve"> (day)</w:t>
            </w:r>
          </w:p>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2311290A"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2</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64602C90"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89A788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90F1303"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3</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12591B8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r2</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7F80ED4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r>
      <w:tr w:rsidR="006714FF" w14:paraId="66311151" w14:textId="77777777" w:rsidTr="00B77C41">
        <w:trPr>
          <w:trHeight w:val="285"/>
        </w:trPr>
        <w:tc>
          <w:tcPr>
            <w:tcW w:w="115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4790D3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52FD139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1E506B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0.9158</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A40185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7F2845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DCCDDE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76A5D0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680D65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7ACF71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800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91165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613A6F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AF8CF2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800</w:t>
            </w:r>
          </w:p>
        </w:tc>
      </w:tr>
      <w:tr w:rsidR="006714FF" w14:paraId="1E6838F0" w14:textId="77777777" w:rsidTr="00B77C41">
        <w:trPr>
          <w:trHeight w:val="285"/>
        </w:trPr>
        <w:tc>
          <w:tcPr>
            <w:tcW w:w="115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03724924"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Flat</w:t>
            </w:r>
          </w:p>
        </w:tc>
        <w:tc>
          <w:tcPr>
            <w:tcW w:w="1080"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15" w:type="dxa"/>
              <w:left w:w="15" w:type="dxa"/>
              <w:right w:w="15" w:type="dxa"/>
            </w:tcMar>
            <w:vAlign w:val="center"/>
          </w:tcPr>
          <w:p w14:paraId="526C8F1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1008"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bottom"/>
          </w:tcPr>
          <w:p w14:paraId="29BA5B3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0.9044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D4A427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4E4C83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7E2B37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F0C886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ED9573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2F2DE2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800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A4222F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45180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3B8AA4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800</w:t>
            </w:r>
          </w:p>
        </w:tc>
      </w:tr>
      <w:tr w:rsidR="006714FF" w14:paraId="6F39831C" w14:textId="77777777" w:rsidTr="00B77C41">
        <w:trPr>
          <w:trHeight w:val="300"/>
        </w:trPr>
        <w:tc>
          <w:tcPr>
            <w:tcW w:w="115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F5D00F1"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&amp; Temporal Kernel Smoothing</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DF9E867"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755A2D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0.8289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B55E44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0.60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922880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CC8418A"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87274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0FB521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48A3BF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62C32B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8A3C18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D43059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600</w:t>
            </w:r>
          </w:p>
        </w:tc>
      </w:tr>
      <w:tr w:rsidR="006714FF" w14:paraId="642A7BAA" w14:textId="77777777" w:rsidTr="00B77C41">
        <w:trPr>
          <w:trHeight w:val="285"/>
        </w:trPr>
        <w:tc>
          <w:tcPr>
            <w:tcW w:w="1152" w:type="dxa"/>
            <w:vMerge/>
            <w:tcBorders>
              <w:left w:val="single" w:sz="4" w:space="0" w:color="auto"/>
              <w:right w:val="single" w:sz="4" w:space="0" w:color="auto"/>
            </w:tcBorders>
            <w:vAlign w:val="center"/>
          </w:tcPr>
          <w:p w14:paraId="0C67B78B"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1F9186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C29F72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0.7841</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0FB041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8D9837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B94FED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E0058A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E56493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F43027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8C2805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8C3A12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409B9D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r>
      <w:tr w:rsidR="006714FF" w14:paraId="3805CCBD" w14:textId="77777777" w:rsidTr="00B77C41">
        <w:trPr>
          <w:trHeight w:val="285"/>
        </w:trPr>
        <w:tc>
          <w:tcPr>
            <w:tcW w:w="1152" w:type="dxa"/>
            <w:vMerge/>
            <w:tcBorders>
              <w:left w:val="single" w:sz="4" w:space="0" w:color="auto"/>
              <w:right w:val="single" w:sz="4" w:space="0" w:color="auto"/>
            </w:tcBorders>
            <w:vAlign w:val="center"/>
          </w:tcPr>
          <w:p w14:paraId="4CD70272"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F85B98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82AB83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0.7152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EA304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84A2DD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0CC7C9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FD4D2F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2AE68A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7F2CD5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8BBDB7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9E051A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DA96EA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400</w:t>
            </w:r>
          </w:p>
        </w:tc>
      </w:tr>
      <w:tr w:rsidR="006714FF" w14:paraId="72680BC6"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518C359E"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AF1C8C4"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8AFBCE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0.6464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8EFB30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0.63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EB2FE3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3CF3714"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F80F5F9"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0.02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169270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A0AFBA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300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26513C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AB4988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D4C47B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300</w:t>
            </w:r>
          </w:p>
        </w:tc>
      </w:tr>
      <w:tr w:rsidR="006714FF" w14:paraId="6EA7B28B" w14:textId="77777777" w:rsidTr="00B77C41">
        <w:trPr>
          <w:trHeight w:val="300"/>
        </w:trPr>
        <w:tc>
          <w:tcPr>
            <w:tcW w:w="115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C98921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LUR &amp; Temporal Kernel Smoothing</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429F44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88DBCF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0.7542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096E96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886067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8B3C80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40E37A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079934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313D89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B68215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4D411A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6B6D21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0F011B84" w14:textId="77777777" w:rsidTr="00B77C41">
        <w:trPr>
          <w:trHeight w:val="285"/>
        </w:trPr>
        <w:tc>
          <w:tcPr>
            <w:tcW w:w="1152" w:type="dxa"/>
            <w:vMerge/>
            <w:tcBorders>
              <w:left w:val="single" w:sz="4" w:space="0" w:color="auto"/>
              <w:right w:val="single" w:sz="4" w:space="0" w:color="auto"/>
            </w:tcBorders>
            <w:vAlign w:val="center"/>
          </w:tcPr>
          <w:p w14:paraId="3279830C"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AA5234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C470BF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0.7507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CA222B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31BDF7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F57B4A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2BAA39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D22BCC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8B1384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1C8936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0.26</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6CB6BD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4F53BB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r>
      <w:tr w:rsidR="006714FF" w14:paraId="1CFEF65A" w14:textId="77777777" w:rsidTr="00B77C41">
        <w:trPr>
          <w:trHeight w:val="285"/>
        </w:trPr>
        <w:tc>
          <w:tcPr>
            <w:tcW w:w="1152" w:type="dxa"/>
            <w:vMerge/>
            <w:tcBorders>
              <w:left w:val="single" w:sz="4" w:space="0" w:color="auto"/>
              <w:right w:val="single" w:sz="4" w:space="0" w:color="auto"/>
            </w:tcBorders>
            <w:vAlign w:val="center"/>
          </w:tcPr>
          <w:p w14:paraId="3889500D"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6D0C5F0"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246390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0.7437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B071EF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B3B6D2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D83ED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FEEF89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DC2E3A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8A4B67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1F7E40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DF44F6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097720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400</w:t>
            </w:r>
          </w:p>
        </w:tc>
      </w:tr>
      <w:tr w:rsidR="006714FF" w14:paraId="33FD241D"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7C3D92D0"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13637A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8014EA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0.7329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532CF0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0.70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93D3DA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D72D7A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9C907E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0.02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040ECB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5C6842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BC9555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5DBBDC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A0C469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300</w:t>
            </w:r>
          </w:p>
        </w:tc>
      </w:tr>
    </w:tbl>
    <w:p w14:paraId="115F3FC9" w14:textId="77777777" w:rsidR="006714FF" w:rsidRDefault="006714FF" w:rsidP="006714FF">
      <w:pPr>
        <w:pStyle w:val="VDTableTitle"/>
        <w:spacing w:before="240"/>
        <w:rPr>
          <w:b/>
          <w:bCs/>
        </w:rPr>
      </w:pPr>
    </w:p>
    <w:p w14:paraId="0E1EADEE" w14:textId="77777777" w:rsidR="006714FF" w:rsidRDefault="006714FF" w:rsidP="006714FF">
      <w:pPr>
        <w:pStyle w:val="VDTableTitle"/>
        <w:spacing w:before="240"/>
        <w:rPr>
          <w:b/>
          <w:bCs/>
        </w:rPr>
      </w:pPr>
    </w:p>
    <w:p w14:paraId="4A0347DF" w14:textId="77777777" w:rsidR="006714FF" w:rsidRDefault="006714FF" w:rsidP="006714FF">
      <w:pPr>
        <w:pStyle w:val="VDTableTitle"/>
        <w:spacing w:before="240"/>
        <w:rPr>
          <w:b/>
          <w:bCs/>
        </w:rPr>
      </w:pPr>
    </w:p>
    <w:p w14:paraId="7AE909A1" w14:textId="77777777" w:rsidR="006714FF" w:rsidRDefault="006714FF" w:rsidP="006714FF">
      <w:pPr>
        <w:pStyle w:val="VDTableTitle"/>
        <w:spacing w:before="240"/>
        <w:rPr>
          <w:b/>
          <w:bCs/>
        </w:rPr>
      </w:pPr>
    </w:p>
    <w:p w14:paraId="59235A9A" w14:textId="77777777" w:rsidR="006714FF" w:rsidRDefault="006714FF" w:rsidP="006714FF">
      <w:pPr>
        <w:pStyle w:val="VDTableTitle"/>
        <w:spacing w:before="240"/>
        <w:rPr>
          <w:b/>
          <w:bCs/>
        </w:rPr>
      </w:pPr>
    </w:p>
    <w:p w14:paraId="3C579C30" w14:textId="77777777" w:rsidR="006714FF" w:rsidRDefault="006714FF" w:rsidP="006714FF">
      <w:pPr>
        <w:pStyle w:val="VDTableTitle"/>
        <w:spacing w:before="240"/>
        <w:rPr>
          <w:b/>
          <w:bCs/>
        </w:rPr>
      </w:pPr>
    </w:p>
    <w:p w14:paraId="080FB9E7" w14:textId="77777777" w:rsidR="006714FF" w:rsidRDefault="006714FF" w:rsidP="006714FF">
      <w:pPr>
        <w:pStyle w:val="VDTableTitle"/>
        <w:spacing w:before="240"/>
        <w:rPr>
          <w:b/>
          <w:bCs/>
        </w:rPr>
      </w:pPr>
    </w:p>
    <w:p w14:paraId="5E5B8BF0" w14:textId="77777777" w:rsidR="006714FF" w:rsidRDefault="006714FF" w:rsidP="006714FF">
      <w:pPr>
        <w:pStyle w:val="VDTableTitle"/>
        <w:spacing w:before="240"/>
        <w:rPr>
          <w:color w:val="000000" w:themeColor="text1"/>
        </w:rPr>
      </w:pPr>
      <w:r w:rsidRPr="00E91DFB">
        <w:rPr>
          <w:b/>
          <w:bCs/>
        </w:rPr>
        <w:lastRenderedPageBreak/>
        <w:t>Table S10.</w:t>
      </w:r>
      <w:r w:rsidRPr="57EE44F5">
        <w:t xml:space="preserve"> </w:t>
      </w:r>
      <w:r>
        <w:t>Log-</w:t>
      </w:r>
      <w:r w:rsidRPr="57EE44F5">
        <w:t>ethylbenzene covariance models inputs based on selected global offset. Bolded covariance models were used during method evaluation and determined using 3-degree RCV sensitivity analyses.</w:t>
      </w:r>
    </w:p>
    <w:tbl>
      <w:tblPr>
        <w:tblW w:w="0" w:type="auto"/>
        <w:tblLayout w:type="fixed"/>
        <w:tblLook w:val="06A0" w:firstRow="1" w:lastRow="0" w:firstColumn="1" w:lastColumn="0" w:noHBand="1" w:noVBand="1"/>
      </w:tblPr>
      <w:tblGrid>
        <w:gridCol w:w="1152"/>
        <w:gridCol w:w="1080"/>
        <w:gridCol w:w="1008"/>
        <w:gridCol w:w="648"/>
        <w:gridCol w:w="648"/>
        <w:gridCol w:w="648"/>
        <w:gridCol w:w="648"/>
        <w:gridCol w:w="648"/>
        <w:gridCol w:w="648"/>
        <w:gridCol w:w="648"/>
        <w:gridCol w:w="648"/>
        <w:gridCol w:w="648"/>
      </w:tblGrid>
      <w:tr w:rsidR="006714FF" w14:paraId="6E94325E" w14:textId="77777777" w:rsidTr="00B77C41">
        <w:trPr>
          <w:trHeight w:val="300"/>
        </w:trPr>
        <w:tc>
          <w:tcPr>
            <w:tcW w:w="1152"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791458C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80"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1C9F3F16"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008"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2443F2A8" w14:textId="77777777" w:rsidR="006714FF" w:rsidRDefault="00000000" w:rsidP="00B77C41">
            <w:pPr>
              <w:spacing w:after="0"/>
              <w:jc w:val="center"/>
              <w:rPr>
                <w:rFonts w:ascii="Times New Roman" w:hAnsi="Times New Roman"/>
                <w:sz w:val="22"/>
                <w:szCs w:val="22"/>
              </w:rPr>
            </w:pPr>
            <m:oMath>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X</m:t>
                      </m:r>
                    </m:sub>
                  </m:sSub>
                </m:e>
                <m:sup>
                  <m:r>
                    <w:rPr>
                      <w:rFonts w:ascii="Cambria Math" w:hAnsi="Cambria Math"/>
                      <w:sz w:val="22"/>
                      <w:szCs w:val="22"/>
                    </w:rPr>
                    <m:t>2</m:t>
                  </m:r>
                </m:sup>
              </m:sSup>
            </m:oMath>
            <w:r w:rsidR="006714FF">
              <w:rPr>
                <w:rFonts w:ascii="Times New Roman" w:hAnsi="Times New Roman"/>
                <w:sz w:val="22"/>
                <w:szCs w:val="22"/>
              </w:rPr>
              <w:t xml:space="preserve"> </w:t>
            </w:r>
            <w:r w:rsidR="006714FF" w:rsidRPr="57EE44F5">
              <w:rPr>
                <w:rFonts w:ascii="Times New Roman" w:hAnsi="Times New Roman"/>
                <w:sz w:val="22"/>
                <w:szCs w:val="22"/>
              </w:rPr>
              <w:t>(</w:t>
            </w:r>
            <w:r w:rsidR="006714FF">
              <w:rPr>
                <w:rFonts w:ascii="Times New Roman" w:hAnsi="Times New Roman"/>
                <w:sz w:val="22"/>
                <w:szCs w:val="22"/>
              </w:rPr>
              <w:t>log(</w:t>
            </w:r>
            <w:r w:rsidR="006714FF" w:rsidRPr="57EE44F5">
              <w:rPr>
                <w:rFonts w:ascii="Times New Roman" w:hAnsi="Times New Roman"/>
                <w:sz w:val="22"/>
                <w:szCs w:val="22"/>
              </w:rPr>
              <w:t>ppb)</w:t>
            </w:r>
            <w:r w:rsidR="006714FF" w:rsidRPr="57EE44F5">
              <w:rPr>
                <w:rFonts w:ascii="Times New Roman" w:hAnsi="Times New Roman"/>
                <w:sz w:val="22"/>
                <w:szCs w:val="22"/>
                <w:vertAlign w:val="superscript"/>
              </w:rPr>
              <w:t>2</w:t>
            </w:r>
            <w:r w:rsidR="006714FF" w:rsidRPr="57EE44F5">
              <w:rPr>
                <w:rFonts w:ascii="Times New Roman" w:hAnsi="Times New Roman"/>
                <w:sz w:val="22"/>
                <w:szCs w:val="22"/>
              </w:rPr>
              <w:t>)</w:t>
            </w:r>
          </w:p>
        </w:tc>
        <w:tc>
          <w:tcPr>
            <w:tcW w:w="1944"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DC0CB5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1 (exp.)</w:t>
            </w:r>
          </w:p>
        </w:tc>
        <w:tc>
          <w:tcPr>
            <w:tcW w:w="1944" w:type="dxa"/>
            <w:gridSpan w:val="3"/>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bottom"/>
          </w:tcPr>
          <w:p w14:paraId="48454D7A"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2 (exp.)</w:t>
            </w:r>
          </w:p>
        </w:tc>
        <w:tc>
          <w:tcPr>
            <w:tcW w:w="1944" w:type="dxa"/>
            <w:gridSpan w:val="3"/>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bottom"/>
          </w:tcPr>
          <w:p w14:paraId="25BA13BE"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3 (exp.)</w:t>
            </w:r>
          </w:p>
        </w:tc>
      </w:tr>
      <w:tr w:rsidR="006714FF" w14:paraId="0202F9E3" w14:textId="77777777" w:rsidTr="00B77C41">
        <w:trPr>
          <w:trHeight w:val="300"/>
        </w:trPr>
        <w:tc>
          <w:tcPr>
            <w:tcW w:w="1152" w:type="dxa"/>
            <w:vMerge/>
            <w:tcBorders>
              <w:left w:val="single" w:sz="4" w:space="0" w:color="auto"/>
              <w:bottom w:val="single" w:sz="4" w:space="0" w:color="auto"/>
              <w:right w:val="single" w:sz="4" w:space="0" w:color="auto"/>
            </w:tcBorders>
            <w:vAlign w:val="center"/>
          </w:tcPr>
          <w:p w14:paraId="465D31E4" w14:textId="77777777" w:rsidR="006714FF" w:rsidRDefault="006714FF" w:rsidP="00B77C41"/>
        </w:tc>
        <w:tc>
          <w:tcPr>
            <w:tcW w:w="1080" w:type="dxa"/>
            <w:vMerge/>
            <w:tcBorders>
              <w:left w:val="single" w:sz="4" w:space="0" w:color="auto"/>
              <w:bottom w:val="single" w:sz="4" w:space="0" w:color="auto"/>
              <w:right w:val="single" w:sz="4" w:space="0" w:color="auto"/>
            </w:tcBorders>
            <w:vAlign w:val="center"/>
          </w:tcPr>
          <w:p w14:paraId="004FC77B" w14:textId="77777777" w:rsidR="006714FF" w:rsidRDefault="006714FF" w:rsidP="00B77C41"/>
        </w:tc>
        <w:tc>
          <w:tcPr>
            <w:tcW w:w="1008" w:type="dxa"/>
            <w:vMerge/>
            <w:tcBorders>
              <w:left w:val="single" w:sz="4" w:space="0" w:color="auto"/>
              <w:bottom w:val="single" w:sz="4" w:space="0" w:color="auto"/>
              <w:right w:val="single" w:sz="4" w:space="0" w:color="auto"/>
            </w:tcBorders>
            <w:vAlign w:val="center"/>
          </w:tcPr>
          <w:p w14:paraId="0FA47062" w14:textId="77777777" w:rsidR="006714FF" w:rsidRDefault="006714FF" w:rsidP="00B77C41"/>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2782A02"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1</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46F05EB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0E6F0D58"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t1</w:t>
            </w:r>
            <w:r w:rsidRPr="57EE44F5">
              <w:rPr>
                <w:rFonts w:ascii="Times New Roman" w:hAnsi="Times New Roman"/>
                <w:sz w:val="22"/>
                <w:szCs w:val="22"/>
              </w:rPr>
              <w:t xml:space="preserve"> (day)</w:t>
            </w:r>
          </w:p>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55FA18A"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2</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0C50A4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228ACF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D7FA79D"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3</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054E1AD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r2</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2069482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r>
      <w:tr w:rsidR="006714FF" w14:paraId="03152ECC" w14:textId="77777777" w:rsidTr="00B77C41">
        <w:trPr>
          <w:trHeight w:val="285"/>
        </w:trPr>
        <w:tc>
          <w:tcPr>
            <w:tcW w:w="115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7391F87"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757B625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79CFA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1.5784</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120C86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1B43BB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A635C0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3.50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0CD769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54C669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F08648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700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00484C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867817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5DDA52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700</w:t>
            </w:r>
          </w:p>
        </w:tc>
      </w:tr>
      <w:tr w:rsidR="006714FF" w14:paraId="71D9C794" w14:textId="77777777" w:rsidTr="00B77C41">
        <w:trPr>
          <w:trHeight w:val="285"/>
        </w:trPr>
        <w:tc>
          <w:tcPr>
            <w:tcW w:w="115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5EB0FDFB"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Flat</w:t>
            </w:r>
          </w:p>
        </w:tc>
        <w:tc>
          <w:tcPr>
            <w:tcW w:w="1080"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15" w:type="dxa"/>
              <w:left w:w="15" w:type="dxa"/>
              <w:right w:w="15" w:type="dxa"/>
            </w:tcMar>
            <w:vAlign w:val="center"/>
          </w:tcPr>
          <w:p w14:paraId="470C7707"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1008"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bottom"/>
          </w:tcPr>
          <w:p w14:paraId="443F272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1.5545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5CDD45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456F66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737922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9EDC51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AFF48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644B6B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5222B8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AEC917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096522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700</w:t>
            </w:r>
          </w:p>
        </w:tc>
      </w:tr>
      <w:tr w:rsidR="006714FF" w14:paraId="1025585A" w14:textId="77777777" w:rsidTr="00B77C41">
        <w:trPr>
          <w:trHeight w:val="300"/>
        </w:trPr>
        <w:tc>
          <w:tcPr>
            <w:tcW w:w="115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ACA61D1"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&amp; Temporal Kernel Smoothing</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1175BE0"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82C8F1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1.3923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07B5D9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7C1848E"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06FF4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3.00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57AEE8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81E68D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1A812CA"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7E5825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AC5E48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4DBD27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650</w:t>
            </w:r>
          </w:p>
        </w:tc>
      </w:tr>
      <w:tr w:rsidR="006714FF" w14:paraId="7A3E6508" w14:textId="77777777" w:rsidTr="00B77C41">
        <w:trPr>
          <w:trHeight w:val="285"/>
        </w:trPr>
        <w:tc>
          <w:tcPr>
            <w:tcW w:w="1152" w:type="dxa"/>
            <w:vMerge/>
            <w:tcBorders>
              <w:left w:val="single" w:sz="4" w:space="0" w:color="auto"/>
              <w:right w:val="single" w:sz="4" w:space="0" w:color="auto"/>
            </w:tcBorders>
            <w:vAlign w:val="center"/>
          </w:tcPr>
          <w:p w14:paraId="03BB2E9E"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EF8268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0EB260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1.2917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81E55E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ED2285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F62EFB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2.75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19241D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2F4246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B255AB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315C30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4E86F6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406F6F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3602AFA7" w14:textId="77777777" w:rsidTr="00B77C41">
        <w:trPr>
          <w:trHeight w:val="285"/>
        </w:trPr>
        <w:tc>
          <w:tcPr>
            <w:tcW w:w="1152" w:type="dxa"/>
            <w:vMerge/>
            <w:tcBorders>
              <w:left w:val="single" w:sz="4" w:space="0" w:color="auto"/>
              <w:right w:val="single" w:sz="4" w:space="0" w:color="auto"/>
            </w:tcBorders>
            <w:vAlign w:val="center"/>
          </w:tcPr>
          <w:p w14:paraId="46B6E04A"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0C73E70"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B33A7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1.1272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4D595F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0E6A57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B67327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108678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0.16</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A77C35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F8E982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C7025E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569D91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8B9411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550</w:t>
            </w:r>
          </w:p>
        </w:tc>
      </w:tr>
      <w:tr w:rsidR="006714FF" w14:paraId="40D54748"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20195829"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757E31B"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1B03DDA"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1.0494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141B320"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0.58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081D82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04DF7A9"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2.25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A22B74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0DF176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992518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500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D4E8E8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BF56E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C7648D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500</w:t>
            </w:r>
          </w:p>
        </w:tc>
      </w:tr>
      <w:tr w:rsidR="006714FF" w14:paraId="37B28993" w14:textId="77777777" w:rsidTr="00B77C41">
        <w:trPr>
          <w:trHeight w:val="300"/>
        </w:trPr>
        <w:tc>
          <w:tcPr>
            <w:tcW w:w="115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11C739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LUR &amp; Temporal Kernel Smoothing</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B8A566B"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522316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1.6469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BCEBAF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4E6D76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6E1EC5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435D89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0C22DA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45D7C7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17CA83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4D1F4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7B6B7B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650</w:t>
            </w:r>
          </w:p>
        </w:tc>
      </w:tr>
      <w:tr w:rsidR="006714FF" w14:paraId="7342C541"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575498C1"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375017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AC6653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1.6300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826865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8FB8AE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50C593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2.75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5C8888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9295C5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2C80DC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FC68B5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EDDBF4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C01270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5DAC907A" w14:textId="77777777" w:rsidTr="00B77C41">
        <w:trPr>
          <w:trHeight w:val="285"/>
        </w:trPr>
        <w:tc>
          <w:tcPr>
            <w:tcW w:w="1152" w:type="dxa"/>
            <w:vMerge/>
            <w:tcBorders>
              <w:top w:val="single" w:sz="4" w:space="0" w:color="auto"/>
              <w:left w:val="single" w:sz="4" w:space="0" w:color="auto"/>
              <w:right w:val="single" w:sz="4" w:space="0" w:color="auto"/>
            </w:tcBorders>
            <w:vAlign w:val="center"/>
          </w:tcPr>
          <w:p w14:paraId="639631AB"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3FC4C0F"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0FE943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1.6153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18A029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6921C3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E506CA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E64146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06EE0C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8B1D85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9C5FF6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BE35B1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C2B8C2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550</w:t>
            </w:r>
          </w:p>
        </w:tc>
      </w:tr>
      <w:tr w:rsidR="006714FF" w14:paraId="5A4AFC7C"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402F9022"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BB92CD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9F9E856"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1.5964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352CF9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AF264A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00BB56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C3C0C3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6AE3A6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5027A3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B18A90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C18C80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4</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DBEC2F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500</w:t>
            </w:r>
          </w:p>
        </w:tc>
      </w:tr>
    </w:tbl>
    <w:p w14:paraId="09C51111" w14:textId="77777777" w:rsidR="006714FF" w:rsidRDefault="006714FF" w:rsidP="006714FF">
      <w:pPr>
        <w:pStyle w:val="VDTableTitle"/>
        <w:rPr>
          <w:b/>
          <w:bCs/>
        </w:rPr>
      </w:pPr>
    </w:p>
    <w:p w14:paraId="682C81DB" w14:textId="77777777" w:rsidR="006714FF" w:rsidRDefault="006714FF" w:rsidP="006714FF">
      <w:pPr>
        <w:pStyle w:val="VDTableTitle"/>
        <w:rPr>
          <w:b/>
          <w:bCs/>
        </w:rPr>
      </w:pPr>
    </w:p>
    <w:p w14:paraId="0E7E8FBE" w14:textId="77777777" w:rsidR="006714FF" w:rsidRDefault="006714FF" w:rsidP="006714FF">
      <w:pPr>
        <w:pStyle w:val="VDTableTitle"/>
        <w:rPr>
          <w:b/>
          <w:bCs/>
        </w:rPr>
      </w:pPr>
    </w:p>
    <w:p w14:paraId="285D360E" w14:textId="77777777" w:rsidR="006714FF" w:rsidRDefault="006714FF" w:rsidP="006714FF">
      <w:pPr>
        <w:pStyle w:val="VDTableTitle"/>
        <w:rPr>
          <w:b/>
          <w:bCs/>
        </w:rPr>
      </w:pPr>
    </w:p>
    <w:p w14:paraId="1AEF7C3F" w14:textId="77777777" w:rsidR="006714FF" w:rsidRDefault="006714FF" w:rsidP="006714FF">
      <w:pPr>
        <w:pStyle w:val="VDTableTitle"/>
        <w:rPr>
          <w:b/>
          <w:bCs/>
        </w:rPr>
      </w:pPr>
    </w:p>
    <w:p w14:paraId="707E4976" w14:textId="77777777" w:rsidR="006714FF" w:rsidRDefault="006714FF" w:rsidP="006714FF">
      <w:pPr>
        <w:pStyle w:val="VDTableTitle"/>
        <w:rPr>
          <w:b/>
          <w:bCs/>
        </w:rPr>
      </w:pPr>
    </w:p>
    <w:p w14:paraId="37D52622" w14:textId="77777777" w:rsidR="006714FF" w:rsidRDefault="006714FF" w:rsidP="006714FF">
      <w:pPr>
        <w:pStyle w:val="VDTableTitle"/>
        <w:rPr>
          <w:b/>
          <w:bCs/>
        </w:rPr>
      </w:pPr>
    </w:p>
    <w:p w14:paraId="45BD7BC2" w14:textId="77777777" w:rsidR="00B92463" w:rsidRPr="00B92463" w:rsidRDefault="00B92463" w:rsidP="00B92463"/>
    <w:p w14:paraId="0724C058" w14:textId="77777777" w:rsidR="006714FF" w:rsidRPr="00E91DFB" w:rsidRDefault="006714FF" w:rsidP="006714FF">
      <w:pPr>
        <w:pStyle w:val="VDTableTitle"/>
      </w:pPr>
      <w:r w:rsidRPr="00E91DFB">
        <w:rPr>
          <w:b/>
          <w:bCs/>
        </w:rPr>
        <w:lastRenderedPageBreak/>
        <w:t>Table S11.</w:t>
      </w:r>
      <w:r w:rsidRPr="00E91DFB">
        <w:t xml:space="preserve"> Log-xylenes covariance models inputs based on selected global offset. Bolded covariance models were used during method evaluation and determined using 3-degree RCV sensitivity analyses.</w:t>
      </w:r>
    </w:p>
    <w:tbl>
      <w:tblPr>
        <w:tblW w:w="0" w:type="auto"/>
        <w:tblLayout w:type="fixed"/>
        <w:tblLook w:val="06A0" w:firstRow="1" w:lastRow="0" w:firstColumn="1" w:lastColumn="0" w:noHBand="1" w:noVBand="1"/>
      </w:tblPr>
      <w:tblGrid>
        <w:gridCol w:w="1152"/>
        <w:gridCol w:w="1080"/>
        <w:gridCol w:w="1008"/>
        <w:gridCol w:w="648"/>
        <w:gridCol w:w="648"/>
        <w:gridCol w:w="648"/>
        <w:gridCol w:w="648"/>
        <w:gridCol w:w="648"/>
        <w:gridCol w:w="648"/>
        <w:gridCol w:w="648"/>
        <w:gridCol w:w="648"/>
        <w:gridCol w:w="648"/>
      </w:tblGrid>
      <w:tr w:rsidR="006714FF" w14:paraId="3D28EB2A" w14:textId="77777777" w:rsidTr="00B77C41">
        <w:trPr>
          <w:trHeight w:val="300"/>
        </w:trPr>
        <w:tc>
          <w:tcPr>
            <w:tcW w:w="1152"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27F3A937"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Global Offset Type</w:t>
            </w:r>
          </w:p>
        </w:tc>
        <w:tc>
          <w:tcPr>
            <w:tcW w:w="1080"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49AF7421" w14:textId="77777777" w:rsidR="006714FF" w:rsidRDefault="006714FF" w:rsidP="00B77C41">
            <w:pPr>
              <w:spacing w:after="0"/>
              <w:jc w:val="center"/>
              <w:rPr>
                <w:rFonts w:ascii="Times New Roman" w:hAnsi="Times New Roman"/>
                <w:color w:val="000000" w:themeColor="text1"/>
                <w:sz w:val="22"/>
                <w:szCs w:val="22"/>
              </w:rPr>
            </w:pPr>
            <w:r w:rsidRPr="57EE44F5">
              <w:rPr>
                <w:rFonts w:ascii="Times New Roman" w:hAnsi="Times New Roman"/>
                <w:sz w:val="22"/>
                <w:szCs w:val="22"/>
              </w:rPr>
              <w:t>Global Offset Subtype</w:t>
            </w:r>
          </w:p>
        </w:tc>
        <w:tc>
          <w:tcPr>
            <w:tcW w:w="1008" w:type="dxa"/>
            <w:vMerge w:val="restart"/>
            <w:tcBorders>
              <w:top w:val="single" w:sz="4" w:space="0" w:color="auto"/>
              <w:left w:val="single" w:sz="4" w:space="0" w:color="auto"/>
              <w:bottom w:val="single" w:sz="8" w:space="0" w:color="000000" w:themeColor="text1"/>
              <w:right w:val="single" w:sz="4" w:space="0" w:color="auto"/>
            </w:tcBorders>
            <w:shd w:val="clear" w:color="auto" w:fill="FFFFFF" w:themeFill="background1"/>
            <w:tcMar>
              <w:top w:w="15" w:type="dxa"/>
              <w:left w:w="15" w:type="dxa"/>
              <w:right w:w="15" w:type="dxa"/>
            </w:tcMar>
            <w:vAlign w:val="bottom"/>
          </w:tcPr>
          <w:p w14:paraId="6B06E4F6" w14:textId="77777777" w:rsidR="006714FF" w:rsidRDefault="00000000" w:rsidP="00B77C41">
            <w:pPr>
              <w:spacing w:after="0"/>
              <w:jc w:val="center"/>
              <w:rPr>
                <w:rFonts w:ascii="Times New Roman" w:hAnsi="Times New Roman"/>
                <w:sz w:val="22"/>
                <w:szCs w:val="22"/>
              </w:rPr>
            </w:pPr>
            <m:oMath>
              <m:sSup>
                <m:sSupPr>
                  <m:ctrlPr>
                    <w:rPr>
                      <w:rFonts w:ascii="Cambria Math" w:hAnsi="Cambria Math"/>
                      <w:sz w:val="22"/>
                      <w:szCs w:val="22"/>
                    </w:rPr>
                  </m:ctrlPr>
                </m:sSupPr>
                <m:e>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X</m:t>
                      </m:r>
                    </m:sub>
                  </m:sSub>
                </m:e>
                <m:sup>
                  <m:r>
                    <w:rPr>
                      <w:rFonts w:ascii="Cambria Math" w:hAnsi="Cambria Math"/>
                      <w:sz w:val="22"/>
                      <w:szCs w:val="22"/>
                    </w:rPr>
                    <m:t>2</m:t>
                  </m:r>
                </m:sup>
              </m:sSup>
            </m:oMath>
            <w:r w:rsidR="006714FF">
              <w:rPr>
                <w:rFonts w:ascii="Times New Roman" w:hAnsi="Times New Roman"/>
                <w:sz w:val="22"/>
                <w:szCs w:val="22"/>
              </w:rPr>
              <w:t xml:space="preserve"> </w:t>
            </w:r>
            <w:r w:rsidR="006714FF" w:rsidRPr="57EE44F5">
              <w:rPr>
                <w:rFonts w:ascii="Times New Roman" w:hAnsi="Times New Roman"/>
                <w:sz w:val="22"/>
                <w:szCs w:val="22"/>
              </w:rPr>
              <w:t>(</w:t>
            </w:r>
            <w:r w:rsidR="006714FF">
              <w:rPr>
                <w:rFonts w:ascii="Times New Roman" w:hAnsi="Times New Roman"/>
                <w:sz w:val="22"/>
                <w:szCs w:val="22"/>
              </w:rPr>
              <w:t>log(</w:t>
            </w:r>
            <w:r w:rsidR="006714FF" w:rsidRPr="57EE44F5">
              <w:rPr>
                <w:rFonts w:ascii="Times New Roman" w:hAnsi="Times New Roman"/>
                <w:sz w:val="22"/>
                <w:szCs w:val="22"/>
              </w:rPr>
              <w:t>ppb)</w:t>
            </w:r>
            <w:r w:rsidR="006714FF" w:rsidRPr="57EE44F5">
              <w:rPr>
                <w:rFonts w:ascii="Times New Roman" w:hAnsi="Times New Roman"/>
                <w:sz w:val="22"/>
                <w:szCs w:val="22"/>
                <w:vertAlign w:val="superscript"/>
              </w:rPr>
              <w:t>2</w:t>
            </w:r>
            <w:r w:rsidR="006714FF" w:rsidRPr="57EE44F5">
              <w:rPr>
                <w:rFonts w:ascii="Times New Roman" w:hAnsi="Times New Roman"/>
                <w:sz w:val="22"/>
                <w:szCs w:val="22"/>
              </w:rPr>
              <w:t>)</w:t>
            </w:r>
          </w:p>
        </w:tc>
        <w:tc>
          <w:tcPr>
            <w:tcW w:w="1944"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28A9C7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1 (exp.)</w:t>
            </w:r>
          </w:p>
        </w:tc>
        <w:tc>
          <w:tcPr>
            <w:tcW w:w="1944" w:type="dxa"/>
            <w:gridSpan w:val="3"/>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bottom"/>
          </w:tcPr>
          <w:p w14:paraId="1AA0644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2 (exp.)</w:t>
            </w:r>
          </w:p>
        </w:tc>
        <w:tc>
          <w:tcPr>
            <w:tcW w:w="1944" w:type="dxa"/>
            <w:gridSpan w:val="3"/>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bottom"/>
          </w:tcPr>
          <w:p w14:paraId="1632FD37"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Structure 3 (exp.)</w:t>
            </w:r>
          </w:p>
        </w:tc>
      </w:tr>
      <w:tr w:rsidR="006714FF" w14:paraId="672A2BC7" w14:textId="77777777" w:rsidTr="00B77C41">
        <w:trPr>
          <w:trHeight w:val="345"/>
        </w:trPr>
        <w:tc>
          <w:tcPr>
            <w:tcW w:w="1152" w:type="dxa"/>
            <w:vMerge/>
            <w:tcBorders>
              <w:left w:val="single" w:sz="4" w:space="0" w:color="auto"/>
              <w:bottom w:val="single" w:sz="4" w:space="0" w:color="auto"/>
              <w:right w:val="single" w:sz="4" w:space="0" w:color="auto"/>
            </w:tcBorders>
            <w:vAlign w:val="center"/>
          </w:tcPr>
          <w:p w14:paraId="65D28F56" w14:textId="77777777" w:rsidR="006714FF" w:rsidRDefault="006714FF" w:rsidP="00B77C41"/>
        </w:tc>
        <w:tc>
          <w:tcPr>
            <w:tcW w:w="1080" w:type="dxa"/>
            <w:vMerge/>
            <w:tcBorders>
              <w:left w:val="single" w:sz="4" w:space="0" w:color="auto"/>
              <w:bottom w:val="single" w:sz="4" w:space="0" w:color="auto"/>
              <w:right w:val="single" w:sz="4" w:space="0" w:color="auto"/>
            </w:tcBorders>
            <w:vAlign w:val="center"/>
          </w:tcPr>
          <w:p w14:paraId="59D1B15B" w14:textId="77777777" w:rsidR="006714FF" w:rsidRDefault="006714FF" w:rsidP="00B77C41"/>
        </w:tc>
        <w:tc>
          <w:tcPr>
            <w:tcW w:w="1008" w:type="dxa"/>
            <w:vMerge/>
            <w:tcBorders>
              <w:left w:val="single" w:sz="4" w:space="0" w:color="auto"/>
              <w:bottom w:val="single" w:sz="4" w:space="0" w:color="auto"/>
              <w:right w:val="single" w:sz="4" w:space="0" w:color="auto"/>
            </w:tcBorders>
            <w:vAlign w:val="center"/>
          </w:tcPr>
          <w:p w14:paraId="5C8DC51A" w14:textId="77777777" w:rsidR="006714FF" w:rsidRDefault="006714FF" w:rsidP="00B77C41"/>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45CF5681"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1</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E36677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482BD01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t1</w:t>
            </w:r>
            <w:r w:rsidRPr="57EE44F5">
              <w:rPr>
                <w:rFonts w:ascii="Times New Roman" w:hAnsi="Times New Roman"/>
                <w:sz w:val="22"/>
                <w:szCs w:val="22"/>
              </w:rPr>
              <w:t xml:space="preserve"> (day)</w:t>
            </w:r>
          </w:p>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3DBD5DB"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2</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3A80CE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r1</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510495D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c>
          <w:tcPr>
            <w:tcW w:w="648" w:type="dxa"/>
            <w:tcBorders>
              <w:top w:val="single" w:sz="4" w:space="0" w:color="auto"/>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7F47C32" w14:textId="77777777" w:rsidR="006714FF" w:rsidRDefault="006714FF" w:rsidP="00B77C41">
            <w:pPr>
              <w:spacing w:after="0"/>
              <w:jc w:val="center"/>
              <w:rPr>
                <w:rFonts w:ascii="Times New Roman" w:hAnsi="Times New Roman"/>
                <w:sz w:val="22"/>
                <w:szCs w:val="22"/>
                <w:vertAlign w:val="subscript"/>
              </w:rPr>
            </w:pPr>
            <w:r w:rsidRPr="57EE44F5">
              <w:rPr>
                <w:rFonts w:ascii="Times New Roman" w:hAnsi="Times New Roman"/>
                <w:sz w:val="22"/>
                <w:szCs w:val="22"/>
              </w:rPr>
              <w:t>c</w:t>
            </w:r>
            <w:r w:rsidRPr="57EE44F5">
              <w:rPr>
                <w:rFonts w:ascii="Times New Roman" w:hAnsi="Times New Roman"/>
                <w:sz w:val="22"/>
                <w:szCs w:val="22"/>
                <w:vertAlign w:val="subscript"/>
              </w:rPr>
              <w:t>3</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394D5B03"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r2</w:t>
            </w:r>
            <w:r w:rsidRPr="57EE44F5">
              <w:rPr>
                <w:rFonts w:ascii="Times New Roman" w:hAnsi="Times New Roman"/>
                <w:sz w:val="22"/>
                <w:szCs w:val="22"/>
              </w:rPr>
              <w:t xml:space="preserve"> (deg.)</w:t>
            </w:r>
          </w:p>
        </w:tc>
        <w:tc>
          <w:tcPr>
            <w:tcW w:w="648" w:type="dxa"/>
            <w:tcBorders>
              <w:top w:val="nil"/>
              <w:left w:val="single" w:sz="4" w:space="0" w:color="auto"/>
              <w:bottom w:val="single" w:sz="8" w:space="0" w:color="auto"/>
              <w:right w:val="single" w:sz="4" w:space="0" w:color="auto"/>
            </w:tcBorders>
            <w:shd w:val="clear" w:color="auto" w:fill="FFFFFF" w:themeFill="background1"/>
            <w:tcMar>
              <w:top w:w="15" w:type="dxa"/>
              <w:left w:w="15" w:type="dxa"/>
              <w:right w:w="15" w:type="dxa"/>
            </w:tcMar>
            <w:vAlign w:val="bottom"/>
          </w:tcPr>
          <w:p w14:paraId="67A95B8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a</w:t>
            </w:r>
            <w:r w:rsidRPr="57EE44F5">
              <w:rPr>
                <w:rFonts w:ascii="Times New Roman" w:hAnsi="Times New Roman"/>
                <w:sz w:val="22"/>
                <w:szCs w:val="22"/>
                <w:vertAlign w:val="subscript"/>
              </w:rPr>
              <w:t>t2</w:t>
            </w:r>
            <w:r w:rsidRPr="57EE44F5">
              <w:rPr>
                <w:rFonts w:ascii="Times New Roman" w:hAnsi="Times New Roman"/>
                <w:sz w:val="22"/>
                <w:szCs w:val="22"/>
              </w:rPr>
              <w:t xml:space="preserve"> (day)</w:t>
            </w:r>
          </w:p>
        </w:tc>
      </w:tr>
      <w:tr w:rsidR="006714FF" w14:paraId="1BE08AFC" w14:textId="77777777" w:rsidTr="00B77C41">
        <w:trPr>
          <w:trHeight w:val="285"/>
        </w:trPr>
        <w:tc>
          <w:tcPr>
            <w:tcW w:w="115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7DE5F4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Zero</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08FA663D"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930E92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1.1047</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46D89C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0.43</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94CA1B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BE4C95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2.00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30BE81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0.17</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AD4898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6AC2C6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631102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345E87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3.5</w:t>
            </w:r>
          </w:p>
        </w:tc>
        <w:tc>
          <w:tcPr>
            <w:tcW w:w="648" w:type="dxa"/>
            <w:tcBorders>
              <w:top w:val="single" w:sz="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BF2C79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600</w:t>
            </w:r>
          </w:p>
        </w:tc>
      </w:tr>
      <w:tr w:rsidR="006714FF" w14:paraId="5CADBBF7" w14:textId="77777777" w:rsidTr="00B77C41">
        <w:trPr>
          <w:trHeight w:val="285"/>
        </w:trPr>
        <w:tc>
          <w:tcPr>
            <w:tcW w:w="115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1040B1D4"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Flat</w:t>
            </w:r>
          </w:p>
        </w:tc>
        <w:tc>
          <w:tcPr>
            <w:tcW w:w="1080"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15" w:type="dxa"/>
              <w:left w:w="15" w:type="dxa"/>
              <w:right w:w="15" w:type="dxa"/>
            </w:tcMar>
            <w:vAlign w:val="center"/>
          </w:tcPr>
          <w:p w14:paraId="1CF2C20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 xml:space="preserve"> </w:t>
            </w:r>
          </w:p>
        </w:tc>
        <w:tc>
          <w:tcPr>
            <w:tcW w:w="1008"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bottom"/>
          </w:tcPr>
          <w:p w14:paraId="280B0A6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1.0918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A9A9BD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8591DBC"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DD68996"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2.00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A694CF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4BA2A7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4FB304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377FDF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D56D55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742E73B"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600</w:t>
            </w:r>
          </w:p>
        </w:tc>
      </w:tr>
      <w:tr w:rsidR="006714FF" w14:paraId="67F88F6B" w14:textId="77777777" w:rsidTr="00B77C41">
        <w:trPr>
          <w:trHeight w:val="300"/>
        </w:trPr>
        <w:tc>
          <w:tcPr>
            <w:tcW w:w="115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010E48D"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Spatial &amp; Temporal Kernel Smoothing</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31CA553"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Domain-wide</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CFF528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0.9889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A0D8B69"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0.58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4AA25D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E7A9C1F"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2.25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0C4242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FAB022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E7E1E7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763404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5A4B79D"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6.0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B24A5C7"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900</w:t>
            </w:r>
          </w:p>
        </w:tc>
      </w:tr>
      <w:tr w:rsidR="006714FF" w14:paraId="53A9B021" w14:textId="77777777" w:rsidTr="00B77C41">
        <w:trPr>
          <w:trHeight w:val="285"/>
        </w:trPr>
        <w:tc>
          <w:tcPr>
            <w:tcW w:w="1152" w:type="dxa"/>
            <w:vMerge/>
            <w:tcBorders>
              <w:left w:val="single" w:sz="4" w:space="0" w:color="auto"/>
              <w:right w:val="single" w:sz="4" w:space="0" w:color="auto"/>
            </w:tcBorders>
            <w:vAlign w:val="center"/>
          </w:tcPr>
          <w:p w14:paraId="45A2EAB1"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6125495"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843882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0.9889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1CB50E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FEC919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19AA44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49DF24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A6401CD"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0.32</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A61348"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33E63A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B820E3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767C97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r>
      <w:tr w:rsidR="006714FF" w14:paraId="4F559DF9" w14:textId="77777777" w:rsidTr="00B77C41">
        <w:trPr>
          <w:trHeight w:val="285"/>
        </w:trPr>
        <w:tc>
          <w:tcPr>
            <w:tcW w:w="1152" w:type="dxa"/>
            <w:vMerge/>
            <w:tcBorders>
              <w:left w:val="single" w:sz="4" w:space="0" w:color="auto"/>
              <w:right w:val="single" w:sz="4" w:space="0" w:color="auto"/>
            </w:tcBorders>
            <w:vAlign w:val="center"/>
          </w:tcPr>
          <w:p w14:paraId="2FD6B529"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AF0B13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ECABA0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0.8337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250A4B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0.65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ACB12F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BA2459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2.75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B54D235"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0.10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010E3A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2F9E0BF"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72FD4E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069F3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617EFC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r>
      <w:tr w:rsidR="006714FF" w14:paraId="208EBC7E"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229A31A6"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06F7F21" w14:textId="77777777" w:rsidR="006714FF" w:rsidRDefault="006714FF" w:rsidP="00B77C41">
            <w:pPr>
              <w:spacing w:after="0"/>
              <w:jc w:val="center"/>
              <w:rPr>
                <w:rFonts w:ascii="Times New Roman" w:hAnsi="Times New Roman"/>
                <w:b/>
                <w:bCs/>
                <w:sz w:val="22"/>
                <w:szCs w:val="22"/>
              </w:rPr>
            </w:pPr>
            <w:r w:rsidRPr="57EE44F5">
              <w:rPr>
                <w:rFonts w:ascii="Times New Roman" w:hAnsi="Times New Roman"/>
                <w:b/>
                <w:bCs/>
                <w:sz w:val="22"/>
                <w:szCs w:val="22"/>
              </w:rPr>
              <w:t>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06CD5F4"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0.7729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A58B7A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0.65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88941A1"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4A7826D"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3.00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9434744"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0.10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511FA55"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DBD67D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44AE12"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3D6A6A8"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25.0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CC444C3" w14:textId="77777777" w:rsidR="006714FF" w:rsidRDefault="006714FF" w:rsidP="00B77C41">
            <w:pPr>
              <w:spacing w:after="0"/>
              <w:jc w:val="right"/>
              <w:rPr>
                <w:rFonts w:ascii="Times New Roman" w:hAnsi="Times New Roman"/>
                <w:b/>
                <w:bCs/>
                <w:sz w:val="22"/>
                <w:szCs w:val="22"/>
              </w:rPr>
            </w:pPr>
            <w:r w:rsidRPr="57EE44F5">
              <w:rPr>
                <w:rFonts w:ascii="Times New Roman" w:hAnsi="Times New Roman"/>
                <w:b/>
                <w:bCs/>
                <w:sz w:val="22"/>
                <w:szCs w:val="22"/>
              </w:rPr>
              <w:t>900</w:t>
            </w:r>
          </w:p>
        </w:tc>
      </w:tr>
      <w:tr w:rsidR="006714FF" w14:paraId="4573507A" w14:textId="77777777" w:rsidTr="00B77C41">
        <w:trPr>
          <w:trHeight w:val="300"/>
        </w:trPr>
        <w:tc>
          <w:tcPr>
            <w:tcW w:w="115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EE1E479"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Spatial LUR &amp; Temporal Kernel Smoothing</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06C05C"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Domain-wide</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D0E716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1.1000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E221A9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D6220D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891BA3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9A24E2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29C735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70206F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3D2A95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0.30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3B8615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37B8A3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r>
      <w:tr w:rsidR="006714FF" w14:paraId="1B88C4D2" w14:textId="77777777" w:rsidTr="00B77C41">
        <w:trPr>
          <w:trHeight w:val="285"/>
        </w:trPr>
        <w:tc>
          <w:tcPr>
            <w:tcW w:w="1152" w:type="dxa"/>
            <w:vMerge/>
            <w:tcBorders>
              <w:left w:val="single" w:sz="4" w:space="0" w:color="auto"/>
              <w:right w:val="single" w:sz="4" w:space="0" w:color="auto"/>
            </w:tcBorders>
            <w:vAlign w:val="center"/>
          </w:tcPr>
          <w:p w14:paraId="73E33DFF"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FCE4C21"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Regional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84B8EC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1.0907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5B1BE8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0.51</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EE68D57"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DC9361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2.50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B2C26E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7DE62D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983691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1626E3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82C1BC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F32D10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r>
      <w:tr w:rsidR="006714FF" w14:paraId="5C636CCC" w14:textId="77777777" w:rsidTr="00B77C41">
        <w:trPr>
          <w:trHeight w:val="285"/>
        </w:trPr>
        <w:tc>
          <w:tcPr>
            <w:tcW w:w="1152" w:type="dxa"/>
            <w:vMerge/>
            <w:tcBorders>
              <w:left w:val="single" w:sz="4" w:space="0" w:color="auto"/>
              <w:right w:val="single" w:sz="4" w:space="0" w:color="auto"/>
            </w:tcBorders>
            <w:vAlign w:val="center"/>
          </w:tcPr>
          <w:p w14:paraId="68F35B44"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013BA2"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Semi-local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959A05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1.0803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E686E4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0.53</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75ADF9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43FDF1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2.75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5D991E"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EC7FD1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4582D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AB88ADB"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0.27</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4B3C1DC"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F20E7A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r>
      <w:tr w:rsidR="006714FF" w14:paraId="562BD503" w14:textId="77777777" w:rsidTr="00B77C41">
        <w:trPr>
          <w:trHeight w:val="285"/>
        </w:trPr>
        <w:tc>
          <w:tcPr>
            <w:tcW w:w="1152" w:type="dxa"/>
            <w:vMerge/>
            <w:tcBorders>
              <w:left w:val="single" w:sz="4" w:space="0" w:color="auto"/>
              <w:bottom w:val="single" w:sz="4" w:space="0" w:color="auto"/>
              <w:right w:val="single" w:sz="4" w:space="0" w:color="auto"/>
            </w:tcBorders>
            <w:vAlign w:val="center"/>
          </w:tcPr>
          <w:p w14:paraId="6D51AF70" w14:textId="77777777" w:rsidR="006714FF" w:rsidRDefault="006714FF" w:rsidP="00B77C41"/>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1C45A04" w14:textId="77777777" w:rsidR="006714FF" w:rsidRDefault="006714FF" w:rsidP="00B77C41">
            <w:pPr>
              <w:spacing w:after="0"/>
              <w:jc w:val="center"/>
              <w:rPr>
                <w:rFonts w:ascii="Times New Roman" w:hAnsi="Times New Roman"/>
                <w:sz w:val="22"/>
                <w:szCs w:val="22"/>
              </w:rPr>
            </w:pPr>
            <w:r w:rsidRPr="57EE44F5">
              <w:rPr>
                <w:rFonts w:ascii="Times New Roman" w:hAnsi="Times New Roman"/>
                <w:sz w:val="22"/>
                <w:szCs w:val="22"/>
              </w:rPr>
              <w:t>Local</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4BE2EE3"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1.0649</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F196F7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0.55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DD505A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04611E9"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B29ED70"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286BAB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0.40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5B55D24"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9C2E812"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0.25</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54DEB01"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3.8</w:t>
            </w:r>
          </w:p>
        </w:tc>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93D77DA" w14:textId="77777777" w:rsidR="006714FF" w:rsidRDefault="006714FF" w:rsidP="00B77C41">
            <w:pPr>
              <w:spacing w:after="0"/>
              <w:jc w:val="right"/>
              <w:rPr>
                <w:rFonts w:ascii="Times New Roman" w:hAnsi="Times New Roman"/>
                <w:sz w:val="22"/>
                <w:szCs w:val="22"/>
              </w:rPr>
            </w:pPr>
            <w:r w:rsidRPr="57EE44F5">
              <w:rPr>
                <w:rFonts w:ascii="Times New Roman" w:hAnsi="Times New Roman"/>
                <w:sz w:val="22"/>
                <w:szCs w:val="22"/>
              </w:rPr>
              <w:t>900</w:t>
            </w:r>
          </w:p>
        </w:tc>
      </w:tr>
    </w:tbl>
    <w:p w14:paraId="6A97C6BA" w14:textId="77777777" w:rsidR="006714FF" w:rsidRDefault="006714FF" w:rsidP="006714FF">
      <w:pPr>
        <w:pStyle w:val="TESupportingInformation"/>
      </w:pPr>
    </w:p>
    <w:p w14:paraId="5BAFCA53" w14:textId="77777777" w:rsidR="006714FF" w:rsidRDefault="006714FF" w:rsidP="006714FF">
      <w:pPr>
        <w:pStyle w:val="TESupportingInformation"/>
      </w:pPr>
      <w:r w:rsidRPr="0034394B">
        <w:t>SBTEX experimental covariance values and corresponding covariance models are shown for the three global offsets selected using three-degree radius cross-validation in Figure S1</w:t>
      </w:r>
      <w:r>
        <w:t>5</w:t>
      </w:r>
      <w:r w:rsidRPr="0034394B">
        <w:t>.</w:t>
      </w:r>
    </w:p>
    <w:p w14:paraId="01F1BC8E" w14:textId="77777777" w:rsidR="006714FF" w:rsidRDefault="006714FF" w:rsidP="006714FF"/>
    <w:p w14:paraId="31DB445E" w14:textId="77777777" w:rsidR="006714FF" w:rsidRDefault="006714FF" w:rsidP="006714FF"/>
    <w:p w14:paraId="43DA8724" w14:textId="77777777" w:rsidR="006714FF" w:rsidRDefault="006714FF" w:rsidP="006714FF"/>
    <w:p w14:paraId="317F5B60" w14:textId="77777777" w:rsidR="006714FF" w:rsidRDefault="006714FF" w:rsidP="006714FF"/>
    <w:p w14:paraId="1A4FA25D" w14:textId="77777777" w:rsidR="00B92463" w:rsidRDefault="00B92463" w:rsidP="006714FF"/>
    <w:p w14:paraId="39CE3CBC" w14:textId="77777777" w:rsidR="00B92463" w:rsidRDefault="00B92463" w:rsidP="006714FF"/>
    <w:p w14:paraId="7DE14FE8" w14:textId="77777777" w:rsidR="006714FF" w:rsidRPr="00BC5AD1" w:rsidRDefault="006714FF" w:rsidP="006714FF"/>
    <w:p w14:paraId="47C375E9" w14:textId="77777777" w:rsidR="006714FF" w:rsidRDefault="006714FF" w:rsidP="006714FF">
      <w:pPr>
        <w:spacing w:after="0"/>
        <w:rPr>
          <w:rFonts w:ascii="Times New Roman" w:hAnsi="Times New Roman"/>
          <w:sz w:val="22"/>
          <w:szCs w:val="22"/>
          <w:highlight w:val="yellow"/>
        </w:rPr>
      </w:pPr>
      <w:r>
        <w:rPr>
          <w:noProof/>
        </w:rPr>
        <w:lastRenderedPageBreak/>
        <w:drawing>
          <wp:inline distT="0" distB="0" distL="0" distR="0" wp14:anchorId="4A9F4DA3" wp14:editId="5C723244">
            <wp:extent cx="1828800" cy="1371600"/>
            <wp:effectExtent l="0" t="0" r="0" b="0"/>
            <wp:docPr id="1149421711" name="Picture 1149421711"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21711" name="Picture 1149421711" descr="A graph of a model&#10;&#10;Description automatically generated with medium confidenc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23FF428E" wp14:editId="12A911FD">
            <wp:extent cx="1828800" cy="1371600"/>
            <wp:effectExtent l="0" t="0" r="0" b="0"/>
            <wp:docPr id="524880881" name="Picture 524880881"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80881" name="Picture 524880881" descr="A graph of a model&#10;&#10;Description automatically generated with medium confidenc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7B23C690" wp14:editId="2685703C">
            <wp:extent cx="1828800" cy="1371600"/>
            <wp:effectExtent l="0" t="0" r="0" b="0"/>
            <wp:docPr id="1145491137" name="Picture 1145491137" descr="A graph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91137" name="Picture 1145491137" descr="A graph of a model&#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308F4496" w14:textId="77777777" w:rsidR="006714FF" w:rsidRDefault="006714FF" w:rsidP="006714FF">
      <w:pPr>
        <w:spacing w:after="0"/>
        <w:rPr>
          <w:rFonts w:ascii="Times New Roman" w:hAnsi="Times New Roman"/>
          <w:sz w:val="22"/>
          <w:szCs w:val="22"/>
          <w:highlight w:val="yellow"/>
        </w:rPr>
      </w:pPr>
      <w:r>
        <w:rPr>
          <w:noProof/>
        </w:rPr>
        <w:drawing>
          <wp:inline distT="0" distB="0" distL="0" distR="0" wp14:anchorId="682F7341" wp14:editId="7F656D0F">
            <wp:extent cx="1828800" cy="1371600"/>
            <wp:effectExtent l="0" t="0" r="0" b="0"/>
            <wp:docPr id="535105202" name="Picture 535105202"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05202" name="Picture 535105202" descr="A graph of a model&#10;&#10;Description automatically generated with medium confidenc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7115E097" wp14:editId="48181217">
            <wp:extent cx="1828800" cy="1371600"/>
            <wp:effectExtent l="0" t="0" r="0" b="0"/>
            <wp:docPr id="1736784626" name="Picture 1736784626"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84626" name="Picture 1736784626" descr="A graph of a model&#10;&#10;Description automatically generated with medium confidenc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51B2AB5A" wp14:editId="4E646E31">
            <wp:extent cx="1828800" cy="1371600"/>
            <wp:effectExtent l="0" t="0" r="0" b="0"/>
            <wp:docPr id="448842506" name="Picture 448842506"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42506" name="Picture 448842506" descr="A graph of a model&#10;&#10;Description automatically generated with medium confidenc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0346F946" w14:textId="77777777" w:rsidR="006714FF" w:rsidRDefault="006714FF" w:rsidP="006714FF">
      <w:pPr>
        <w:spacing w:after="0"/>
        <w:rPr>
          <w:rFonts w:ascii="Times New Roman" w:hAnsi="Times New Roman"/>
          <w:sz w:val="22"/>
          <w:szCs w:val="22"/>
          <w:highlight w:val="yellow"/>
        </w:rPr>
      </w:pPr>
      <w:r>
        <w:rPr>
          <w:noProof/>
        </w:rPr>
        <w:drawing>
          <wp:inline distT="0" distB="0" distL="0" distR="0" wp14:anchorId="7DE4271D" wp14:editId="5E7AD42B">
            <wp:extent cx="1828800" cy="1371600"/>
            <wp:effectExtent l="0" t="0" r="0" b="0"/>
            <wp:docPr id="785723348" name="Picture 785723348"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23348" name="Picture 785723348" descr="A graph of a model&#10;&#10;Description automatically generated with medium confidenc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62AADB7A" wp14:editId="292A7154">
            <wp:extent cx="1828800" cy="1371600"/>
            <wp:effectExtent l="0" t="0" r="0" b="0"/>
            <wp:docPr id="351636505" name="Picture 351636505"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36505" name="Picture 351636505" descr="A graph of a model&#10;&#10;Description automatically generated with medium confidenc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19EC2DE6" wp14:editId="14A993B2">
            <wp:extent cx="1828800" cy="1371600"/>
            <wp:effectExtent l="0" t="0" r="0" b="0"/>
            <wp:docPr id="1193592966" name="Picture 1193592966"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592966" name="Picture 1193592966" descr="A graph of a model&#10;&#10;Description automatically generated with medium confidenc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54D5B08B" w14:textId="77777777" w:rsidR="006714FF" w:rsidRDefault="006714FF" w:rsidP="006714FF">
      <w:pPr>
        <w:spacing w:after="0"/>
        <w:rPr>
          <w:rFonts w:ascii="Times New Roman" w:hAnsi="Times New Roman"/>
          <w:sz w:val="22"/>
          <w:szCs w:val="22"/>
          <w:highlight w:val="yellow"/>
        </w:rPr>
      </w:pPr>
      <w:r>
        <w:rPr>
          <w:noProof/>
        </w:rPr>
        <w:drawing>
          <wp:inline distT="0" distB="0" distL="0" distR="0" wp14:anchorId="4893BD8C" wp14:editId="66DB924D">
            <wp:extent cx="1828800" cy="1371600"/>
            <wp:effectExtent l="0" t="0" r="0" b="0"/>
            <wp:docPr id="922315255" name="Picture 922315255"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15255" name="Picture 922315255" descr="A graph of a model&#10;&#10;Description automatically generated with medium confidenc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10888A23" wp14:editId="61282559">
            <wp:extent cx="1828800" cy="1371600"/>
            <wp:effectExtent l="0" t="0" r="0" b="0"/>
            <wp:docPr id="1049430619" name="Picture 1049430619"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30619" name="Picture 1049430619" descr="A graph of a model&#10;&#10;Description automatically generated with medium confidenc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5C2DAFDB" wp14:editId="5FC04D4F">
            <wp:extent cx="1828800" cy="1371600"/>
            <wp:effectExtent l="0" t="0" r="0" b="0"/>
            <wp:docPr id="932393627" name="Picture 932393627"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93627" name="Picture 932393627" descr="A graph of a model&#10;&#10;Description automatically generated with medium confidenc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24E2B498" w14:textId="77777777" w:rsidR="006714FF" w:rsidRDefault="006714FF" w:rsidP="006714FF">
      <w:pPr>
        <w:spacing w:after="0"/>
        <w:rPr>
          <w:rFonts w:ascii="Times New Roman" w:hAnsi="Times New Roman"/>
          <w:sz w:val="22"/>
          <w:szCs w:val="22"/>
        </w:rPr>
      </w:pPr>
      <w:r>
        <w:rPr>
          <w:noProof/>
        </w:rPr>
        <w:drawing>
          <wp:inline distT="0" distB="0" distL="0" distR="0" wp14:anchorId="6F62A6FD" wp14:editId="36AD2934">
            <wp:extent cx="1828800" cy="1371600"/>
            <wp:effectExtent l="0" t="0" r="0" b="0"/>
            <wp:docPr id="781497619" name="Picture 781497619"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97619" name="Picture 781497619" descr="A graph of a model&#10;&#10;Description automatically generated with medium confidenc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2C127BF2" wp14:editId="5C29B466">
            <wp:extent cx="1828800" cy="1371600"/>
            <wp:effectExtent l="0" t="0" r="0" b="0"/>
            <wp:docPr id="2011950849" name="Picture 2011950849"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50849" name="Picture 2011950849" descr="A graph of a model&#10;&#10;Description automatically generated with medium confidenc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46FAA3D1" wp14:editId="186B5EF2">
            <wp:extent cx="1828800" cy="1371600"/>
            <wp:effectExtent l="0" t="0" r="0" b="0"/>
            <wp:docPr id="79758933" name="Picture 79758933"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8933" name="Picture 79758933" descr="A graph of a model&#10;&#10;Description automatically generated with medium confidenc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2836EB82" w14:textId="77777777" w:rsidR="006714FF" w:rsidRDefault="006714FF" w:rsidP="006714FF">
      <w:pPr>
        <w:pStyle w:val="VAFigureCaption"/>
      </w:pPr>
      <w:r w:rsidRPr="00E91DFB">
        <w:rPr>
          <w:b/>
          <w:bCs/>
        </w:rPr>
        <w:t>Figure S1</w:t>
      </w:r>
      <w:r>
        <w:rPr>
          <w:b/>
          <w:bCs/>
        </w:rPr>
        <w:t>4</w:t>
      </w:r>
      <w:r w:rsidRPr="00E91DFB">
        <w:rPr>
          <w:b/>
          <w:bCs/>
        </w:rPr>
        <w:t>.</w:t>
      </w:r>
      <w:r w:rsidRPr="57EE44F5">
        <w:t xml:space="preserve"> Spatial and temporal structures of </w:t>
      </w:r>
      <w:r>
        <w:t>log-</w:t>
      </w:r>
      <w:r w:rsidRPr="57EE44F5">
        <w:t>SBTEX covariance models. From top to bottom, row 1: styrene; row 2: benzene; row 3: toluene, row 4: ethylbenzene; row 5: xylenes. Left column: covariance model using a flat global offset (</w:t>
      </w:r>
      <w:r w:rsidRPr="57EE44F5">
        <w:rPr>
          <w:i/>
          <w:iCs/>
        </w:rPr>
        <w:t>i.e.</w:t>
      </w:r>
      <w:r w:rsidRPr="57EE44F5">
        <w:t xml:space="preserve">, GO=1); center column: covariance models using a domain-wide S/T-KS global offset for styrene, toluene, ethylbenzene, and xylenes </w:t>
      </w:r>
      <w:r w:rsidRPr="57EE44F5">
        <w:lastRenderedPageBreak/>
        <w:t>(STEX) (</w:t>
      </w:r>
      <w:r w:rsidRPr="57EE44F5">
        <w:rPr>
          <w:i/>
          <w:iCs/>
        </w:rPr>
        <w:t>i.e.</w:t>
      </w:r>
      <w:r w:rsidRPr="57EE44F5">
        <w:t>, GO=2) and a S-LUR+ domain-wide T-KS global offset for benzene (</w:t>
      </w:r>
      <w:r w:rsidRPr="57EE44F5">
        <w:rPr>
          <w:i/>
          <w:iCs/>
        </w:rPr>
        <w:t>i.e.</w:t>
      </w:r>
      <w:r w:rsidRPr="57EE44F5">
        <w:t>, GO=6); right column: covariance models using a local S/T-KS global offset for STEX (</w:t>
      </w:r>
      <w:r w:rsidRPr="57EE44F5">
        <w:rPr>
          <w:i/>
          <w:iCs/>
        </w:rPr>
        <w:t>i.e.</w:t>
      </w:r>
      <w:r w:rsidRPr="57EE44F5">
        <w:t>, GO=5) and a S-LUR+ semi-local T-KS global offset for benzene (</w:t>
      </w:r>
      <w:r w:rsidRPr="57EE44F5">
        <w:rPr>
          <w:i/>
          <w:iCs/>
        </w:rPr>
        <w:t>i.e.</w:t>
      </w:r>
      <w:r w:rsidRPr="57EE44F5">
        <w:t>, GO=8).</w:t>
      </w:r>
    </w:p>
    <w:p w14:paraId="5DF5AE38" w14:textId="77777777" w:rsidR="006714FF" w:rsidRPr="00011FD0" w:rsidRDefault="006714FF" w:rsidP="006714FF">
      <w:pPr>
        <w:pStyle w:val="TESupportingInformation"/>
      </w:pPr>
      <w:r>
        <w:t>For ease of comprehension, Figure 15 shows a flow diagram depicting the steps of the BME data fusion with global offset methodology. The BME processes (shown in each rectangle) are color-coded in grey, pink, green, and blue corresponding to data, BME step 1, BME step 2, and BME step 3, respectively.</w:t>
      </w:r>
    </w:p>
    <w:p w14:paraId="35298BF0" w14:textId="77777777" w:rsidR="006714FF" w:rsidRPr="0077315F" w:rsidRDefault="006714FF" w:rsidP="006714FF">
      <w:r w:rsidRPr="00F1651E">
        <w:rPr>
          <w:noProof/>
        </w:rPr>
        <w:lastRenderedPageBreak/>
        <w:drawing>
          <wp:inline distT="0" distB="0" distL="0" distR="0" wp14:anchorId="6A263178" wp14:editId="1B12DDC1">
            <wp:extent cx="5677192" cy="7207620"/>
            <wp:effectExtent l="0" t="0" r="0" b="0"/>
            <wp:docPr id="344314101" name="Picture 1"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14101" name="Picture 1" descr="A diagram of a model&#10;&#10;Description automatically generated"/>
                    <pic:cNvPicPr/>
                  </pic:nvPicPr>
                  <pic:blipFill>
                    <a:blip r:embed="rId98"/>
                    <a:stretch>
                      <a:fillRect/>
                    </a:stretch>
                  </pic:blipFill>
                  <pic:spPr>
                    <a:xfrm>
                      <a:off x="0" y="0"/>
                      <a:ext cx="5677192" cy="7207620"/>
                    </a:xfrm>
                    <a:prstGeom prst="rect">
                      <a:avLst/>
                    </a:prstGeom>
                  </pic:spPr>
                </pic:pic>
              </a:graphicData>
            </a:graphic>
          </wp:inline>
        </w:drawing>
      </w:r>
    </w:p>
    <w:p w14:paraId="029C20D9" w14:textId="77777777" w:rsidR="009F43DC" w:rsidRDefault="006714FF" w:rsidP="006714FF">
      <w:pPr>
        <w:pStyle w:val="TESupportingInformation"/>
      </w:pPr>
      <w:r w:rsidRPr="009E0C18">
        <w:rPr>
          <w:b/>
          <w:bCs/>
        </w:rPr>
        <w:t>Figure S15.</w:t>
      </w:r>
      <w:r w:rsidRPr="00B1387A">
        <w:t xml:space="preserve"> Flow chart demonstrating the BME data fusion with global offsets methodology to estimate SBTEX at a location </w:t>
      </w:r>
      <w:r w:rsidRPr="00B77C41">
        <w:t>p</w:t>
      </w:r>
      <w:r w:rsidRPr="003F327D">
        <w:rPr>
          <w:vertAlign w:val="subscript"/>
        </w:rPr>
        <w:t>k</w:t>
      </w:r>
      <w:r w:rsidRPr="00B1387A">
        <w:t xml:space="preserve">, where </w:t>
      </w:r>
      <w:r w:rsidRPr="00B77C41">
        <w:t>p</w:t>
      </w:r>
      <w:r w:rsidRPr="00A97CBB">
        <w:rPr>
          <w:vertAlign w:val="subscript"/>
        </w:rPr>
        <w:t>k</w:t>
      </w:r>
      <w:r w:rsidRPr="00B1387A">
        <w:t>=[</w:t>
      </w:r>
      <w:r w:rsidRPr="006D5B89">
        <w:rPr>
          <w:b/>
          <w:bCs/>
        </w:rPr>
        <w:t>s</w:t>
      </w:r>
      <w:r w:rsidRPr="00B1387A">
        <w:t xml:space="preserve">, t] and </w:t>
      </w:r>
      <w:r w:rsidRPr="006D5B89">
        <w:rPr>
          <w:b/>
          <w:bCs/>
        </w:rPr>
        <w:t>s</w:t>
      </w:r>
      <w:r w:rsidRPr="00B1387A">
        <w:t>=(s</w:t>
      </w:r>
      <w:r w:rsidRPr="006D5B89">
        <w:rPr>
          <w:vertAlign w:val="subscript"/>
        </w:rPr>
        <w:t>1</w:t>
      </w:r>
      <w:r w:rsidRPr="00B1387A">
        <w:t>, s</w:t>
      </w:r>
      <w:r w:rsidRPr="006D5B89">
        <w:rPr>
          <w:vertAlign w:val="subscript"/>
        </w:rPr>
        <w:t>2</w:t>
      </w:r>
      <w:r w:rsidRPr="00B1387A">
        <w:t xml:space="preserve">) is a 2D spatial location and </w:t>
      </w:r>
      <w:proofErr w:type="spellStart"/>
      <w:r w:rsidRPr="00B1387A">
        <w:t>t</w:t>
      </w:r>
      <w:proofErr w:type="spellEnd"/>
      <w:r w:rsidRPr="00B1387A">
        <w:t xml:space="preserve"> is time. Boxes filled with grey represent the data, boxes filled with pink represent BME step 1 processes, </w:t>
      </w:r>
      <w:r w:rsidRPr="00B1387A">
        <w:lastRenderedPageBreak/>
        <w:t>boxes filled with green represent BME step 2 processes, and boxes filled with blue represent BME step 3 processes. Relevant formulas and variables are included below the process description in each box</w:t>
      </w:r>
      <w:r>
        <w:t>.</w:t>
      </w:r>
    </w:p>
    <w:p w14:paraId="15EA37C1" w14:textId="38A73B56" w:rsidR="006714FF" w:rsidRPr="00E91DFB" w:rsidRDefault="006714FF" w:rsidP="006714FF">
      <w:pPr>
        <w:pStyle w:val="TESupportingInformation"/>
        <w:rPr>
          <w:b/>
          <w:bCs/>
        </w:rPr>
      </w:pPr>
      <w:r w:rsidRPr="00E91DFB">
        <w:rPr>
          <w:b/>
          <w:bCs/>
        </w:rPr>
        <w:t>S7. BME Spatial Estimate Development</w:t>
      </w:r>
    </w:p>
    <w:p w14:paraId="5569981E" w14:textId="77777777" w:rsidR="006714FF" w:rsidRPr="00E91DFB" w:rsidRDefault="006714FF" w:rsidP="006714FF">
      <w:pPr>
        <w:pStyle w:val="TESupportingInformation"/>
      </w:pPr>
      <w:r w:rsidRPr="00E91DFB">
        <w:t>A step-by-step analysis of creating BME data fusion estimates is documented below, using log-styrene on August 4</w:t>
      </w:r>
      <w:r w:rsidRPr="003F327D">
        <w:rPr>
          <w:vertAlign w:val="superscript"/>
        </w:rPr>
        <w:t>th</w:t>
      </w:r>
      <w:r w:rsidRPr="00E91DFB">
        <w:t>, 2012, as an example. First, observational data is gathered and aggregated (Figure S1</w:t>
      </w:r>
      <w:r>
        <w:t>6</w:t>
      </w:r>
      <w:r w:rsidRPr="00E91DFB">
        <w:t>).</w:t>
      </w:r>
    </w:p>
    <w:p w14:paraId="4EFD88CB" w14:textId="77777777" w:rsidR="006714FF" w:rsidRDefault="006714FF" w:rsidP="006714FF">
      <w:pPr>
        <w:pStyle w:val="TESupportingInformation"/>
      </w:pPr>
      <w:r>
        <w:rPr>
          <w:noProof/>
        </w:rPr>
        <w:drawing>
          <wp:inline distT="0" distB="0" distL="0" distR="0" wp14:anchorId="24C74F17" wp14:editId="0D31E4E6">
            <wp:extent cx="1950720" cy="1463040"/>
            <wp:effectExtent l="0" t="0" r="0" b="0"/>
            <wp:docPr id="514600229" name="Picture 514600229" descr="A map of the united states with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4E27003B" wp14:editId="0A2F48D3">
            <wp:extent cx="1817956" cy="1463040"/>
            <wp:effectExtent l="0" t="0" r="0" b="0"/>
            <wp:docPr id="385884692" name="Picture 385884692" descr="A graph of a graph with colored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84692" name="Picture 385884692" descr="A graph of a graph with colored circles&#10;&#10;Description automatically generated with medium confidenc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817956" cy="1463040"/>
                    </a:xfrm>
                    <a:prstGeom prst="rect">
                      <a:avLst/>
                    </a:prstGeom>
                  </pic:spPr>
                </pic:pic>
              </a:graphicData>
            </a:graphic>
          </wp:inline>
        </w:drawing>
      </w:r>
    </w:p>
    <w:p w14:paraId="6F75C20A" w14:textId="77777777" w:rsidR="006714FF" w:rsidRPr="00E91DFB" w:rsidRDefault="006714FF" w:rsidP="006714FF">
      <w:pPr>
        <w:pStyle w:val="VAFigureCaption"/>
      </w:pPr>
      <w:r w:rsidRPr="00E91DFB">
        <w:rPr>
          <w:b/>
          <w:bCs/>
        </w:rPr>
        <w:t>Figure S1</w:t>
      </w:r>
      <w:r>
        <w:rPr>
          <w:b/>
          <w:bCs/>
        </w:rPr>
        <w:t>6</w:t>
      </w:r>
      <w:r w:rsidRPr="00E91DFB">
        <w:rPr>
          <w:b/>
          <w:bCs/>
        </w:rPr>
        <w:t>.</w:t>
      </w:r>
      <w:r w:rsidRPr="57EE44F5">
        <w:t xml:space="preserve"> Average observed concentrations of </w:t>
      </w:r>
      <w:r>
        <w:t>log-</w:t>
      </w:r>
      <w:r w:rsidRPr="57EE44F5">
        <w:t>styrene from 2006 to 2017. Left panel: average concentrations in the Gulf States; right panel: average concentrations in Houston, Texas.</w:t>
      </w:r>
    </w:p>
    <w:p w14:paraId="13A1E1DC" w14:textId="77777777" w:rsidR="006714FF" w:rsidRPr="00E91DFB" w:rsidRDefault="006714FF" w:rsidP="006714FF">
      <w:pPr>
        <w:pStyle w:val="TESupportingInformation"/>
      </w:pPr>
      <w:r w:rsidRPr="00E91DFB">
        <w:t>Next, global offsets are created based on observational data. A spatial component of a flat global offset was a single mean value across the region, which is not highly informed by observational data (Figure S1</w:t>
      </w:r>
      <w:r>
        <w:t>7</w:t>
      </w:r>
      <w:r w:rsidRPr="00E91DFB">
        <w:t>). Conversely, space/time kernel smoothing (KS), pulled more information from observational data, and could reveal regional trends of styrene concentrations from 2006 to 2017 (Figure S1</w:t>
      </w:r>
      <w:r>
        <w:t>7</w:t>
      </w:r>
      <w:r w:rsidRPr="00E91DFB">
        <w:t>). For example, S/T-KS revealed higher average styrene values from 2006-2017 near the western and eastern borders of the Gulf States (Figure S1</w:t>
      </w:r>
      <w:r>
        <w:t>7</w:t>
      </w:r>
      <w:r w:rsidRPr="00E91DFB">
        <w:t>).</w:t>
      </w:r>
    </w:p>
    <w:p w14:paraId="446281E0" w14:textId="77777777" w:rsidR="006714FF" w:rsidRDefault="006714FF" w:rsidP="006714FF">
      <w:pPr>
        <w:pStyle w:val="TESupportingInformation"/>
      </w:pPr>
      <w:r>
        <w:rPr>
          <w:noProof/>
        </w:rPr>
        <w:lastRenderedPageBreak/>
        <w:drawing>
          <wp:inline distT="0" distB="0" distL="0" distR="0" wp14:anchorId="501A5068" wp14:editId="1C8B7A01">
            <wp:extent cx="1950720" cy="1463040"/>
            <wp:effectExtent l="0" t="0" r="0" b="0"/>
            <wp:docPr id="1436378334" name="Picture 1436378334" descr="A yellow square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2DD43222" wp14:editId="0B14948F">
            <wp:extent cx="1950720" cy="1463040"/>
            <wp:effectExtent l="0" t="0" r="0" b="0"/>
            <wp:docPr id="675636516" name="Picture 675636516" descr="A yellow and blue chart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36516" name="Picture 675636516" descr="A yellow and blue chart with black dots&#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121D36C2" w14:textId="77777777" w:rsidR="006714FF" w:rsidRDefault="006714FF" w:rsidP="006714FF">
      <w:pPr>
        <w:pStyle w:val="TESupportingInformation"/>
      </w:pPr>
      <w:r>
        <w:rPr>
          <w:noProof/>
        </w:rPr>
        <w:drawing>
          <wp:inline distT="0" distB="0" distL="0" distR="0" wp14:anchorId="0D4C7280" wp14:editId="2F93EAD2">
            <wp:extent cx="1950720" cy="1463040"/>
            <wp:effectExtent l="0" t="0" r="0" b="0"/>
            <wp:docPr id="457722783" name="Picture 457722783" descr="A map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722783" name="Picture 457722783" descr="A map of a city&#10;&#10;Description automatically generated with medium confidenc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23564539" wp14:editId="58A44EF5">
            <wp:extent cx="1950720" cy="1463040"/>
            <wp:effectExtent l="0" t="0" r="0" b="0"/>
            <wp:docPr id="335883545" name="Picture 335883545"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83545" name="Picture 335883545" descr="A close-up of a graph&#10;&#10;Description automatically generate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05CA75CA" w14:textId="77777777" w:rsidR="006714FF" w:rsidRPr="00E91DFB" w:rsidRDefault="006714FF" w:rsidP="006714FF">
      <w:pPr>
        <w:pStyle w:val="VAFigureCaption"/>
        <w:rPr>
          <w:color w:val="000000" w:themeColor="text1"/>
        </w:rPr>
      </w:pPr>
      <w:r w:rsidRPr="00E91DFB">
        <w:rPr>
          <w:b/>
          <w:bCs/>
        </w:rPr>
        <w:t>Figure S1</w:t>
      </w:r>
      <w:r>
        <w:rPr>
          <w:b/>
          <w:bCs/>
        </w:rPr>
        <w:t>7</w:t>
      </w:r>
      <w:r w:rsidRPr="00E91DFB">
        <w:rPr>
          <w:b/>
          <w:bCs/>
        </w:rPr>
        <w:t>.</w:t>
      </w:r>
      <w:r w:rsidRPr="57EE44F5">
        <w:t xml:space="preserve"> Smoothed spatial global offsets for </w:t>
      </w:r>
      <w:r>
        <w:t>log-</w:t>
      </w:r>
      <w:r w:rsidRPr="57EE44F5">
        <w:t>styrene. Black dots denote monitoring station locations from 2006 to 2017. Left column: global offsets across the Gulf States; right column: global offsets in Houston, Texas. Top row: flat global offsets; bottom row: local S/T-KS global offsets.</w:t>
      </w:r>
    </w:p>
    <w:p w14:paraId="43157A88" w14:textId="77777777" w:rsidR="006714FF" w:rsidRPr="00E91DFB" w:rsidRDefault="006714FF" w:rsidP="006714FF">
      <w:pPr>
        <w:pStyle w:val="TESupportingInformation"/>
      </w:pPr>
      <w:r w:rsidRPr="00E91DFB">
        <w:t>Using global offsets, observational interpolation of log-styrene values could be performed. When log-styrene observational interpolation was performed using a flat global offset, estimates reflected measured values on the estimated day when close to monitoring locations or were informed by historic monitoring data in the region when close to historic monitoring data locations (Figure S1</w:t>
      </w:r>
      <w:r>
        <w:t>8</w:t>
      </w:r>
      <w:r w:rsidRPr="00E91DFB">
        <w:t>). However, when far from monitoring station information, log-styrene estimates returned to the estimate provided by the flat global offset (Figure S1</w:t>
      </w:r>
      <w:r>
        <w:t>8</w:t>
      </w:r>
      <w:r w:rsidRPr="00E91DFB">
        <w:t>). Conversely, when S/T-KS was implemented for observational interpolation, log-styrene estimates were informed by present and historical observational data when close to monitoring station locations, however, estimates far from monitoring stations reflected regional trends identified using S/T-KS (Figure S1</w:t>
      </w:r>
      <w:r>
        <w:t>8</w:t>
      </w:r>
      <w:r w:rsidRPr="00E91DFB">
        <w:t>).</w:t>
      </w:r>
    </w:p>
    <w:p w14:paraId="2A0A9D6E" w14:textId="77777777" w:rsidR="006714FF" w:rsidRDefault="006714FF" w:rsidP="006714FF">
      <w:pPr>
        <w:pStyle w:val="TESupportingInformation"/>
      </w:pPr>
      <w:r>
        <w:rPr>
          <w:noProof/>
        </w:rPr>
        <w:lastRenderedPageBreak/>
        <w:drawing>
          <wp:inline distT="0" distB="0" distL="0" distR="0" wp14:anchorId="06AC0D38" wp14:editId="1183DC96">
            <wp:extent cx="1950720" cy="1463040"/>
            <wp:effectExtent l="0" t="0" r="0" b="0"/>
            <wp:docPr id="1229437336" name="Picture 122943733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0AB225A9" wp14:editId="3275F096">
            <wp:extent cx="1950720" cy="1463040"/>
            <wp:effectExtent l="0" t="0" r="0" b="0"/>
            <wp:docPr id="1038955049" name="Picture 1038955049" descr="A diagram of a heat wa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55049" name="Picture 1038955049" descr="A diagram of a heat wave&#10;&#10;Description automatically generated with medium confidenc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74465F9F" w14:textId="77777777" w:rsidR="006714FF" w:rsidRDefault="006714FF" w:rsidP="006714FF">
      <w:pPr>
        <w:pStyle w:val="TESupportingInformation"/>
      </w:pPr>
      <w:r>
        <w:rPr>
          <w:noProof/>
        </w:rPr>
        <w:drawing>
          <wp:inline distT="0" distB="0" distL="0" distR="0" wp14:anchorId="23C78F8A" wp14:editId="39DA5D27">
            <wp:extent cx="1950720" cy="1463040"/>
            <wp:effectExtent l="0" t="0" r="0" b="0"/>
            <wp:docPr id="719474346" name="Picture 71947434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57EE44F5">
        <w:t xml:space="preserve"> </w:t>
      </w:r>
      <w:r>
        <w:rPr>
          <w:noProof/>
        </w:rPr>
        <w:drawing>
          <wp:inline distT="0" distB="0" distL="0" distR="0" wp14:anchorId="0934679B" wp14:editId="3A774EE5">
            <wp:extent cx="1950720" cy="1463040"/>
            <wp:effectExtent l="0" t="0" r="0" b="0"/>
            <wp:docPr id="308251588" name="Picture 308251588"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4ACF4EB9" w14:textId="77777777" w:rsidR="006714FF" w:rsidRPr="00E91DFB" w:rsidRDefault="006714FF" w:rsidP="006714FF">
      <w:pPr>
        <w:pStyle w:val="VAFigureCaption"/>
        <w:rPr>
          <w:color w:val="000000" w:themeColor="text1"/>
        </w:rPr>
      </w:pPr>
      <w:r w:rsidRPr="00E91DFB">
        <w:rPr>
          <w:b/>
          <w:bCs/>
        </w:rPr>
        <w:t>Figure S1</w:t>
      </w:r>
      <w:r>
        <w:rPr>
          <w:b/>
          <w:bCs/>
        </w:rPr>
        <w:t>8</w:t>
      </w:r>
      <w:r w:rsidRPr="00E91DFB">
        <w:rPr>
          <w:b/>
          <w:bCs/>
        </w:rPr>
        <w:t>.</w:t>
      </w:r>
      <w:r w:rsidRPr="57EE44F5">
        <w:t xml:space="preserve"> Observational interpolation of </w:t>
      </w:r>
      <w:r>
        <w:t>log-</w:t>
      </w:r>
      <w:r w:rsidRPr="57EE44F5">
        <w:t>styrene using global offsets on August 4</w:t>
      </w:r>
      <w:r w:rsidRPr="57EE44F5">
        <w:rPr>
          <w:vertAlign w:val="superscript"/>
        </w:rPr>
        <w:t>th</w:t>
      </w:r>
      <w:r w:rsidRPr="57EE44F5">
        <w:t xml:space="preserve">, 2012. Color-filled circles represent </w:t>
      </w:r>
      <w:r>
        <w:t>log-</w:t>
      </w:r>
      <w:r w:rsidRPr="57EE44F5">
        <w:t>styrene measurements on August 4</w:t>
      </w:r>
      <w:r w:rsidRPr="57EE44F5">
        <w:rPr>
          <w:vertAlign w:val="superscript"/>
        </w:rPr>
        <w:t>th</w:t>
      </w:r>
      <w:r w:rsidRPr="57EE44F5">
        <w:t>, 2012. Left column: global offsets across the Gulf States; right column: global offsets in Houston, Texas. Top row: flat global offsets; bottom row: local S/T-KS global offsets.</w:t>
      </w:r>
    </w:p>
    <w:p w14:paraId="0E0BE1B5" w14:textId="77777777" w:rsidR="006714FF" w:rsidRPr="00E91DFB" w:rsidRDefault="006714FF" w:rsidP="006714FF">
      <w:pPr>
        <w:pStyle w:val="TESupportingInformation"/>
      </w:pPr>
      <w:r w:rsidRPr="00E91DFB">
        <w:t xml:space="preserve">Uncorrected </w:t>
      </w:r>
      <w:proofErr w:type="spellStart"/>
      <w:r w:rsidRPr="00E91DFB">
        <w:t>CAMx</w:t>
      </w:r>
      <w:proofErr w:type="spellEnd"/>
      <w:r w:rsidRPr="00E91DFB">
        <w:t xml:space="preserve"> log-styrene estimates were very high in centralized locations reflecting plume estimation but quickly dropped to low values (i.e., -9 log(ppb) or less) within short distances of plumes (Figure S1</w:t>
      </w:r>
      <w:r>
        <w:t>9</w:t>
      </w:r>
      <w:r w:rsidRPr="00E91DFB">
        <w:t xml:space="preserve">). These graphical results agree with CAMP curve findings that </w:t>
      </w:r>
      <w:proofErr w:type="spellStart"/>
      <w:r w:rsidRPr="00E91DFB">
        <w:t>CAMx</w:t>
      </w:r>
      <w:proofErr w:type="spellEnd"/>
      <w:r w:rsidRPr="00E91DFB">
        <w:t xml:space="preserve"> underpredicted log-styrene when </w:t>
      </w:r>
      <w:proofErr w:type="spellStart"/>
      <w:r w:rsidRPr="00E91DFB">
        <w:t>CAMx</w:t>
      </w:r>
      <w:proofErr w:type="spellEnd"/>
      <w:r w:rsidRPr="00E91DFB">
        <w:t xml:space="preserve"> predicted low and </w:t>
      </w:r>
      <w:proofErr w:type="spellStart"/>
      <w:r w:rsidRPr="00E91DFB">
        <w:t>CAMx</w:t>
      </w:r>
      <w:proofErr w:type="spellEnd"/>
      <w:r w:rsidRPr="00E91DFB">
        <w:t xml:space="preserve"> overpredicted log-styrene when </w:t>
      </w:r>
      <w:proofErr w:type="spellStart"/>
      <w:r w:rsidRPr="00E91DFB">
        <w:t>CAMx</w:t>
      </w:r>
      <w:proofErr w:type="spellEnd"/>
      <w:r w:rsidRPr="00E91DFB">
        <w:t xml:space="preserve"> predicted high (Figure S4). After applying the CAMP correction of estimated values using the λ</w:t>
      </w:r>
      <w:r w:rsidRPr="003F327D">
        <w:rPr>
          <w:vertAlign w:val="subscript"/>
        </w:rPr>
        <w:t>1</w:t>
      </w:r>
      <w:r w:rsidRPr="00E91DFB">
        <w:t xml:space="preserve">  curve, high </w:t>
      </w:r>
      <w:proofErr w:type="spellStart"/>
      <w:r w:rsidRPr="00E91DFB">
        <w:t>CAMx</w:t>
      </w:r>
      <w:proofErr w:type="spellEnd"/>
      <w:r w:rsidRPr="00E91DFB">
        <w:t xml:space="preserve"> values were attenuated lower, and low </w:t>
      </w:r>
      <w:proofErr w:type="spellStart"/>
      <w:r w:rsidRPr="00E91DFB">
        <w:t>CAMx</w:t>
      </w:r>
      <w:proofErr w:type="spellEnd"/>
      <w:r w:rsidRPr="00E91DFB">
        <w:t xml:space="preserve"> values were attenuated higher (Figure S1</w:t>
      </w:r>
      <w:r>
        <w:t>9</w:t>
      </w:r>
      <w:r w:rsidRPr="00E91DFB">
        <w:t>).</w:t>
      </w:r>
    </w:p>
    <w:p w14:paraId="78DE8FB4" w14:textId="77777777" w:rsidR="006714FF" w:rsidRDefault="006714FF" w:rsidP="006714FF">
      <w:pPr>
        <w:pStyle w:val="TESupportingInformation"/>
        <w:rPr>
          <w:sz w:val="22"/>
          <w:szCs w:val="22"/>
        </w:rPr>
      </w:pPr>
    </w:p>
    <w:p w14:paraId="0D3BDA04" w14:textId="77777777" w:rsidR="006714FF" w:rsidRDefault="006714FF" w:rsidP="006714FF">
      <w:pPr>
        <w:pStyle w:val="TESupportingInformation"/>
      </w:pPr>
      <w:r>
        <w:rPr>
          <w:noProof/>
        </w:rPr>
        <w:lastRenderedPageBreak/>
        <w:drawing>
          <wp:inline distT="0" distB="0" distL="0" distR="0" wp14:anchorId="0E1A79C4" wp14:editId="28BE0E20">
            <wp:extent cx="1950720" cy="1463040"/>
            <wp:effectExtent l="0" t="0" r="0" b="0"/>
            <wp:docPr id="1332837541" name="Picture 1332837541" descr="A map of the temperature of the oce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1E30A4C3" wp14:editId="4B2D9D16">
            <wp:extent cx="1950720" cy="1463040"/>
            <wp:effectExtent l="0" t="0" r="0" b="0"/>
            <wp:docPr id="1335196776" name="Picture 1335196776"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4C27750A" w14:textId="77777777" w:rsidR="006714FF" w:rsidRDefault="006714FF" w:rsidP="006714FF">
      <w:pPr>
        <w:pStyle w:val="TESupportingInformation"/>
      </w:pPr>
      <w:r>
        <w:rPr>
          <w:noProof/>
        </w:rPr>
        <w:drawing>
          <wp:inline distT="0" distB="0" distL="0" distR="0" wp14:anchorId="2FF04370" wp14:editId="2F57EF7D">
            <wp:extent cx="1950720" cy="1463040"/>
            <wp:effectExtent l="0" t="0" r="0" b="0"/>
            <wp:docPr id="243603301" name="Picture 243603301" descr="A map of the state of tex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5B8B530B" wp14:editId="0AFDB586">
            <wp:extent cx="1950720" cy="1463040"/>
            <wp:effectExtent l="0" t="0" r="0" b="0"/>
            <wp:docPr id="2075012733" name="Picture 2075012733" descr="A screenshot of a graph showing the temperature of a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20C1D335" w14:textId="77777777" w:rsidR="006714FF" w:rsidRPr="00E91DFB" w:rsidRDefault="006714FF" w:rsidP="006714FF">
      <w:pPr>
        <w:pStyle w:val="VAFigureCaption"/>
        <w:rPr>
          <w:color w:val="000000" w:themeColor="text1"/>
        </w:rPr>
      </w:pPr>
      <w:r w:rsidRPr="00E91DFB">
        <w:rPr>
          <w:b/>
          <w:bCs/>
        </w:rPr>
        <w:t>Figure S</w:t>
      </w:r>
      <w:r>
        <w:rPr>
          <w:b/>
          <w:bCs/>
        </w:rPr>
        <w:t>19</w:t>
      </w:r>
      <w:r w:rsidRPr="00E91DFB">
        <w:rPr>
          <w:b/>
          <w:bCs/>
        </w:rPr>
        <w:t>.</w:t>
      </w:r>
      <w:r w:rsidRPr="57EE44F5">
        <w:t xml:space="preserve"> Application of CAMP correction to </w:t>
      </w:r>
      <w:proofErr w:type="spellStart"/>
      <w:r w:rsidRPr="57EE44F5">
        <w:t>CAMx</w:t>
      </w:r>
      <w:proofErr w:type="spellEnd"/>
      <w:r w:rsidRPr="57EE44F5">
        <w:t xml:space="preserve"> </w:t>
      </w:r>
      <w:r>
        <w:t>log-</w:t>
      </w:r>
      <w:r w:rsidRPr="57EE44F5">
        <w:t>styrene data on August 4</w:t>
      </w:r>
      <w:r w:rsidRPr="57EE44F5">
        <w:rPr>
          <w:vertAlign w:val="superscript"/>
        </w:rPr>
        <w:t>th</w:t>
      </w:r>
      <w:r w:rsidRPr="57EE44F5">
        <w:t xml:space="preserve">, 2012. Left column: global offsets across the Gulf States; right column: global offsets in Houston, Texas. Top row: uncorrected </w:t>
      </w:r>
      <w:proofErr w:type="spellStart"/>
      <w:r w:rsidRPr="57EE44F5">
        <w:t>CAMx</w:t>
      </w:r>
      <w:proofErr w:type="spellEnd"/>
      <w:r w:rsidRPr="57EE44F5">
        <w:t xml:space="preserve">; bottom row: CAMP-corrected </w:t>
      </w:r>
      <w:proofErr w:type="spellStart"/>
      <w:r w:rsidRPr="57EE44F5">
        <w:t>CAMx</w:t>
      </w:r>
      <w:proofErr w:type="spellEnd"/>
      <w:r w:rsidRPr="57EE44F5">
        <w:t>.</w:t>
      </w:r>
    </w:p>
    <w:p w14:paraId="46D0522C" w14:textId="77777777" w:rsidR="006714FF" w:rsidRPr="00E91DFB" w:rsidRDefault="006714FF" w:rsidP="006714FF">
      <w:pPr>
        <w:pStyle w:val="TESupportingInformation"/>
      </w:pPr>
      <w:r w:rsidRPr="00E91DFB">
        <w:t>Figure S</w:t>
      </w:r>
      <w:r>
        <w:t>20</w:t>
      </w:r>
      <w:r w:rsidRPr="00E91DFB">
        <w:t xml:space="preserve"> shows BME estimates obtained using global offsets and CAMP-corrected </w:t>
      </w:r>
      <w:proofErr w:type="spellStart"/>
      <w:r w:rsidRPr="00E91DFB">
        <w:t>CAMx</w:t>
      </w:r>
      <w:proofErr w:type="spellEnd"/>
      <w:r w:rsidRPr="00E91DFB">
        <w:t xml:space="preserve">. When using a flat global offset, BME estimates reflected CAMP-corrected </w:t>
      </w:r>
      <w:proofErr w:type="spellStart"/>
      <w:r w:rsidRPr="00E91DFB">
        <w:t>CAMx</w:t>
      </w:r>
      <w:proofErr w:type="spellEnd"/>
      <w:r w:rsidRPr="00E91DFB">
        <w:t xml:space="preserve"> values when close to the </w:t>
      </w:r>
      <w:proofErr w:type="spellStart"/>
      <w:r w:rsidRPr="00E91DFB">
        <w:t>CAMx</w:t>
      </w:r>
      <w:proofErr w:type="spellEnd"/>
      <w:r w:rsidRPr="00E91DFB">
        <w:t xml:space="preserve">-modeled domain but returned to the mean value away from </w:t>
      </w:r>
      <w:proofErr w:type="spellStart"/>
      <w:r w:rsidRPr="00E91DFB">
        <w:t>CAMx</w:t>
      </w:r>
      <w:proofErr w:type="spellEnd"/>
      <w:r w:rsidRPr="00E91DFB">
        <w:t xml:space="preserve"> (Figure S19). Conversely, BME estimates created using a S/T-KS global offset reflected CAMP-corrected </w:t>
      </w:r>
      <w:proofErr w:type="spellStart"/>
      <w:r w:rsidRPr="00E91DFB">
        <w:t>CAMx</w:t>
      </w:r>
      <w:proofErr w:type="spellEnd"/>
      <w:r w:rsidRPr="00E91DFB">
        <w:t xml:space="preserve"> when close to the </w:t>
      </w:r>
      <w:proofErr w:type="spellStart"/>
      <w:r w:rsidRPr="00E91DFB">
        <w:t>CAMx</w:t>
      </w:r>
      <w:proofErr w:type="spellEnd"/>
      <w:r w:rsidRPr="00E91DFB">
        <w:t>-modeled domain but were also informed by the regional observational trends identified using S/T-KS across the Gulf States (Figure S</w:t>
      </w:r>
      <w:r>
        <w:t>20</w:t>
      </w:r>
      <w:r w:rsidRPr="00E91DFB">
        <w:t xml:space="preserve">). </w:t>
      </w:r>
    </w:p>
    <w:p w14:paraId="40ED4B7C" w14:textId="77777777" w:rsidR="006714FF" w:rsidRPr="0034394B" w:rsidRDefault="006714FF" w:rsidP="006714FF">
      <w:pPr>
        <w:pStyle w:val="TESupportingInformation"/>
        <w:rPr>
          <w:color w:val="000000" w:themeColor="text1"/>
          <w:sz w:val="22"/>
          <w:szCs w:val="22"/>
        </w:rPr>
      </w:pPr>
    </w:p>
    <w:p w14:paraId="6A75A44B" w14:textId="77777777" w:rsidR="006714FF" w:rsidRDefault="006714FF" w:rsidP="006714FF">
      <w:pPr>
        <w:pStyle w:val="TESupportingInformation"/>
        <w:rPr>
          <w:color w:val="000000" w:themeColor="text1"/>
          <w:sz w:val="22"/>
          <w:szCs w:val="22"/>
        </w:rPr>
      </w:pPr>
    </w:p>
    <w:p w14:paraId="3E2CBFB1" w14:textId="77777777" w:rsidR="006714FF" w:rsidRDefault="006714FF" w:rsidP="006714FF">
      <w:pPr>
        <w:pStyle w:val="VAFigureCaption"/>
      </w:pPr>
    </w:p>
    <w:p w14:paraId="55C2B919" w14:textId="77777777" w:rsidR="006714FF" w:rsidRDefault="006714FF" w:rsidP="006714FF">
      <w:pPr>
        <w:pStyle w:val="VAFigureCaption"/>
      </w:pPr>
      <w:r>
        <w:rPr>
          <w:noProof/>
        </w:rPr>
        <w:lastRenderedPageBreak/>
        <w:drawing>
          <wp:inline distT="0" distB="0" distL="0" distR="0" wp14:anchorId="42299811" wp14:editId="50BB9B77">
            <wp:extent cx="1950720" cy="1463040"/>
            <wp:effectExtent l="0" t="0" r="0" b="0"/>
            <wp:docPr id="1283321437" name="Picture 1283321437"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48481586" wp14:editId="106E81BC">
            <wp:extent cx="1950720" cy="1463040"/>
            <wp:effectExtent l="0" t="0" r="0" b="0"/>
            <wp:docPr id="1352371610" name="Picture 1352371610" descr="A diagram of a heat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2A43DF15" w14:textId="77777777" w:rsidR="006714FF" w:rsidRDefault="006714FF" w:rsidP="006714FF">
      <w:pPr>
        <w:pStyle w:val="VAFigureCaption"/>
      </w:pPr>
      <w:r>
        <w:rPr>
          <w:noProof/>
        </w:rPr>
        <w:drawing>
          <wp:inline distT="0" distB="0" distL="0" distR="0" wp14:anchorId="7A73CAC8" wp14:editId="4737516B">
            <wp:extent cx="1950720" cy="1463040"/>
            <wp:effectExtent l="0" t="0" r="0" b="0"/>
            <wp:docPr id="1546309776" name="Picture 154630977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303B4BF7" wp14:editId="719B6D53">
            <wp:extent cx="1950720" cy="1463040"/>
            <wp:effectExtent l="0" t="0" r="0" b="0"/>
            <wp:docPr id="1354636310" name="Picture 1354636310" descr="A heat map of a temper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36310" name="Picture 1354636310" descr="A heat map of a temperature&#10;&#10;Description automatically generated with medium confidenc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08D1EACB" w14:textId="77777777" w:rsidR="006714FF" w:rsidRDefault="006714FF" w:rsidP="006714FF">
      <w:pPr>
        <w:pStyle w:val="VAFigureCaption"/>
      </w:pPr>
      <w:r w:rsidRPr="00E91DFB">
        <w:rPr>
          <w:b/>
          <w:bCs/>
        </w:rPr>
        <w:t>Figure S</w:t>
      </w:r>
      <w:r>
        <w:rPr>
          <w:b/>
          <w:bCs/>
        </w:rPr>
        <w:t>20</w:t>
      </w:r>
      <w:r w:rsidRPr="00E91DFB">
        <w:rPr>
          <w:b/>
          <w:bCs/>
        </w:rPr>
        <w:t>.</w:t>
      </w:r>
      <w:r w:rsidRPr="57EE44F5">
        <w:t xml:space="preserve"> BME </w:t>
      </w:r>
      <w:r>
        <w:t>log-</w:t>
      </w:r>
      <w:r w:rsidRPr="57EE44F5">
        <w:t xml:space="preserve">styrene estimates using global offsets and CAMP-corrected </w:t>
      </w:r>
      <w:proofErr w:type="spellStart"/>
      <w:r w:rsidRPr="57EE44F5">
        <w:t>CAMx</w:t>
      </w:r>
      <w:proofErr w:type="spellEnd"/>
      <w:r w:rsidRPr="57EE44F5">
        <w:t xml:space="preserve"> on August 4</w:t>
      </w:r>
      <w:r w:rsidRPr="57EE44F5">
        <w:rPr>
          <w:vertAlign w:val="superscript"/>
        </w:rPr>
        <w:t>th</w:t>
      </w:r>
      <w:r w:rsidRPr="57EE44F5">
        <w:t>, 2012. Left column: global offsets across the Gulf States; right column: global offsets in Houston, Texas. Top row: flat global offsets; bottom row: local S/T-KS global offsets.</w:t>
      </w:r>
    </w:p>
    <w:p w14:paraId="78293021" w14:textId="77777777" w:rsidR="006714FF" w:rsidRPr="00E91DFB" w:rsidRDefault="006714FF" w:rsidP="006714FF">
      <w:pPr>
        <w:pStyle w:val="TESupportingInformation"/>
      </w:pPr>
      <w:r w:rsidRPr="00E91DFB">
        <w:t xml:space="preserve">Finally, BME estimates of log-styrene were created using observational data, global offsets, and CAMP-corrected </w:t>
      </w:r>
      <w:proofErr w:type="spellStart"/>
      <w:r w:rsidRPr="00E91DFB">
        <w:t>CAMx</w:t>
      </w:r>
      <w:proofErr w:type="spellEnd"/>
      <w:r w:rsidRPr="00E91DFB">
        <w:t xml:space="preserve">. When a flat global offset was used, log-styrene estimates reflected observational data when close to a monitoring station, CAMP-corrected </w:t>
      </w:r>
      <w:proofErr w:type="spellStart"/>
      <w:r w:rsidRPr="00E91DFB">
        <w:t>CAMx</w:t>
      </w:r>
      <w:proofErr w:type="spellEnd"/>
      <w:r w:rsidRPr="00E91DFB">
        <w:t xml:space="preserve"> when near the </w:t>
      </w:r>
      <w:proofErr w:type="spellStart"/>
      <w:r w:rsidRPr="00E91DFB">
        <w:t>CAMx</w:t>
      </w:r>
      <w:proofErr w:type="spellEnd"/>
      <w:r w:rsidRPr="00E91DFB">
        <w:t xml:space="preserve">-modeled domain and away from a monitoring station, and the flat, mean trend value when far from </w:t>
      </w:r>
      <w:proofErr w:type="spellStart"/>
      <w:r w:rsidRPr="00E91DFB">
        <w:t>CAMx</w:t>
      </w:r>
      <w:proofErr w:type="spellEnd"/>
      <w:r w:rsidRPr="00E91DFB">
        <w:t xml:space="preserve"> and monitoring stations (Figure S2</w:t>
      </w:r>
      <w:r>
        <w:t>1</w:t>
      </w:r>
      <w:r w:rsidRPr="00E91DFB">
        <w:t xml:space="preserve">). Using the S/T-KS global offset, log-styrene estimates reflected observational data when close to a monitoring station, CAMP-corrected </w:t>
      </w:r>
      <w:proofErr w:type="spellStart"/>
      <w:r w:rsidRPr="00E91DFB">
        <w:t>CAMx</w:t>
      </w:r>
      <w:proofErr w:type="spellEnd"/>
      <w:r w:rsidRPr="00E91DFB">
        <w:t xml:space="preserve"> when near the </w:t>
      </w:r>
      <w:proofErr w:type="spellStart"/>
      <w:r w:rsidRPr="00E91DFB">
        <w:t>CAMx</w:t>
      </w:r>
      <w:proofErr w:type="spellEnd"/>
      <w:r w:rsidRPr="00E91DFB">
        <w:t>-modeled domain and away from a monitoring station, and regional trends in observational data across the domain from the global offset (Figure S2</w:t>
      </w:r>
      <w:r>
        <w:t>1</w:t>
      </w:r>
      <w:r w:rsidRPr="00E91DFB">
        <w:t>).</w:t>
      </w:r>
    </w:p>
    <w:p w14:paraId="5F285FA4" w14:textId="77777777" w:rsidR="006714FF" w:rsidRDefault="006714FF" w:rsidP="006714FF">
      <w:pPr>
        <w:pStyle w:val="TESupportingInformation"/>
        <w:ind w:firstLine="0"/>
        <w:rPr>
          <w:sz w:val="22"/>
          <w:szCs w:val="22"/>
        </w:rPr>
      </w:pPr>
    </w:p>
    <w:p w14:paraId="2AEA07F2" w14:textId="77777777" w:rsidR="006714FF" w:rsidRDefault="006714FF" w:rsidP="006714FF">
      <w:pPr>
        <w:pStyle w:val="TESupportingInformation"/>
        <w:rPr>
          <w:color w:val="000000" w:themeColor="text1"/>
        </w:rPr>
      </w:pPr>
      <w:r>
        <w:rPr>
          <w:noProof/>
        </w:rPr>
        <w:lastRenderedPageBreak/>
        <w:drawing>
          <wp:inline distT="0" distB="0" distL="0" distR="0" wp14:anchorId="7B48D23C" wp14:editId="33B65018">
            <wp:extent cx="1950720" cy="1463040"/>
            <wp:effectExtent l="0" t="0" r="0" b="0"/>
            <wp:docPr id="1245846904" name="Picture 124584690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742B6BC7" wp14:editId="72BE0A40">
            <wp:extent cx="1950720" cy="1463040"/>
            <wp:effectExtent l="0" t="0" r="0" b="0"/>
            <wp:docPr id="661363178" name="Picture 661363178" descr="A heat map of a temper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63178" name="Picture 661363178" descr="A heat map of a temperature&#10;&#10;Description automatically generated with medium confidenc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6F3FA1EF" w14:textId="77777777" w:rsidR="006714FF" w:rsidRDefault="006714FF" w:rsidP="006714FF">
      <w:pPr>
        <w:pStyle w:val="VAFigureCaption"/>
        <w:rPr>
          <w:color w:val="000000" w:themeColor="text1"/>
        </w:rPr>
      </w:pPr>
      <w:r>
        <w:rPr>
          <w:noProof/>
        </w:rPr>
        <w:drawing>
          <wp:inline distT="0" distB="0" distL="0" distR="0" wp14:anchorId="6B74E389" wp14:editId="7E4A027D">
            <wp:extent cx="1950720" cy="1463040"/>
            <wp:effectExtent l="0" t="0" r="0" b="0"/>
            <wp:docPr id="1074893734" name="Picture 107489373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784E8233" wp14:editId="7F9C3840">
            <wp:extent cx="1950720" cy="1463040"/>
            <wp:effectExtent l="0" t="0" r="0" b="0"/>
            <wp:docPr id="1709280969" name="Picture 1709280969" descr="A close-up of a map of the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80969" name="Picture 1709280969" descr="A close-up of a map of the temperature&#10;&#10;Description automatically generated"/>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7734318D" w14:textId="77777777" w:rsidR="006714FF" w:rsidRDefault="006714FF" w:rsidP="006714FF">
      <w:pPr>
        <w:pStyle w:val="VAFigureCaption"/>
        <w:rPr>
          <w:color w:val="000000" w:themeColor="text1"/>
        </w:rPr>
      </w:pPr>
      <w:r w:rsidRPr="00E91DFB">
        <w:rPr>
          <w:b/>
          <w:bCs/>
        </w:rPr>
        <w:t>Figure S2</w:t>
      </w:r>
      <w:r>
        <w:rPr>
          <w:b/>
          <w:bCs/>
        </w:rPr>
        <w:t>1</w:t>
      </w:r>
      <w:r w:rsidRPr="00E91DFB">
        <w:rPr>
          <w:b/>
          <w:bCs/>
        </w:rPr>
        <w:t>.</w:t>
      </w:r>
      <w:r w:rsidRPr="57EE44F5">
        <w:t xml:space="preserve"> BME </w:t>
      </w:r>
      <w:r>
        <w:t>log-</w:t>
      </w:r>
      <w:r w:rsidRPr="57EE44F5">
        <w:t xml:space="preserve">styrene estimates using global offsets, CAMP-corrected </w:t>
      </w:r>
      <w:proofErr w:type="spellStart"/>
      <w:r w:rsidRPr="57EE44F5">
        <w:t>CAMx</w:t>
      </w:r>
      <w:proofErr w:type="spellEnd"/>
      <w:r w:rsidRPr="57EE44F5">
        <w:t>, and observational data on August 4</w:t>
      </w:r>
      <w:r w:rsidRPr="57EE44F5">
        <w:rPr>
          <w:vertAlign w:val="superscript"/>
        </w:rPr>
        <w:t>th</w:t>
      </w:r>
      <w:r w:rsidRPr="57EE44F5">
        <w:t xml:space="preserve">, 2012. Color-filled circles represent </w:t>
      </w:r>
      <w:r>
        <w:t>log-</w:t>
      </w:r>
      <w:r w:rsidRPr="57EE44F5">
        <w:t>styrene measurements on August 4</w:t>
      </w:r>
      <w:r w:rsidRPr="57EE44F5">
        <w:rPr>
          <w:vertAlign w:val="superscript"/>
        </w:rPr>
        <w:t>th</w:t>
      </w:r>
      <w:r w:rsidRPr="57EE44F5">
        <w:t>, 2012. Left column: global offsets across the Gulf States; right column: global offsets in Houston, Texas. Top row: flat global offsets; bottom row: local S/T-KS global offsets.</w:t>
      </w:r>
    </w:p>
    <w:p w14:paraId="285DE56F" w14:textId="77777777" w:rsidR="006714FF" w:rsidRPr="00E91DFB" w:rsidRDefault="006714FF" w:rsidP="006714FF">
      <w:pPr>
        <w:pStyle w:val="TESupportingInformation"/>
      </w:pPr>
      <w:r w:rsidRPr="00E91DFB">
        <w:t xml:space="preserve">Comparing BME estimates using S/T-KS and either CAMP-corrected </w:t>
      </w:r>
      <w:proofErr w:type="spellStart"/>
      <w:r w:rsidRPr="00E91DFB">
        <w:t>CAMx</w:t>
      </w:r>
      <w:proofErr w:type="spellEnd"/>
      <w:r w:rsidRPr="00E91DFB">
        <w:t xml:space="preserve"> or observational data revealed how different information sources were blended in Houston, Texas. Figure S2</w:t>
      </w:r>
      <w:r>
        <w:t>2</w:t>
      </w:r>
      <w:r w:rsidRPr="00E91DFB">
        <w:t xml:space="preserve"> shows that the CAMP-corrected </w:t>
      </w:r>
      <w:proofErr w:type="spellStart"/>
      <w:r w:rsidRPr="00E91DFB">
        <w:t>CAMx</w:t>
      </w:r>
      <w:proofErr w:type="spellEnd"/>
      <w:r w:rsidRPr="00E91DFB">
        <w:t xml:space="preserve"> predicted a plume of high log-styrene concentrations in Western Houston on August 4th, 2012. Observational measurements of log-styrene concentrations revealed generally higher styrene values in Western Houston, lower measured values about 0.2 degrees longitude west of the Houston Ship Channel, and very low measured values east of the Houston Ship Channel (Figure S2</w:t>
      </w:r>
      <w:r>
        <w:t>2</w:t>
      </w:r>
      <w:r w:rsidRPr="00E91DFB">
        <w:t xml:space="preserve">). BME data fusion of CAMP-corrected </w:t>
      </w:r>
      <w:proofErr w:type="spellStart"/>
      <w:r w:rsidRPr="00E91DFB">
        <w:t>CAMx</w:t>
      </w:r>
      <w:proofErr w:type="spellEnd"/>
      <w:r w:rsidRPr="00E91DFB">
        <w:t xml:space="preserve"> and observation data using a S/T-KS global offset, allowed for knowledge blending and log-styrene estimates that </w:t>
      </w:r>
      <w:r w:rsidRPr="00E91DFB">
        <w:lastRenderedPageBreak/>
        <w:t xml:space="preserve">revealed the CAMP-corrected </w:t>
      </w:r>
      <w:proofErr w:type="spellStart"/>
      <w:r w:rsidRPr="00E91DFB">
        <w:t>CAMx</w:t>
      </w:r>
      <w:proofErr w:type="spellEnd"/>
      <w:r w:rsidRPr="00E91DFB">
        <w:t>-estimated plume in Western Houston, while simultaneously incorporating local observational data (Figure S2</w:t>
      </w:r>
      <w:r>
        <w:t>2</w:t>
      </w:r>
      <w:r w:rsidRPr="00E91DFB">
        <w:t>).</w:t>
      </w:r>
    </w:p>
    <w:p w14:paraId="3537ACDD" w14:textId="77777777" w:rsidR="006714FF" w:rsidRDefault="006714FF" w:rsidP="006714FF">
      <w:pPr>
        <w:pStyle w:val="TESupportingInformation"/>
        <w:ind w:firstLine="0"/>
        <w:jc w:val="left"/>
        <w:rPr>
          <w:color w:val="000000" w:themeColor="text1"/>
        </w:rPr>
      </w:pPr>
      <w:r>
        <w:rPr>
          <w:noProof/>
        </w:rPr>
        <w:drawing>
          <wp:inline distT="0" distB="0" distL="0" distR="0" wp14:anchorId="679F2BB8" wp14:editId="605D1B91">
            <wp:extent cx="1967113" cy="1463040"/>
            <wp:effectExtent l="0" t="0" r="0" b="0"/>
            <wp:docPr id="899111240" name="Picture 899111240" descr="A diagram of a heat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Pr>
          <w:noProof/>
        </w:rPr>
        <w:drawing>
          <wp:inline distT="0" distB="0" distL="0" distR="0" wp14:anchorId="6EF76ED4" wp14:editId="25639D19">
            <wp:extent cx="1967113" cy="1463040"/>
            <wp:effectExtent l="0" t="0" r="0" b="0"/>
            <wp:docPr id="1430615763" name="Picture 1430615763"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Pr>
          <w:noProof/>
        </w:rPr>
        <w:drawing>
          <wp:inline distT="0" distB="0" distL="0" distR="0" wp14:anchorId="798E9914" wp14:editId="2726EAF5">
            <wp:extent cx="1950720" cy="1463040"/>
            <wp:effectExtent l="0" t="0" r="0" b="0"/>
            <wp:docPr id="2128134447" name="Picture 2128134447" descr="A close-up of a map of the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4447" name="Picture 2128134447" descr="A close-up of a map of the temperature&#10;&#10;Description automatically generated"/>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33EF7673" w14:textId="77777777" w:rsidR="006714FF" w:rsidRPr="00E91DFB" w:rsidRDefault="006714FF" w:rsidP="006714FF">
      <w:pPr>
        <w:pStyle w:val="VAFigureCaption"/>
        <w:rPr>
          <w:color w:val="000000" w:themeColor="text1"/>
        </w:rPr>
      </w:pPr>
      <w:r w:rsidRPr="00E91DFB">
        <w:rPr>
          <w:b/>
          <w:bCs/>
        </w:rPr>
        <w:t>Figure S2</w:t>
      </w:r>
      <w:r>
        <w:rPr>
          <w:b/>
          <w:bCs/>
        </w:rPr>
        <w:t>2</w:t>
      </w:r>
      <w:r w:rsidRPr="00E91DFB">
        <w:rPr>
          <w:b/>
          <w:bCs/>
        </w:rPr>
        <w:t>.</w:t>
      </w:r>
      <w:r w:rsidRPr="57EE44F5">
        <w:t xml:space="preserve"> BME </w:t>
      </w:r>
      <w:r>
        <w:t>log-</w:t>
      </w:r>
      <w:r w:rsidRPr="57EE44F5">
        <w:t>styrene estimates using a S/T-KS global offset on August 4</w:t>
      </w:r>
      <w:r w:rsidRPr="57EE44F5">
        <w:rPr>
          <w:vertAlign w:val="superscript"/>
        </w:rPr>
        <w:t>th</w:t>
      </w:r>
      <w:r w:rsidRPr="57EE44F5">
        <w:t xml:space="preserve">, 2012. Color-filled circles represent </w:t>
      </w:r>
      <w:r>
        <w:t>log-</w:t>
      </w:r>
      <w:r w:rsidRPr="57EE44F5">
        <w:t>styrene measurements on August 4</w:t>
      </w:r>
      <w:r w:rsidRPr="57EE44F5">
        <w:rPr>
          <w:vertAlign w:val="superscript"/>
        </w:rPr>
        <w:t>th</w:t>
      </w:r>
      <w:r w:rsidRPr="57EE44F5">
        <w:t xml:space="preserve">, 2012. Left panel: BME data fusion estimates using CAMP-corrected </w:t>
      </w:r>
      <w:proofErr w:type="spellStart"/>
      <w:r w:rsidRPr="57EE44F5">
        <w:t>CAMx</w:t>
      </w:r>
      <w:proofErr w:type="spellEnd"/>
      <w:r w:rsidRPr="57EE44F5">
        <w:t xml:space="preserve"> only; center panel: BME data fusion estimates using observational data only; right panel: BME data fusion estimates using CAMP-corrected </w:t>
      </w:r>
      <w:proofErr w:type="spellStart"/>
      <w:r w:rsidRPr="57EE44F5">
        <w:t>CAMx</w:t>
      </w:r>
      <w:proofErr w:type="spellEnd"/>
      <w:r w:rsidRPr="57EE44F5">
        <w:t xml:space="preserve"> and observational data.</w:t>
      </w:r>
    </w:p>
    <w:p w14:paraId="049FDD4B" w14:textId="77777777" w:rsidR="006714FF" w:rsidRPr="00E91DFB" w:rsidRDefault="006714FF" w:rsidP="006714FF">
      <w:pPr>
        <w:pStyle w:val="TESupportingInformation"/>
      </w:pPr>
      <w:r w:rsidRPr="00E91DFB">
        <w:t xml:space="preserve">Finally, a comparison of uncorrected </w:t>
      </w:r>
      <w:proofErr w:type="spellStart"/>
      <w:r w:rsidRPr="00E91DFB">
        <w:t>CAMx</w:t>
      </w:r>
      <w:proofErr w:type="spellEnd"/>
      <w:r w:rsidRPr="00E91DFB">
        <w:t xml:space="preserve"> and BME data fusion estimates created using a S/T-KS global offset, observational data, and CAMP-corrected </w:t>
      </w:r>
      <w:proofErr w:type="spellStart"/>
      <w:r w:rsidRPr="00E91DFB">
        <w:t>CAMx</w:t>
      </w:r>
      <w:proofErr w:type="spellEnd"/>
      <w:r w:rsidRPr="00E91DFB">
        <w:t xml:space="preserve"> (BME) allowed for the identification of BME contributions to log-styrene estimation. For example, the negative difference between uncorrected </w:t>
      </w:r>
      <w:proofErr w:type="spellStart"/>
      <w:r w:rsidRPr="00E91DFB">
        <w:t>CAMx</w:t>
      </w:r>
      <w:proofErr w:type="spellEnd"/>
      <w:r w:rsidRPr="00E91DFB">
        <w:t xml:space="preserve"> and BME estimates in Eastern Houston is reflective of the CAMP-correction of </w:t>
      </w:r>
      <w:proofErr w:type="spellStart"/>
      <w:r w:rsidRPr="00E91DFB">
        <w:t>CAMx</w:t>
      </w:r>
      <w:proofErr w:type="spellEnd"/>
      <w:r w:rsidRPr="00E91DFB">
        <w:t xml:space="preserve"> that attenuated the underestimation on log-styrene when </w:t>
      </w:r>
      <w:proofErr w:type="spellStart"/>
      <w:r w:rsidRPr="00E91DFB">
        <w:t>CAMx</w:t>
      </w:r>
      <w:proofErr w:type="spellEnd"/>
      <w:r w:rsidRPr="00E91DFB">
        <w:t xml:space="preserve"> predicted low (Figure S2</w:t>
      </w:r>
      <w:r>
        <w:t>3</w:t>
      </w:r>
      <w:r w:rsidRPr="00E91DFB">
        <w:t>). When close to monitoring stations, positive or negative, localized differences were the result of the inclusion of observational data (Figure S2</w:t>
      </w:r>
      <w:r>
        <w:t>3</w:t>
      </w:r>
      <w:r w:rsidRPr="00E91DFB">
        <w:t xml:space="preserve">). Finally, slight positive differences between </w:t>
      </w:r>
      <w:proofErr w:type="spellStart"/>
      <w:r w:rsidRPr="00E91DFB">
        <w:t>CAMx</w:t>
      </w:r>
      <w:proofErr w:type="spellEnd"/>
      <w:r w:rsidRPr="00E91DFB">
        <w:t xml:space="preserve"> and BME estimates were revealed north of the Houston coastline, which may be the result of regional </w:t>
      </w:r>
      <w:proofErr w:type="spellStart"/>
      <w:r w:rsidRPr="00E91DFB">
        <w:t>CAMx</w:t>
      </w:r>
      <w:proofErr w:type="spellEnd"/>
      <w:r w:rsidRPr="00E91DFB">
        <w:t xml:space="preserve"> attenuation from the CAMP correction and/or domain-wide information provided by S/T-KS (Figure S2</w:t>
      </w:r>
      <w:r>
        <w:t>3</w:t>
      </w:r>
      <w:r w:rsidRPr="00E91DFB">
        <w:t>).</w:t>
      </w:r>
    </w:p>
    <w:p w14:paraId="03F92C9D" w14:textId="77777777" w:rsidR="006714FF" w:rsidRDefault="006714FF" w:rsidP="006714FF">
      <w:pPr>
        <w:pStyle w:val="TESupportingInformation"/>
        <w:ind w:firstLine="0"/>
        <w:rPr>
          <w:rFonts w:ascii="Aptos" w:eastAsia="Aptos" w:hAnsi="Aptos" w:cs="Aptos"/>
        </w:rPr>
      </w:pPr>
      <w:r>
        <w:rPr>
          <w:noProof/>
        </w:rPr>
        <w:lastRenderedPageBreak/>
        <w:drawing>
          <wp:inline distT="0" distB="0" distL="0" distR="0" wp14:anchorId="2AFC1C13" wp14:editId="24CDCD5C">
            <wp:extent cx="1950720" cy="1463040"/>
            <wp:effectExtent l="0" t="0" r="0" b="0"/>
            <wp:docPr id="556776129" name="Picture 556776129"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064C0EB4" wp14:editId="1B108EA6">
            <wp:extent cx="1950720" cy="1463040"/>
            <wp:effectExtent l="0" t="0" r="0" b="0"/>
            <wp:docPr id="1444095582" name="Picture 1444095582" descr="A close-up of a map of the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095582" name="Picture 1444095582" descr="A close-up of a map of the temperature&#10;&#10;Description automatically generated"/>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Pr>
          <w:noProof/>
        </w:rPr>
        <w:drawing>
          <wp:inline distT="0" distB="0" distL="0" distR="0" wp14:anchorId="65A85644" wp14:editId="653D4162">
            <wp:extent cx="1950720" cy="1463040"/>
            <wp:effectExtent l="0" t="0" r="0" b="0"/>
            <wp:docPr id="99426717" name="Picture 99426717"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6717" name="Picture 99426717" descr="A close-up of a map&#10;&#10;Description automatically generated"/>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09313684" w14:textId="77777777" w:rsidR="006714FF" w:rsidRDefault="006714FF" w:rsidP="006714FF">
      <w:pPr>
        <w:pStyle w:val="TAMainText"/>
        <w:jc w:val="left"/>
      </w:pPr>
      <w:r w:rsidRPr="00E91DFB">
        <w:rPr>
          <w:b/>
          <w:bCs/>
        </w:rPr>
        <w:t>Figure S2</w:t>
      </w:r>
      <w:r>
        <w:rPr>
          <w:b/>
          <w:bCs/>
        </w:rPr>
        <w:t>3</w:t>
      </w:r>
      <w:r w:rsidRPr="00E91DFB">
        <w:rPr>
          <w:b/>
          <w:bCs/>
        </w:rPr>
        <w:t>.</w:t>
      </w:r>
      <w:r w:rsidRPr="00E91DFB">
        <w:t xml:space="preserve"> BME log-styrene estimates and method differences on August 4th, 2012. Color-filled circles represent log-styrene measurements on August 4th, 2012. Black dots represent log-styrene monitoring locations with measurements on August 4th, 2012. Left panel: uncorrected </w:t>
      </w:r>
      <w:proofErr w:type="spellStart"/>
      <w:r w:rsidRPr="00E91DFB">
        <w:t>CAMx</w:t>
      </w:r>
      <w:proofErr w:type="spellEnd"/>
      <w:r w:rsidRPr="00E91DFB">
        <w:t xml:space="preserve"> log-styrene estimates; center panel: BME data fusion estimates using CAMP-corrected </w:t>
      </w:r>
      <w:proofErr w:type="spellStart"/>
      <w:r w:rsidRPr="00E91DFB">
        <w:t>CAMx</w:t>
      </w:r>
      <w:proofErr w:type="spellEnd"/>
      <w:r w:rsidRPr="00E91DFB">
        <w:t xml:space="preserve"> and observational data; right panel: differences between uncorrected </w:t>
      </w:r>
      <w:proofErr w:type="spellStart"/>
      <w:r w:rsidRPr="00E91DFB">
        <w:t>CAMx</w:t>
      </w:r>
      <w:proofErr w:type="spellEnd"/>
      <w:r w:rsidRPr="00E91DFB">
        <w:t xml:space="preserve"> and BME data fusion log-styrene estimates.</w:t>
      </w:r>
    </w:p>
    <w:p w14:paraId="40051143" w14:textId="77777777" w:rsidR="006714FF" w:rsidRPr="002A50D1" w:rsidRDefault="006714FF" w:rsidP="006714FF">
      <w:pPr>
        <w:pStyle w:val="TESupportingInformation"/>
        <w:rPr>
          <w:b/>
          <w:bCs/>
        </w:rPr>
      </w:pPr>
      <w:r w:rsidRPr="002A50D1">
        <w:rPr>
          <w:b/>
          <w:bCs/>
        </w:rPr>
        <w:t xml:space="preserve">S8. BME Model Validation </w:t>
      </w:r>
    </w:p>
    <w:p w14:paraId="1D7410BB" w14:textId="77777777" w:rsidR="006714FF" w:rsidRPr="002A50D1" w:rsidRDefault="006714FF" w:rsidP="006714FF">
      <w:pPr>
        <w:pStyle w:val="TESupportingInformation"/>
      </w:pPr>
      <w:r w:rsidRPr="002A50D1">
        <w:t>Three scenarios are shown in Figure S2</w:t>
      </w:r>
      <w:r>
        <w:t>4</w:t>
      </w:r>
      <w:r w:rsidRPr="002A50D1">
        <w:t xml:space="preserve">. In each scenario, the </w:t>
      </w:r>
      <w:proofErr w:type="spellStart"/>
      <w:r w:rsidRPr="002A50D1">
        <w:t>CAMx</w:t>
      </w:r>
      <w:proofErr w:type="spellEnd"/>
      <w:r w:rsidRPr="002A50D1">
        <w:t xml:space="preserve"> R-value is constant, but depicts a different situation, with low, intermediate, and high </w:t>
      </w:r>
      <w:proofErr w:type="spellStart"/>
      <w:r w:rsidRPr="002A50D1">
        <w:t>CAMx</w:t>
      </w:r>
      <w:proofErr w:type="spellEnd"/>
      <w:r w:rsidRPr="002A50D1">
        <w:t xml:space="preserve"> performance shown on the left, center, and right panels, respectively, of Figure S2</w:t>
      </w:r>
      <w:r>
        <w:t>4</w:t>
      </w:r>
      <w:r w:rsidRPr="002A50D1">
        <w:t xml:space="preserve">, as indicated by the red dashed lines. Finally, the BME data fusion method is depicted, via the solid yellow lines, as having, for each radius, the highest performance between observation-only and </w:t>
      </w:r>
      <w:proofErr w:type="spellStart"/>
      <w:r w:rsidRPr="002A50D1">
        <w:t>CAMx</w:t>
      </w:r>
      <w:proofErr w:type="spellEnd"/>
      <w:r w:rsidRPr="002A50D1">
        <w:t>-only predictions, with implications for methodology selection described in Figure S2</w:t>
      </w:r>
      <w:r>
        <w:t>4</w:t>
      </w:r>
      <w:r w:rsidRPr="002A50D1">
        <w:t>.</w:t>
      </w:r>
    </w:p>
    <w:p w14:paraId="08B2A42A" w14:textId="642B0374" w:rsidR="006714FF" w:rsidRPr="00BC5AD1" w:rsidRDefault="006714FF" w:rsidP="006714FF">
      <w:pPr>
        <w:pStyle w:val="TESupportingInformation"/>
      </w:pPr>
      <w:r w:rsidRPr="00BC5AD1">
        <w:rPr>
          <w:noProof/>
        </w:rPr>
        <w:lastRenderedPageBreak/>
        <w:drawing>
          <wp:inline distT="0" distB="0" distL="0" distR="0" wp14:anchorId="25FE109C" wp14:editId="1ED004F8">
            <wp:extent cx="5950106" cy="2689942"/>
            <wp:effectExtent l="0" t="0" r="0" b="0"/>
            <wp:docPr id="2071543624" name="Picture 2071543624" descr="A diagram of a perform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63164" name="Picture 988163164" descr="A diagram of a performance&#10;&#10;Description automatically generated with medium confidence"/>
                    <pic:cNvPicPr/>
                  </pic:nvPicPr>
                  <pic:blipFill>
                    <a:blip r:embed="rId124">
                      <a:extLst>
                        <a:ext uri="{28A0092B-C50C-407E-A947-70E740481C1C}">
                          <a14:useLocalDpi xmlns:a14="http://schemas.microsoft.com/office/drawing/2010/main" val="0"/>
                        </a:ext>
                      </a:extLst>
                    </a:blip>
                    <a:stretch>
                      <a:fillRect/>
                    </a:stretch>
                  </pic:blipFill>
                  <pic:spPr>
                    <a:xfrm>
                      <a:off x="0" y="0"/>
                      <a:ext cx="5950106" cy="2689942"/>
                    </a:xfrm>
                    <a:prstGeom prst="rect">
                      <a:avLst/>
                    </a:prstGeom>
                  </pic:spPr>
                </pic:pic>
              </a:graphicData>
            </a:graphic>
          </wp:inline>
        </w:drawing>
      </w:r>
      <w:r w:rsidRPr="00BC5AD1">
        <w:rPr>
          <w:b/>
          <w:bCs/>
        </w:rPr>
        <w:t>Figure S</w:t>
      </w:r>
      <w:r>
        <w:rPr>
          <w:b/>
          <w:bCs/>
        </w:rPr>
        <w:t>24</w:t>
      </w:r>
      <w:r w:rsidRPr="00BC5AD1">
        <w:rPr>
          <w:b/>
          <w:bCs/>
        </w:rPr>
        <w:t>.</w:t>
      </w:r>
      <w:r w:rsidRPr="00BC5AD1">
        <w:t xml:space="preserve"> Example Radius Cross Validation (RCV) plots for low, intermediate, and high </w:t>
      </w:r>
      <w:proofErr w:type="spellStart"/>
      <w:r w:rsidRPr="00BC5AD1">
        <w:t>CAMx</w:t>
      </w:r>
      <w:proofErr w:type="spellEnd"/>
      <w:r w:rsidRPr="00BC5AD1">
        <w:t xml:space="preserve"> performance, where data fusion aligns closely with the highest performing method at a given cross-validation radius (X-axis). Left panel: </w:t>
      </w:r>
      <w:proofErr w:type="spellStart"/>
      <w:r w:rsidRPr="00BC5AD1">
        <w:t>CAMx</w:t>
      </w:r>
      <w:proofErr w:type="spellEnd"/>
      <w:r w:rsidRPr="00BC5AD1">
        <w:t xml:space="preserve"> performance is poor (</w:t>
      </w:r>
      <w:r w:rsidRPr="00BC5AD1">
        <w:rPr>
          <w:i/>
          <w:iCs/>
        </w:rPr>
        <w:t>i.e.</w:t>
      </w:r>
      <w:r w:rsidRPr="00BC5AD1">
        <w:t xml:space="preserve">, never better than observation interpolation), and observation interpolation is selected to estimate SBTEX. Center panel: </w:t>
      </w:r>
      <w:proofErr w:type="spellStart"/>
      <w:r w:rsidRPr="00BC5AD1">
        <w:t>CAMx</w:t>
      </w:r>
      <w:proofErr w:type="spellEnd"/>
      <w:r w:rsidRPr="00BC5AD1">
        <w:t xml:space="preserve"> performance is intermediate (</w:t>
      </w:r>
      <w:r w:rsidRPr="00BC5AD1">
        <w:rPr>
          <w:i/>
          <w:iCs/>
        </w:rPr>
        <w:t>i.e.</w:t>
      </w:r>
      <w:r w:rsidRPr="00BC5AD1">
        <w:t xml:space="preserve">, sometimes better than observation interpolation), so data fusion is selected to estimate SBTEX. Right panel: </w:t>
      </w:r>
      <w:proofErr w:type="spellStart"/>
      <w:r w:rsidRPr="00BC5AD1">
        <w:t>CAMx</w:t>
      </w:r>
      <w:proofErr w:type="spellEnd"/>
      <w:r w:rsidRPr="00BC5AD1">
        <w:t xml:space="preserve"> performance is good (</w:t>
      </w:r>
      <w:r w:rsidRPr="00BC5AD1">
        <w:rPr>
          <w:i/>
          <w:iCs/>
        </w:rPr>
        <w:t>i.e.</w:t>
      </w:r>
      <w:r w:rsidRPr="00BC5AD1">
        <w:t xml:space="preserve">, always better than observation interpolation), so </w:t>
      </w:r>
      <w:proofErr w:type="spellStart"/>
      <w:r w:rsidRPr="00BC5AD1">
        <w:t>CAMx</w:t>
      </w:r>
      <w:proofErr w:type="spellEnd"/>
      <w:r w:rsidRPr="00BC5AD1">
        <w:t xml:space="preserve"> </w:t>
      </w:r>
      <w:r w:rsidR="00BA0462" w:rsidRPr="00BC5AD1">
        <w:t>is only</w:t>
      </w:r>
      <w:r w:rsidRPr="00BC5AD1">
        <w:t xml:space="preserve"> selected to estimate SBTEX.</w:t>
      </w:r>
    </w:p>
    <w:p w14:paraId="485084A6" w14:textId="61307093" w:rsidR="006714FF" w:rsidRDefault="006714FF" w:rsidP="006714FF">
      <w:pPr>
        <w:pStyle w:val="TESupportingInformation"/>
      </w:pPr>
      <w:r>
        <w:t xml:space="preserve">We evaluated SBTEX estimation methods using Pearson and Spearman R values as a cross-validation metric. The root </w:t>
      </w:r>
      <w:proofErr w:type="gramStart"/>
      <w:r>
        <w:t>mean</w:t>
      </w:r>
      <w:proofErr w:type="gramEnd"/>
      <w:r>
        <w:t xml:space="preserve"> square error </w:t>
      </w:r>
      <w:proofErr w:type="gramStart"/>
      <w:r>
        <w:t>or mean</w:t>
      </w:r>
      <w:proofErr w:type="gramEnd"/>
      <w:r>
        <w:t xml:space="preserve"> absolute percentage error would be useful metrics to measure model error, but they were not used in this work. The decision to use R-values rather than error-based metrics was based on the goal of making this work interpretable to broad audiences, especially those in epidemiology, </w:t>
      </w:r>
      <w:r w:rsidR="00BA0462">
        <w:t>which</w:t>
      </w:r>
      <w:r>
        <w:t xml:space="preserve"> are not typically well-versed in air quality model error or significance.</w:t>
      </w:r>
    </w:p>
    <w:p w14:paraId="53FDA048" w14:textId="77777777" w:rsidR="006714FF" w:rsidRDefault="006714FF" w:rsidP="006714FF">
      <w:pPr>
        <w:pStyle w:val="TESupportingInformation"/>
      </w:pPr>
      <w:r>
        <w:t>RCV was used to</w:t>
      </w:r>
      <w:r w:rsidRPr="002A50D1">
        <w:t xml:space="preserve"> compare the performance of observational data interpolation</w:t>
      </w:r>
      <w:r w:rsidRPr="002A50D1" w:rsidDel="00021DB1">
        <w:t xml:space="preserve"> </w:t>
      </w:r>
      <w:r w:rsidRPr="002A50D1">
        <w:t xml:space="preserve">using a 1) flat (least computationally intense), 2) medium-resolution (moderately intense), and 3) fine-resolution </w:t>
      </w:r>
      <w:r w:rsidRPr="002A50D1">
        <w:lastRenderedPageBreak/>
        <w:t xml:space="preserve">(moderately intense) global offset. </w:t>
      </w:r>
      <w:r>
        <w:t xml:space="preserve">Method intensity was based on whether observational data pre-processing, global offset processing, and </w:t>
      </w:r>
      <w:proofErr w:type="spellStart"/>
      <w:r>
        <w:t>CAMx</w:t>
      </w:r>
      <w:proofErr w:type="spellEnd"/>
      <w:r>
        <w:t xml:space="preserve"> modeling were required for the method, the amount of time required to create a spatial estimate on a single day, and the amount of time required to complete an RCV curve. </w:t>
      </w:r>
      <w:r w:rsidRPr="00AC3F0E">
        <w:t xml:space="preserve">Table </w:t>
      </w:r>
      <w:r>
        <w:t xml:space="preserve">S12 summarizes the characteristics of each method intensity level. These method characteristics are crucially important to consider because others looking to implement this methodology may not have the time or resources to apply these methods. </w:t>
      </w:r>
    </w:p>
    <w:p w14:paraId="43FACB0A" w14:textId="77777777" w:rsidR="006714FF" w:rsidRPr="00A90A75" w:rsidRDefault="006714FF" w:rsidP="006714FF">
      <w:pPr>
        <w:pStyle w:val="VDTableTitle"/>
      </w:pPr>
      <w:r w:rsidRPr="00B92463">
        <w:rPr>
          <w:b/>
          <w:bCs/>
        </w:rPr>
        <w:t>Table S12.</w:t>
      </w:r>
      <w:r>
        <w:t xml:space="preserve"> Comparison of method intensity levels evaluated for SBTEX estimation using BME data fusion with global offsets.</w:t>
      </w:r>
    </w:p>
    <w:tbl>
      <w:tblPr>
        <w:tblStyle w:val="TableGrid"/>
        <w:tblW w:w="0" w:type="auto"/>
        <w:tblLook w:val="04A0" w:firstRow="1" w:lastRow="0" w:firstColumn="1" w:lastColumn="0" w:noHBand="0" w:noVBand="1"/>
      </w:tblPr>
      <w:tblGrid>
        <w:gridCol w:w="1059"/>
        <w:gridCol w:w="1514"/>
        <w:gridCol w:w="1490"/>
        <w:gridCol w:w="1078"/>
        <w:gridCol w:w="1245"/>
        <w:gridCol w:w="1436"/>
        <w:gridCol w:w="1528"/>
      </w:tblGrid>
      <w:tr w:rsidR="006714FF" w:rsidRPr="00CB0B44" w14:paraId="363F7119" w14:textId="77777777" w:rsidTr="00B77C41">
        <w:tc>
          <w:tcPr>
            <w:tcW w:w="985" w:type="dxa"/>
            <w:vMerge w:val="restart"/>
            <w:vAlign w:val="bottom"/>
          </w:tcPr>
          <w:p w14:paraId="074C1328" w14:textId="77777777" w:rsidR="006714FF" w:rsidRPr="00B77C41" w:rsidRDefault="006714FF" w:rsidP="00B77C41">
            <w:pPr>
              <w:pStyle w:val="TCTableBody"/>
              <w:jc w:val="center"/>
              <w:rPr>
                <w:rFonts w:ascii="Times New Roman" w:hAnsi="Times New Roman"/>
                <w:sz w:val="22"/>
                <w:szCs w:val="22"/>
              </w:rPr>
            </w:pPr>
            <w:r w:rsidRPr="00B77C41">
              <w:rPr>
                <w:rFonts w:ascii="Times New Roman" w:hAnsi="Times New Roman"/>
                <w:sz w:val="22"/>
                <w:szCs w:val="22"/>
              </w:rPr>
              <w:t>Method Intensity</w:t>
            </w:r>
          </w:p>
        </w:tc>
        <w:tc>
          <w:tcPr>
            <w:tcW w:w="1536" w:type="dxa"/>
            <w:vMerge w:val="restart"/>
            <w:vAlign w:val="bottom"/>
          </w:tcPr>
          <w:p w14:paraId="0C8794D1" w14:textId="77777777" w:rsidR="006714FF" w:rsidRPr="00B77C41" w:rsidRDefault="006714FF" w:rsidP="00B77C41">
            <w:pPr>
              <w:pStyle w:val="TCTableBody"/>
              <w:jc w:val="center"/>
              <w:rPr>
                <w:rFonts w:ascii="Times New Roman" w:hAnsi="Times New Roman"/>
                <w:sz w:val="22"/>
                <w:szCs w:val="22"/>
              </w:rPr>
            </w:pPr>
            <w:r w:rsidRPr="00B77C41">
              <w:rPr>
                <w:rFonts w:ascii="Times New Roman" w:hAnsi="Times New Roman"/>
                <w:sz w:val="22"/>
                <w:szCs w:val="22"/>
              </w:rPr>
              <w:t>Observational Data Pre-</w:t>
            </w:r>
            <w:r>
              <w:rPr>
                <w:rFonts w:ascii="Times New Roman" w:hAnsi="Times New Roman"/>
                <w:sz w:val="22"/>
                <w:szCs w:val="22"/>
              </w:rPr>
              <w:t>p</w:t>
            </w:r>
            <w:r w:rsidRPr="00B77C41">
              <w:rPr>
                <w:rFonts w:ascii="Times New Roman" w:hAnsi="Times New Roman"/>
                <w:sz w:val="22"/>
                <w:szCs w:val="22"/>
              </w:rPr>
              <w:t>rocessing</w:t>
            </w:r>
          </w:p>
        </w:tc>
        <w:tc>
          <w:tcPr>
            <w:tcW w:w="1512" w:type="dxa"/>
            <w:vMerge w:val="restart"/>
            <w:vAlign w:val="bottom"/>
          </w:tcPr>
          <w:p w14:paraId="4864BAA4" w14:textId="77777777" w:rsidR="006714FF" w:rsidRPr="00B77C41" w:rsidRDefault="006714FF" w:rsidP="00B77C41">
            <w:pPr>
              <w:pStyle w:val="TCTableBody"/>
              <w:jc w:val="center"/>
              <w:rPr>
                <w:rFonts w:ascii="Times New Roman" w:hAnsi="Times New Roman"/>
                <w:sz w:val="22"/>
                <w:szCs w:val="22"/>
              </w:rPr>
            </w:pPr>
            <w:r w:rsidRPr="00B77C41">
              <w:rPr>
                <w:rFonts w:ascii="Times New Roman" w:hAnsi="Times New Roman"/>
                <w:sz w:val="22"/>
                <w:szCs w:val="22"/>
              </w:rPr>
              <w:t>Global Offset Processing (KS parameters and LUR development)</w:t>
            </w:r>
          </w:p>
        </w:tc>
        <w:tc>
          <w:tcPr>
            <w:tcW w:w="1080" w:type="dxa"/>
            <w:vMerge w:val="restart"/>
            <w:vAlign w:val="bottom"/>
          </w:tcPr>
          <w:p w14:paraId="5B58FF91" w14:textId="77777777" w:rsidR="006714FF" w:rsidRPr="00B77C41" w:rsidRDefault="006714FF" w:rsidP="00B77C41">
            <w:pPr>
              <w:pStyle w:val="TCTableBody"/>
              <w:jc w:val="center"/>
              <w:rPr>
                <w:rFonts w:ascii="Times New Roman" w:hAnsi="Times New Roman"/>
                <w:sz w:val="22"/>
                <w:szCs w:val="22"/>
              </w:rPr>
            </w:pPr>
            <w:proofErr w:type="spellStart"/>
            <w:r w:rsidRPr="00B77C41">
              <w:rPr>
                <w:rFonts w:ascii="Times New Roman" w:hAnsi="Times New Roman"/>
                <w:sz w:val="22"/>
                <w:szCs w:val="22"/>
              </w:rPr>
              <w:t>CAMx</w:t>
            </w:r>
            <w:proofErr w:type="spellEnd"/>
            <w:r w:rsidRPr="00B77C41">
              <w:rPr>
                <w:rFonts w:ascii="Times New Roman" w:hAnsi="Times New Roman"/>
                <w:sz w:val="22"/>
                <w:szCs w:val="22"/>
              </w:rPr>
              <w:t xml:space="preserve"> Modeling</w:t>
            </w:r>
          </w:p>
        </w:tc>
        <w:tc>
          <w:tcPr>
            <w:tcW w:w="2709" w:type="dxa"/>
            <w:gridSpan w:val="2"/>
            <w:vAlign w:val="bottom"/>
          </w:tcPr>
          <w:p w14:paraId="00513D4A" w14:textId="77777777" w:rsidR="006714FF" w:rsidRPr="00B77C41" w:rsidRDefault="006714FF" w:rsidP="00B77C41">
            <w:pPr>
              <w:pStyle w:val="TCTableBody"/>
              <w:jc w:val="center"/>
              <w:rPr>
                <w:rFonts w:ascii="Times New Roman" w:hAnsi="Times New Roman"/>
                <w:sz w:val="22"/>
                <w:szCs w:val="22"/>
              </w:rPr>
            </w:pPr>
            <w:r w:rsidRPr="00B77C41">
              <w:rPr>
                <w:rFonts w:ascii="Times New Roman" w:hAnsi="Times New Roman"/>
                <w:sz w:val="22"/>
                <w:szCs w:val="22"/>
              </w:rPr>
              <w:t>Daily Estimate Mapping</w:t>
            </w:r>
          </w:p>
        </w:tc>
        <w:tc>
          <w:tcPr>
            <w:tcW w:w="1528" w:type="dxa"/>
            <w:vMerge w:val="restart"/>
            <w:vAlign w:val="bottom"/>
          </w:tcPr>
          <w:p w14:paraId="47A8EAAB" w14:textId="77777777" w:rsidR="006714FF" w:rsidRPr="00B77C41" w:rsidRDefault="006714FF" w:rsidP="00B77C41">
            <w:pPr>
              <w:pStyle w:val="TCTableBody"/>
              <w:jc w:val="center"/>
              <w:rPr>
                <w:rFonts w:ascii="Times New Roman" w:hAnsi="Times New Roman"/>
                <w:sz w:val="22"/>
                <w:szCs w:val="22"/>
              </w:rPr>
            </w:pPr>
            <w:r w:rsidRPr="00B77C41">
              <w:rPr>
                <w:rFonts w:ascii="Times New Roman" w:hAnsi="Times New Roman"/>
                <w:sz w:val="22"/>
                <w:szCs w:val="22"/>
              </w:rPr>
              <w:t>One RCV Curve Time Requirement</w:t>
            </w:r>
            <w:r w:rsidRPr="00B77C41">
              <w:rPr>
                <w:rFonts w:ascii="Times New Roman" w:hAnsi="Times New Roman"/>
                <w:sz w:val="22"/>
                <w:szCs w:val="22"/>
                <w:vertAlign w:val="superscript"/>
              </w:rPr>
              <w:t>1,2</w:t>
            </w:r>
          </w:p>
        </w:tc>
      </w:tr>
      <w:tr w:rsidR="006714FF" w:rsidRPr="00CB0B44" w14:paraId="7E38D2AF" w14:textId="77777777" w:rsidTr="00B77C41">
        <w:tc>
          <w:tcPr>
            <w:tcW w:w="985" w:type="dxa"/>
            <w:vMerge/>
          </w:tcPr>
          <w:p w14:paraId="3AE29F2E" w14:textId="77777777" w:rsidR="006714FF" w:rsidRPr="00B77C41" w:rsidRDefault="006714FF" w:rsidP="00B77C41">
            <w:pPr>
              <w:pStyle w:val="TCTableBody"/>
              <w:rPr>
                <w:rFonts w:ascii="Times New Roman" w:hAnsi="Times New Roman"/>
                <w:sz w:val="22"/>
                <w:szCs w:val="22"/>
              </w:rPr>
            </w:pPr>
          </w:p>
        </w:tc>
        <w:tc>
          <w:tcPr>
            <w:tcW w:w="1536" w:type="dxa"/>
            <w:vMerge/>
          </w:tcPr>
          <w:p w14:paraId="23016C0C" w14:textId="77777777" w:rsidR="006714FF" w:rsidRPr="00B77C41" w:rsidRDefault="006714FF" w:rsidP="00B77C41">
            <w:pPr>
              <w:pStyle w:val="TCTableBody"/>
              <w:rPr>
                <w:rFonts w:ascii="Times New Roman" w:hAnsi="Times New Roman"/>
                <w:sz w:val="22"/>
                <w:szCs w:val="22"/>
              </w:rPr>
            </w:pPr>
          </w:p>
        </w:tc>
        <w:tc>
          <w:tcPr>
            <w:tcW w:w="1512" w:type="dxa"/>
            <w:vMerge/>
          </w:tcPr>
          <w:p w14:paraId="089AD504" w14:textId="77777777" w:rsidR="006714FF" w:rsidRPr="00B77C41" w:rsidRDefault="006714FF" w:rsidP="00B77C41">
            <w:pPr>
              <w:pStyle w:val="TCTableBody"/>
              <w:rPr>
                <w:rFonts w:ascii="Times New Roman" w:hAnsi="Times New Roman"/>
                <w:sz w:val="22"/>
                <w:szCs w:val="22"/>
              </w:rPr>
            </w:pPr>
          </w:p>
        </w:tc>
        <w:tc>
          <w:tcPr>
            <w:tcW w:w="1080" w:type="dxa"/>
            <w:vMerge/>
          </w:tcPr>
          <w:p w14:paraId="36EAA6F6" w14:textId="77777777" w:rsidR="006714FF" w:rsidRPr="00B77C41" w:rsidRDefault="006714FF" w:rsidP="00B77C41">
            <w:pPr>
              <w:pStyle w:val="TCTableBody"/>
              <w:rPr>
                <w:rFonts w:ascii="Times New Roman" w:hAnsi="Times New Roman"/>
                <w:sz w:val="22"/>
                <w:szCs w:val="22"/>
              </w:rPr>
            </w:pPr>
          </w:p>
        </w:tc>
        <w:tc>
          <w:tcPr>
            <w:tcW w:w="1272" w:type="dxa"/>
            <w:vAlign w:val="bottom"/>
          </w:tcPr>
          <w:p w14:paraId="63140129" w14:textId="77777777" w:rsidR="006714FF" w:rsidRPr="00B77C41" w:rsidRDefault="006714FF" w:rsidP="00B77C41">
            <w:pPr>
              <w:pStyle w:val="TCTableBody"/>
              <w:jc w:val="center"/>
              <w:rPr>
                <w:rFonts w:ascii="Times New Roman" w:hAnsi="Times New Roman"/>
                <w:sz w:val="22"/>
                <w:szCs w:val="22"/>
              </w:rPr>
            </w:pPr>
            <w:r w:rsidRPr="00B77C41">
              <w:rPr>
                <w:rFonts w:ascii="Times New Roman" w:hAnsi="Times New Roman"/>
                <w:sz w:val="22"/>
                <w:szCs w:val="22"/>
              </w:rPr>
              <w:t xml:space="preserve">Total Hard/Soft Data Points Available for </w:t>
            </w:r>
            <w:r w:rsidRPr="00CB0B44">
              <w:rPr>
                <w:rFonts w:ascii="Times New Roman" w:hAnsi="Times New Roman"/>
                <w:sz w:val="22"/>
                <w:szCs w:val="22"/>
              </w:rPr>
              <w:t>Estimation</w:t>
            </w:r>
          </w:p>
        </w:tc>
        <w:tc>
          <w:tcPr>
            <w:tcW w:w="1437" w:type="dxa"/>
            <w:vAlign w:val="bottom"/>
          </w:tcPr>
          <w:p w14:paraId="117D5AEA" w14:textId="77777777" w:rsidR="006714FF" w:rsidRPr="00B77C41" w:rsidRDefault="006714FF" w:rsidP="00B77C41">
            <w:pPr>
              <w:pStyle w:val="TCTableBody"/>
              <w:jc w:val="center"/>
              <w:rPr>
                <w:rFonts w:ascii="Times New Roman" w:hAnsi="Times New Roman"/>
                <w:sz w:val="22"/>
                <w:szCs w:val="22"/>
              </w:rPr>
            </w:pPr>
            <w:r w:rsidRPr="00B77C41">
              <w:rPr>
                <w:rFonts w:ascii="Times New Roman" w:hAnsi="Times New Roman"/>
                <w:sz w:val="22"/>
                <w:szCs w:val="22"/>
              </w:rPr>
              <w:t>Time Requirement of Computation</w:t>
            </w:r>
            <w:r w:rsidRPr="00B77C41">
              <w:rPr>
                <w:rFonts w:ascii="Times New Roman" w:hAnsi="Times New Roman"/>
                <w:sz w:val="22"/>
                <w:szCs w:val="22"/>
                <w:vertAlign w:val="superscript"/>
              </w:rPr>
              <w:t>1</w:t>
            </w:r>
          </w:p>
        </w:tc>
        <w:tc>
          <w:tcPr>
            <w:tcW w:w="1528" w:type="dxa"/>
            <w:vMerge/>
          </w:tcPr>
          <w:p w14:paraId="11156E65" w14:textId="77777777" w:rsidR="006714FF" w:rsidRPr="00B77C41" w:rsidRDefault="006714FF" w:rsidP="00B77C41">
            <w:pPr>
              <w:pStyle w:val="TCTableBody"/>
              <w:rPr>
                <w:rFonts w:ascii="Times New Roman" w:hAnsi="Times New Roman"/>
                <w:sz w:val="22"/>
                <w:szCs w:val="22"/>
              </w:rPr>
            </w:pPr>
          </w:p>
        </w:tc>
      </w:tr>
      <w:tr w:rsidR="006714FF" w:rsidRPr="00CB0B44" w14:paraId="2EA14C09" w14:textId="77777777" w:rsidTr="00B77C41">
        <w:tc>
          <w:tcPr>
            <w:tcW w:w="985" w:type="dxa"/>
          </w:tcPr>
          <w:p w14:paraId="64F7740A" w14:textId="77777777" w:rsidR="006714FF" w:rsidRPr="00B77C41" w:rsidRDefault="006714FF" w:rsidP="00B77C41">
            <w:pPr>
              <w:pStyle w:val="TCTableBody"/>
              <w:rPr>
                <w:rFonts w:ascii="Times New Roman" w:hAnsi="Times New Roman"/>
                <w:sz w:val="22"/>
                <w:szCs w:val="22"/>
              </w:rPr>
            </w:pPr>
            <w:r w:rsidRPr="00B77C41">
              <w:rPr>
                <w:rFonts w:ascii="Times New Roman" w:hAnsi="Times New Roman"/>
                <w:sz w:val="22"/>
                <w:szCs w:val="22"/>
              </w:rPr>
              <w:t>Least</w:t>
            </w:r>
          </w:p>
        </w:tc>
        <w:tc>
          <w:tcPr>
            <w:tcW w:w="1536" w:type="dxa"/>
            <w:vAlign w:val="bottom"/>
          </w:tcPr>
          <w:p w14:paraId="042B9634"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Yes</w:t>
            </w:r>
          </w:p>
        </w:tc>
        <w:tc>
          <w:tcPr>
            <w:tcW w:w="1512" w:type="dxa"/>
            <w:vAlign w:val="bottom"/>
          </w:tcPr>
          <w:p w14:paraId="172DF1F4"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No</w:t>
            </w:r>
          </w:p>
        </w:tc>
        <w:tc>
          <w:tcPr>
            <w:tcW w:w="1080" w:type="dxa"/>
            <w:vAlign w:val="bottom"/>
          </w:tcPr>
          <w:p w14:paraId="58A7E5CC"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No</w:t>
            </w:r>
          </w:p>
        </w:tc>
        <w:tc>
          <w:tcPr>
            <w:tcW w:w="1272" w:type="dxa"/>
            <w:vAlign w:val="bottom"/>
          </w:tcPr>
          <w:p w14:paraId="3C2799E0"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88,000-132,000</w:t>
            </w:r>
          </w:p>
        </w:tc>
        <w:tc>
          <w:tcPr>
            <w:tcW w:w="1437" w:type="dxa"/>
            <w:vAlign w:val="bottom"/>
          </w:tcPr>
          <w:p w14:paraId="56470D40" w14:textId="77777777" w:rsidR="006714FF" w:rsidRPr="00B77C41" w:rsidRDefault="006714FF" w:rsidP="00B77C41">
            <w:pPr>
              <w:pStyle w:val="TCTableBody"/>
              <w:jc w:val="right"/>
              <w:rPr>
                <w:rFonts w:ascii="Times New Roman" w:hAnsi="Times New Roman"/>
                <w:color w:val="000000"/>
                <w:sz w:val="22"/>
                <w:szCs w:val="22"/>
              </w:rPr>
            </w:pPr>
            <w:r w:rsidRPr="00B77C41">
              <w:rPr>
                <w:rFonts w:ascii="Times New Roman" w:hAnsi="Times New Roman"/>
                <w:color w:val="000000"/>
                <w:sz w:val="22"/>
                <w:szCs w:val="22"/>
              </w:rPr>
              <w:t>&lt;10 second</w:t>
            </w:r>
            <w:r w:rsidRPr="00CB0B44">
              <w:rPr>
                <w:rFonts w:ascii="Times New Roman" w:hAnsi="Times New Roman"/>
                <w:color w:val="000000"/>
                <w:sz w:val="22"/>
                <w:szCs w:val="22"/>
              </w:rPr>
              <w:t>s</w:t>
            </w:r>
          </w:p>
        </w:tc>
        <w:tc>
          <w:tcPr>
            <w:tcW w:w="1528" w:type="dxa"/>
            <w:vAlign w:val="bottom"/>
          </w:tcPr>
          <w:p w14:paraId="7ED43925" w14:textId="77777777" w:rsidR="006714FF" w:rsidRPr="00B77C41" w:rsidRDefault="006714FF" w:rsidP="00B77C41">
            <w:pPr>
              <w:pStyle w:val="TCTableBody"/>
              <w:jc w:val="right"/>
              <w:rPr>
                <w:rFonts w:ascii="Times New Roman" w:hAnsi="Times New Roman"/>
                <w:color w:val="000000"/>
                <w:sz w:val="22"/>
                <w:szCs w:val="22"/>
              </w:rPr>
            </w:pPr>
            <w:r w:rsidRPr="00B77C41">
              <w:rPr>
                <w:rFonts w:ascii="Times New Roman" w:hAnsi="Times New Roman"/>
                <w:color w:val="000000"/>
                <w:sz w:val="22"/>
                <w:szCs w:val="22"/>
              </w:rPr>
              <w:t>&lt;20 minutes</w:t>
            </w:r>
          </w:p>
        </w:tc>
      </w:tr>
      <w:tr w:rsidR="006714FF" w:rsidRPr="00CB0B44" w14:paraId="1E021F92" w14:textId="77777777" w:rsidTr="00B77C41">
        <w:tc>
          <w:tcPr>
            <w:tcW w:w="985" w:type="dxa"/>
          </w:tcPr>
          <w:p w14:paraId="7CEEB807" w14:textId="77777777" w:rsidR="006714FF" w:rsidRPr="00B77C41" w:rsidRDefault="006714FF" w:rsidP="00B77C41">
            <w:pPr>
              <w:pStyle w:val="TCTableBody"/>
              <w:rPr>
                <w:rFonts w:ascii="Times New Roman" w:hAnsi="Times New Roman"/>
                <w:sz w:val="22"/>
                <w:szCs w:val="22"/>
              </w:rPr>
            </w:pPr>
            <w:r w:rsidRPr="00B77C41">
              <w:rPr>
                <w:rFonts w:ascii="Times New Roman" w:hAnsi="Times New Roman"/>
                <w:sz w:val="22"/>
                <w:szCs w:val="22"/>
              </w:rPr>
              <w:t>Moderate</w:t>
            </w:r>
          </w:p>
        </w:tc>
        <w:tc>
          <w:tcPr>
            <w:tcW w:w="1536" w:type="dxa"/>
            <w:vAlign w:val="bottom"/>
          </w:tcPr>
          <w:p w14:paraId="6D16DEAC"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Yes</w:t>
            </w:r>
          </w:p>
        </w:tc>
        <w:tc>
          <w:tcPr>
            <w:tcW w:w="1512" w:type="dxa"/>
            <w:vAlign w:val="bottom"/>
          </w:tcPr>
          <w:p w14:paraId="21696FB0"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Yes</w:t>
            </w:r>
          </w:p>
        </w:tc>
        <w:tc>
          <w:tcPr>
            <w:tcW w:w="1080" w:type="dxa"/>
            <w:vAlign w:val="bottom"/>
          </w:tcPr>
          <w:p w14:paraId="64EE6882"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No</w:t>
            </w:r>
          </w:p>
        </w:tc>
        <w:tc>
          <w:tcPr>
            <w:tcW w:w="1272" w:type="dxa"/>
            <w:vAlign w:val="bottom"/>
          </w:tcPr>
          <w:p w14:paraId="292C3E8F" w14:textId="77777777" w:rsidR="006714FF" w:rsidRPr="00B77C41" w:rsidRDefault="006714FF" w:rsidP="00B77C41">
            <w:pPr>
              <w:pStyle w:val="TCTableBody"/>
              <w:jc w:val="right"/>
              <w:rPr>
                <w:rFonts w:ascii="Times New Roman" w:hAnsi="Times New Roman"/>
                <w:color w:val="000000"/>
                <w:sz w:val="22"/>
                <w:szCs w:val="22"/>
              </w:rPr>
            </w:pPr>
            <w:r w:rsidRPr="00B77C41">
              <w:rPr>
                <w:rFonts w:ascii="Times New Roman" w:hAnsi="Times New Roman"/>
                <w:color w:val="000000"/>
                <w:sz w:val="22"/>
                <w:szCs w:val="22"/>
              </w:rPr>
              <w:t>88,000-132,000</w:t>
            </w:r>
          </w:p>
        </w:tc>
        <w:tc>
          <w:tcPr>
            <w:tcW w:w="1437" w:type="dxa"/>
            <w:vAlign w:val="bottom"/>
          </w:tcPr>
          <w:p w14:paraId="2168CD0B" w14:textId="77777777" w:rsidR="006714FF" w:rsidRPr="00B77C41" w:rsidRDefault="006714FF" w:rsidP="00B77C41">
            <w:pPr>
              <w:pStyle w:val="TCTableBody"/>
              <w:jc w:val="right"/>
              <w:rPr>
                <w:rFonts w:ascii="Times New Roman" w:hAnsi="Times New Roman"/>
                <w:color w:val="000000"/>
                <w:sz w:val="22"/>
                <w:szCs w:val="22"/>
              </w:rPr>
            </w:pPr>
            <w:r w:rsidRPr="00B77C41">
              <w:rPr>
                <w:rFonts w:ascii="Times New Roman" w:hAnsi="Times New Roman"/>
                <w:color w:val="000000"/>
                <w:sz w:val="22"/>
                <w:szCs w:val="22"/>
              </w:rPr>
              <w:t>&lt;10 seconds</w:t>
            </w:r>
          </w:p>
        </w:tc>
        <w:tc>
          <w:tcPr>
            <w:tcW w:w="1528" w:type="dxa"/>
            <w:vAlign w:val="bottom"/>
          </w:tcPr>
          <w:p w14:paraId="4C8ED159" w14:textId="77777777" w:rsidR="006714FF" w:rsidRPr="00B77C41" w:rsidRDefault="006714FF" w:rsidP="00B77C41">
            <w:pPr>
              <w:pStyle w:val="TCTableBody"/>
              <w:jc w:val="right"/>
              <w:rPr>
                <w:rFonts w:ascii="Times New Roman" w:hAnsi="Times New Roman"/>
                <w:color w:val="000000"/>
                <w:sz w:val="22"/>
                <w:szCs w:val="22"/>
              </w:rPr>
            </w:pPr>
            <w:r w:rsidRPr="00B77C41">
              <w:rPr>
                <w:rFonts w:ascii="Times New Roman" w:hAnsi="Times New Roman"/>
                <w:color w:val="000000"/>
                <w:sz w:val="22"/>
                <w:szCs w:val="22"/>
              </w:rPr>
              <w:t>&lt;20 minutes</w:t>
            </w:r>
          </w:p>
        </w:tc>
      </w:tr>
      <w:tr w:rsidR="006714FF" w:rsidRPr="00CB0B44" w14:paraId="19E4F6A1" w14:textId="77777777" w:rsidTr="00B77C41">
        <w:tc>
          <w:tcPr>
            <w:tcW w:w="985" w:type="dxa"/>
          </w:tcPr>
          <w:p w14:paraId="5281EE84" w14:textId="77777777" w:rsidR="006714FF" w:rsidRPr="00B77C41" w:rsidRDefault="006714FF" w:rsidP="00B77C41">
            <w:pPr>
              <w:pStyle w:val="TCTableBody"/>
              <w:rPr>
                <w:rFonts w:ascii="Times New Roman" w:hAnsi="Times New Roman"/>
                <w:sz w:val="22"/>
                <w:szCs w:val="22"/>
              </w:rPr>
            </w:pPr>
            <w:r w:rsidRPr="00B77C41">
              <w:rPr>
                <w:rFonts w:ascii="Times New Roman" w:hAnsi="Times New Roman"/>
                <w:sz w:val="22"/>
                <w:szCs w:val="22"/>
              </w:rPr>
              <w:t>Most</w:t>
            </w:r>
          </w:p>
        </w:tc>
        <w:tc>
          <w:tcPr>
            <w:tcW w:w="1536" w:type="dxa"/>
            <w:vAlign w:val="bottom"/>
          </w:tcPr>
          <w:p w14:paraId="5DA82CEC"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Yes</w:t>
            </w:r>
          </w:p>
        </w:tc>
        <w:tc>
          <w:tcPr>
            <w:tcW w:w="1512" w:type="dxa"/>
            <w:vAlign w:val="bottom"/>
          </w:tcPr>
          <w:p w14:paraId="17D033F3"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Maybe</w:t>
            </w:r>
            <w:r w:rsidRPr="00B77C41">
              <w:rPr>
                <w:rFonts w:ascii="Times New Roman" w:hAnsi="Times New Roman"/>
                <w:sz w:val="22"/>
                <w:szCs w:val="22"/>
                <w:vertAlign w:val="superscript"/>
              </w:rPr>
              <w:t>3</w:t>
            </w:r>
          </w:p>
        </w:tc>
        <w:tc>
          <w:tcPr>
            <w:tcW w:w="1080" w:type="dxa"/>
            <w:vAlign w:val="bottom"/>
          </w:tcPr>
          <w:p w14:paraId="2965BF6E" w14:textId="77777777" w:rsidR="006714FF" w:rsidRPr="00B77C41" w:rsidRDefault="006714FF" w:rsidP="00B77C41">
            <w:pPr>
              <w:pStyle w:val="TCTableBody"/>
              <w:jc w:val="right"/>
              <w:rPr>
                <w:rFonts w:ascii="Times New Roman" w:hAnsi="Times New Roman"/>
                <w:sz w:val="22"/>
                <w:szCs w:val="22"/>
              </w:rPr>
            </w:pPr>
            <w:r w:rsidRPr="00B77C41">
              <w:rPr>
                <w:rFonts w:ascii="Times New Roman" w:hAnsi="Times New Roman"/>
                <w:sz w:val="22"/>
                <w:szCs w:val="22"/>
              </w:rPr>
              <w:t>Yes</w:t>
            </w:r>
          </w:p>
        </w:tc>
        <w:tc>
          <w:tcPr>
            <w:tcW w:w="1272" w:type="dxa"/>
            <w:vAlign w:val="bottom"/>
          </w:tcPr>
          <w:p w14:paraId="3F6DA3BF" w14:textId="77777777" w:rsidR="006714FF" w:rsidRPr="00B77C41" w:rsidRDefault="006714FF" w:rsidP="00B77C41">
            <w:pPr>
              <w:pStyle w:val="TCTableBody"/>
              <w:jc w:val="right"/>
              <w:rPr>
                <w:rFonts w:ascii="Times New Roman" w:hAnsi="Times New Roman"/>
                <w:color w:val="000000"/>
                <w:sz w:val="22"/>
                <w:szCs w:val="22"/>
              </w:rPr>
            </w:pPr>
            <w:r w:rsidRPr="00B77C41">
              <w:rPr>
                <w:rFonts w:ascii="Times New Roman" w:hAnsi="Times New Roman"/>
                <w:color w:val="000000"/>
                <w:sz w:val="22"/>
                <w:szCs w:val="22"/>
              </w:rPr>
              <w:t>1,480,000-1,520,000</w:t>
            </w:r>
          </w:p>
        </w:tc>
        <w:tc>
          <w:tcPr>
            <w:tcW w:w="1437" w:type="dxa"/>
            <w:vAlign w:val="bottom"/>
          </w:tcPr>
          <w:p w14:paraId="6C2FA67C" w14:textId="77777777" w:rsidR="006714FF" w:rsidRPr="00B77C41" w:rsidRDefault="006714FF" w:rsidP="00B77C41">
            <w:pPr>
              <w:pStyle w:val="TCTableBody"/>
              <w:jc w:val="right"/>
              <w:rPr>
                <w:rFonts w:ascii="Times New Roman" w:hAnsi="Times New Roman"/>
                <w:color w:val="000000"/>
                <w:sz w:val="22"/>
                <w:szCs w:val="22"/>
              </w:rPr>
            </w:pPr>
            <w:r w:rsidRPr="00B77C41">
              <w:rPr>
                <w:rFonts w:ascii="Times New Roman" w:hAnsi="Times New Roman"/>
                <w:color w:val="000000"/>
                <w:sz w:val="22"/>
                <w:szCs w:val="22"/>
              </w:rPr>
              <w:t>&lt;5 minutes</w:t>
            </w:r>
          </w:p>
        </w:tc>
        <w:tc>
          <w:tcPr>
            <w:tcW w:w="1528" w:type="dxa"/>
            <w:vAlign w:val="bottom"/>
          </w:tcPr>
          <w:p w14:paraId="7B12C38D" w14:textId="77777777" w:rsidR="006714FF" w:rsidRPr="00B77C41" w:rsidRDefault="006714FF" w:rsidP="00B77C41">
            <w:pPr>
              <w:pStyle w:val="TCTableBody"/>
              <w:jc w:val="right"/>
              <w:rPr>
                <w:rFonts w:ascii="Times New Roman" w:hAnsi="Times New Roman"/>
                <w:color w:val="000000"/>
                <w:sz w:val="22"/>
                <w:szCs w:val="22"/>
              </w:rPr>
            </w:pPr>
            <w:r w:rsidRPr="00B77C41">
              <w:rPr>
                <w:rFonts w:ascii="Times New Roman" w:hAnsi="Times New Roman"/>
                <w:color w:val="000000"/>
                <w:sz w:val="22"/>
                <w:szCs w:val="22"/>
              </w:rPr>
              <w:t>&lt;6 hours</w:t>
            </w:r>
          </w:p>
        </w:tc>
      </w:tr>
      <w:tr w:rsidR="006714FF" w:rsidRPr="00CB0B44" w14:paraId="59C005F3" w14:textId="77777777" w:rsidTr="00B77C41">
        <w:tc>
          <w:tcPr>
            <w:tcW w:w="9350" w:type="dxa"/>
            <w:gridSpan w:val="7"/>
          </w:tcPr>
          <w:p w14:paraId="7FD64272" w14:textId="77777777" w:rsidR="006714FF" w:rsidRPr="00B77C41" w:rsidRDefault="006714FF" w:rsidP="00B77C41">
            <w:pPr>
              <w:pStyle w:val="TCTableBody"/>
              <w:jc w:val="left"/>
              <w:rPr>
                <w:rFonts w:ascii="Times New Roman" w:hAnsi="Times New Roman"/>
                <w:i/>
                <w:iCs/>
                <w:sz w:val="22"/>
                <w:szCs w:val="22"/>
              </w:rPr>
            </w:pPr>
            <w:r w:rsidRPr="00B77C41">
              <w:rPr>
                <w:rFonts w:ascii="Times New Roman" w:hAnsi="Times New Roman"/>
                <w:i/>
                <w:iCs/>
                <w:sz w:val="22"/>
                <w:szCs w:val="22"/>
                <w:vertAlign w:val="superscript"/>
              </w:rPr>
              <w:t>1</w:t>
            </w:r>
            <w:r w:rsidRPr="00B77C41">
              <w:rPr>
                <w:rFonts w:ascii="Times New Roman" w:hAnsi="Times New Roman"/>
                <w:i/>
                <w:iCs/>
                <w:sz w:val="22"/>
                <w:szCs w:val="22"/>
              </w:rPr>
              <w:t xml:space="preserve">Performed using </w:t>
            </w:r>
            <w:r w:rsidRPr="00CB0B44">
              <w:rPr>
                <w:rFonts w:ascii="Times New Roman" w:hAnsi="Times New Roman"/>
                <w:i/>
                <w:iCs/>
                <w:sz w:val="22"/>
                <w:szCs w:val="22"/>
              </w:rPr>
              <w:t>the University of North Carolina’s</w:t>
            </w:r>
            <w:r w:rsidRPr="00B77C41">
              <w:rPr>
                <w:rFonts w:ascii="Times New Roman" w:hAnsi="Times New Roman"/>
                <w:i/>
                <w:iCs/>
                <w:sz w:val="22"/>
                <w:szCs w:val="22"/>
              </w:rPr>
              <w:t xml:space="preserve"> Longleaf M</w:t>
            </w:r>
            <w:r w:rsidRPr="00CB0B44">
              <w:rPr>
                <w:rFonts w:ascii="Times New Roman" w:hAnsi="Times New Roman"/>
                <w:i/>
                <w:iCs/>
                <w:sz w:val="22"/>
                <w:szCs w:val="22"/>
              </w:rPr>
              <w:t>ATLAB</w:t>
            </w:r>
            <w:r w:rsidRPr="00B77C41">
              <w:rPr>
                <w:rFonts w:ascii="Times New Roman" w:hAnsi="Times New Roman"/>
                <w:i/>
                <w:iCs/>
                <w:sz w:val="22"/>
                <w:szCs w:val="22"/>
              </w:rPr>
              <w:t xml:space="preserve"> GPU (CPU=2; memory=16g)</w:t>
            </w:r>
            <w:r w:rsidRPr="00B77C41">
              <w:rPr>
                <w:rFonts w:ascii="Times New Roman" w:hAnsi="Times New Roman"/>
                <w:i/>
                <w:iCs/>
                <w:sz w:val="22"/>
                <w:szCs w:val="22"/>
              </w:rPr>
              <w:br/>
            </w:r>
            <w:r w:rsidRPr="00B77C41">
              <w:rPr>
                <w:rFonts w:ascii="Times New Roman" w:hAnsi="Times New Roman"/>
                <w:i/>
                <w:iCs/>
                <w:sz w:val="22"/>
                <w:szCs w:val="22"/>
                <w:vertAlign w:val="superscript"/>
              </w:rPr>
              <w:t>2</w:t>
            </w:r>
            <w:r w:rsidRPr="00B77C41">
              <w:rPr>
                <w:rFonts w:ascii="Times New Roman" w:hAnsi="Times New Roman"/>
                <w:i/>
                <w:iCs/>
                <w:sz w:val="22"/>
                <w:szCs w:val="22"/>
              </w:rPr>
              <w:t>Estimated as the time required to calculate RCV radius for 2011-2012 and multiplying by 7 (e.g., number of radii tested in RCV curve)</w:t>
            </w:r>
            <w:r w:rsidRPr="00B77C41">
              <w:rPr>
                <w:rFonts w:ascii="Times New Roman" w:hAnsi="Times New Roman"/>
                <w:i/>
                <w:iCs/>
                <w:sz w:val="22"/>
                <w:szCs w:val="22"/>
              </w:rPr>
              <w:br/>
            </w:r>
            <w:r w:rsidRPr="00B77C41">
              <w:rPr>
                <w:rFonts w:ascii="Times New Roman" w:hAnsi="Times New Roman"/>
                <w:i/>
                <w:iCs/>
                <w:sz w:val="22"/>
                <w:szCs w:val="22"/>
                <w:vertAlign w:val="superscript"/>
              </w:rPr>
              <w:t>3</w:t>
            </w:r>
            <w:r w:rsidRPr="00B77C41">
              <w:rPr>
                <w:rFonts w:ascii="Times New Roman" w:hAnsi="Times New Roman"/>
                <w:i/>
                <w:iCs/>
                <w:sz w:val="22"/>
                <w:szCs w:val="22"/>
              </w:rPr>
              <w:t>Global offset processing will occur unless a flat global offset (go=1) is selected</w:t>
            </w:r>
          </w:p>
        </w:tc>
      </w:tr>
    </w:tbl>
    <w:p w14:paraId="36B122E7" w14:textId="77777777" w:rsidR="006714FF" w:rsidRDefault="006714FF" w:rsidP="009E0C18">
      <w:pPr>
        <w:pStyle w:val="TESupportingInformation"/>
        <w:spacing w:after="0"/>
      </w:pPr>
    </w:p>
    <w:p w14:paraId="4494D9C6" w14:textId="48F365C3" w:rsidR="006714FF" w:rsidRPr="002A50D1" w:rsidRDefault="006714FF" w:rsidP="006714FF">
      <w:pPr>
        <w:pStyle w:val="TESupportingInformation"/>
      </w:pPr>
      <w:r w:rsidRPr="002A50D1">
        <w:t xml:space="preserve">For each global offset resolution, the global offset is either LUR or kernel smoothing, and if it is kernel smoothing, it can be of subtypes ‘domain-wide’ or ‘regional’ for the medium resolution, and of subtypes ‘semi-local’ or ‘local’ for the fine resolution. For styrene, toluene, ethylbenzene, and xylenes, the medium-resolution global offset was ‘Spatial KS Domain-wide &amp; Temporal KS </w:t>
      </w:r>
      <w:r w:rsidR="00BA0462">
        <w:lastRenderedPageBreak/>
        <w:t>d</w:t>
      </w:r>
      <w:r w:rsidRPr="002A50D1">
        <w:t>omain-wide and the fine-resolution global offset was ‘Spatial KS Local &amp; Temporal KS Local. For benzene, the medium-resolution global offset was ‘Spatial LUR &amp; Temporal KS Domain-wide and the fine-resolution global offset was ‘Spatial LUR &amp; Temporal KS Semi-local.’ They were obtained by choosing the one with the best Pearson and Spearman R-values at a radius of 3 degrees. This was done because the computational cost associated with this work was very high and evaluating the full RCV curve for each subtype was too costly. Similarly, the ‘best’ global offset resolution for the data fusion method was selected by choosing the one with the highest R-value at a radius of 3 degrees. Table S1</w:t>
      </w:r>
      <w:r>
        <w:t>3</w:t>
      </w:r>
      <w:r w:rsidRPr="002A50D1">
        <w:t xml:space="preserve"> shows a summary of the flat, medium-resolution, and fine-resolution spatial and temporal components selected and evaluated as SBTEX global offsets.</w:t>
      </w:r>
    </w:p>
    <w:p w14:paraId="1D736350" w14:textId="77777777" w:rsidR="006714FF" w:rsidRDefault="006714FF" w:rsidP="006714FF">
      <w:pPr>
        <w:pStyle w:val="VDTableTitle"/>
        <w:spacing w:before="240"/>
        <w:rPr>
          <w:b/>
          <w:bCs/>
        </w:rPr>
      </w:pPr>
    </w:p>
    <w:p w14:paraId="6EB5BA7E" w14:textId="77777777" w:rsidR="006714FF" w:rsidRDefault="006714FF" w:rsidP="006714FF">
      <w:pPr>
        <w:pStyle w:val="VDTableTitle"/>
        <w:spacing w:before="240"/>
        <w:rPr>
          <w:b/>
          <w:bCs/>
        </w:rPr>
      </w:pPr>
    </w:p>
    <w:p w14:paraId="4CC06A16" w14:textId="77777777" w:rsidR="006714FF" w:rsidRDefault="006714FF" w:rsidP="006714FF">
      <w:pPr>
        <w:pStyle w:val="VDTableTitle"/>
        <w:spacing w:before="240"/>
        <w:rPr>
          <w:b/>
          <w:bCs/>
        </w:rPr>
      </w:pPr>
    </w:p>
    <w:p w14:paraId="0CB2A0A4" w14:textId="77777777" w:rsidR="006714FF" w:rsidRDefault="006714FF" w:rsidP="006714FF">
      <w:pPr>
        <w:pStyle w:val="VDTableTitle"/>
        <w:spacing w:before="240"/>
        <w:rPr>
          <w:b/>
          <w:bCs/>
        </w:rPr>
      </w:pPr>
    </w:p>
    <w:p w14:paraId="3BC97477" w14:textId="77777777" w:rsidR="006714FF" w:rsidRDefault="006714FF" w:rsidP="006714FF">
      <w:pPr>
        <w:pStyle w:val="VDTableTitle"/>
        <w:spacing w:before="240"/>
        <w:rPr>
          <w:b/>
          <w:bCs/>
        </w:rPr>
      </w:pPr>
    </w:p>
    <w:p w14:paraId="3A85DE9C" w14:textId="77777777" w:rsidR="006714FF" w:rsidRDefault="006714FF" w:rsidP="006714FF">
      <w:pPr>
        <w:pStyle w:val="VDTableTitle"/>
        <w:spacing w:before="240"/>
        <w:rPr>
          <w:b/>
          <w:bCs/>
        </w:rPr>
      </w:pPr>
    </w:p>
    <w:p w14:paraId="3CB9D74C" w14:textId="77777777" w:rsidR="006714FF" w:rsidRDefault="006714FF" w:rsidP="006714FF">
      <w:pPr>
        <w:pStyle w:val="VDTableTitle"/>
        <w:spacing w:before="240"/>
        <w:rPr>
          <w:b/>
          <w:bCs/>
        </w:rPr>
      </w:pPr>
    </w:p>
    <w:p w14:paraId="4085432B" w14:textId="77777777" w:rsidR="006714FF" w:rsidRDefault="006714FF" w:rsidP="006714FF">
      <w:pPr>
        <w:pStyle w:val="VDTableTitle"/>
        <w:spacing w:before="240"/>
        <w:rPr>
          <w:b/>
          <w:bCs/>
        </w:rPr>
      </w:pPr>
    </w:p>
    <w:p w14:paraId="536EAA2D" w14:textId="77777777" w:rsidR="006714FF" w:rsidRDefault="006714FF" w:rsidP="006714FF">
      <w:pPr>
        <w:pStyle w:val="VDTableTitle"/>
        <w:spacing w:before="240"/>
        <w:rPr>
          <w:b/>
          <w:bCs/>
        </w:rPr>
      </w:pPr>
    </w:p>
    <w:p w14:paraId="6801D442" w14:textId="77777777" w:rsidR="006714FF" w:rsidRDefault="006714FF" w:rsidP="006714FF">
      <w:pPr>
        <w:pStyle w:val="VDTableTitle"/>
        <w:spacing w:before="240"/>
      </w:pPr>
      <w:r w:rsidRPr="00457B98">
        <w:rPr>
          <w:b/>
          <w:bCs/>
        </w:rPr>
        <w:lastRenderedPageBreak/>
        <w:t xml:space="preserve">Table </w:t>
      </w:r>
      <w:r>
        <w:rPr>
          <w:b/>
          <w:bCs/>
        </w:rPr>
        <w:t>S</w:t>
      </w:r>
      <w:r w:rsidRPr="00457B98">
        <w:rPr>
          <w:b/>
          <w:bCs/>
        </w:rPr>
        <w:t>1</w:t>
      </w:r>
      <w:r>
        <w:rPr>
          <w:b/>
          <w:bCs/>
        </w:rPr>
        <w:t>3</w:t>
      </w:r>
      <w:r w:rsidRPr="00457B98">
        <w:rPr>
          <w:b/>
          <w:bCs/>
        </w:rPr>
        <w:t>.</w:t>
      </w:r>
      <w:r w:rsidRPr="53746A99">
        <w:t xml:space="preserve"> </w:t>
      </w:r>
      <w:r>
        <w:t>Subtypes of the spatial and temporal components of the global offsets that were selected for each VOC and each global offset resolution. The subtypes were selected based on having the highest R-value at a cross-validation radius of t</w:t>
      </w:r>
      <w:r w:rsidRPr="53746A99">
        <w:t>hree</w:t>
      </w:r>
      <w:r>
        <w:t xml:space="preserve"> </w:t>
      </w:r>
      <w:r w:rsidRPr="53746A99">
        <w:t>degree</w:t>
      </w:r>
      <w:r>
        <w:t xml:space="preserve">s. Details about the selected subtypes are shown in boldface in Tables S2-S6. </w:t>
      </w:r>
    </w:p>
    <w:tbl>
      <w:tblPr>
        <w:tblW w:w="9270" w:type="dxa"/>
        <w:tblLook w:val="06A0" w:firstRow="1" w:lastRow="0" w:firstColumn="1" w:lastColumn="0" w:noHBand="1" w:noVBand="1"/>
      </w:tblPr>
      <w:tblGrid>
        <w:gridCol w:w="1584"/>
        <w:gridCol w:w="1350"/>
        <w:gridCol w:w="3168"/>
        <w:gridCol w:w="3168"/>
      </w:tblGrid>
      <w:tr w:rsidR="006714FF" w:rsidRPr="00246CD6" w14:paraId="5D6FEF9C" w14:textId="77777777" w:rsidTr="00B77C41">
        <w:trPr>
          <w:trHeight w:val="302"/>
        </w:trPr>
        <w:tc>
          <w:tcPr>
            <w:tcW w:w="1584" w:type="dxa"/>
            <w:vMerge w:val="restart"/>
            <w:tcBorders>
              <w:top w:val="single" w:sz="4" w:space="0" w:color="auto"/>
              <w:left w:val="single" w:sz="4" w:space="0" w:color="000000"/>
              <w:bottom w:val="single" w:sz="4" w:space="0" w:color="000000" w:themeColor="text1"/>
              <w:right w:val="single" w:sz="18" w:space="0" w:color="auto"/>
            </w:tcBorders>
            <w:tcMar>
              <w:top w:w="15" w:type="dxa"/>
              <w:left w:w="15" w:type="dxa"/>
              <w:right w:w="15" w:type="dxa"/>
            </w:tcMar>
            <w:vAlign w:val="bottom"/>
          </w:tcPr>
          <w:p w14:paraId="2938DCCB" w14:textId="77777777" w:rsidR="006714FF" w:rsidRPr="00246CD6" w:rsidRDefault="006714FF" w:rsidP="00B77C41">
            <w:pPr>
              <w:pStyle w:val="TCTableBody"/>
            </w:pPr>
            <w:r w:rsidRPr="00246CD6">
              <w:t>Species Name</w:t>
            </w:r>
          </w:p>
        </w:tc>
        <w:tc>
          <w:tcPr>
            <w:tcW w:w="7686" w:type="dxa"/>
            <w:gridSpan w:val="3"/>
            <w:tcBorders>
              <w:top w:val="single" w:sz="8" w:space="0" w:color="000000" w:themeColor="text1"/>
              <w:left w:val="single" w:sz="18" w:space="0" w:color="auto"/>
              <w:bottom w:val="single" w:sz="8" w:space="0" w:color="000000" w:themeColor="text1"/>
              <w:right w:val="single" w:sz="8" w:space="0" w:color="000000" w:themeColor="text1"/>
            </w:tcBorders>
            <w:tcMar>
              <w:top w:w="15" w:type="dxa"/>
              <w:left w:w="15" w:type="dxa"/>
              <w:right w:w="15" w:type="dxa"/>
            </w:tcMar>
            <w:vAlign w:val="bottom"/>
          </w:tcPr>
          <w:p w14:paraId="057B120B" w14:textId="77777777" w:rsidR="006714FF" w:rsidRPr="00246CD6" w:rsidRDefault="006714FF" w:rsidP="00B77C41">
            <w:pPr>
              <w:pStyle w:val="TCTableBody"/>
            </w:pPr>
            <w:r w:rsidRPr="00246CD6">
              <w:t>Global Offset Resolution</w:t>
            </w:r>
          </w:p>
        </w:tc>
      </w:tr>
      <w:tr w:rsidR="006714FF" w:rsidRPr="00246CD6" w14:paraId="2EF2BEDE" w14:textId="77777777" w:rsidTr="00B77C41">
        <w:trPr>
          <w:trHeight w:val="302"/>
        </w:trPr>
        <w:tc>
          <w:tcPr>
            <w:tcW w:w="1584" w:type="dxa"/>
            <w:vMerge/>
            <w:tcBorders>
              <w:left w:val="single" w:sz="4" w:space="0" w:color="000000"/>
              <w:bottom w:val="single" w:sz="18" w:space="0" w:color="auto"/>
              <w:right w:val="single" w:sz="18" w:space="0" w:color="auto"/>
            </w:tcBorders>
            <w:tcMar>
              <w:top w:w="15" w:type="dxa"/>
              <w:left w:w="15" w:type="dxa"/>
              <w:right w:w="15" w:type="dxa"/>
            </w:tcMar>
            <w:vAlign w:val="bottom"/>
          </w:tcPr>
          <w:p w14:paraId="2A4815AE" w14:textId="77777777" w:rsidR="006714FF" w:rsidRPr="00246CD6" w:rsidRDefault="006714FF" w:rsidP="00B77C41">
            <w:pPr>
              <w:pStyle w:val="TCTableBody"/>
            </w:pPr>
          </w:p>
        </w:tc>
        <w:tc>
          <w:tcPr>
            <w:tcW w:w="1350" w:type="dxa"/>
            <w:tcBorders>
              <w:top w:val="single" w:sz="8" w:space="0" w:color="000000" w:themeColor="text1"/>
              <w:left w:val="single" w:sz="18" w:space="0" w:color="auto"/>
              <w:bottom w:val="single" w:sz="18" w:space="0" w:color="auto"/>
              <w:right w:val="single" w:sz="8" w:space="0" w:color="000000" w:themeColor="text1"/>
            </w:tcBorders>
            <w:tcMar>
              <w:top w:w="15" w:type="dxa"/>
              <w:left w:w="15" w:type="dxa"/>
              <w:right w:w="15" w:type="dxa"/>
            </w:tcMar>
            <w:vAlign w:val="bottom"/>
          </w:tcPr>
          <w:p w14:paraId="2A747E2B" w14:textId="77777777" w:rsidR="006714FF" w:rsidRPr="00246CD6" w:rsidRDefault="006714FF" w:rsidP="00B77C41">
            <w:pPr>
              <w:pStyle w:val="TCTableBody"/>
            </w:pPr>
            <w:r w:rsidRPr="00246CD6">
              <w:t>Flat</w:t>
            </w:r>
          </w:p>
        </w:tc>
        <w:tc>
          <w:tcPr>
            <w:tcW w:w="3168" w:type="dxa"/>
            <w:tcBorders>
              <w:top w:val="single" w:sz="4" w:space="0" w:color="auto"/>
              <w:left w:val="single" w:sz="8" w:space="0" w:color="000000" w:themeColor="text1"/>
              <w:bottom w:val="single" w:sz="18" w:space="0" w:color="auto"/>
              <w:right w:val="single" w:sz="4" w:space="0" w:color="000000" w:themeColor="text1"/>
            </w:tcBorders>
            <w:tcMar>
              <w:top w:w="15" w:type="dxa"/>
              <w:left w:w="15" w:type="dxa"/>
              <w:right w:w="15" w:type="dxa"/>
            </w:tcMar>
            <w:vAlign w:val="bottom"/>
          </w:tcPr>
          <w:p w14:paraId="5218F5D0" w14:textId="77777777" w:rsidR="006714FF" w:rsidRPr="00246CD6" w:rsidRDefault="006714FF" w:rsidP="00B77C41">
            <w:pPr>
              <w:pStyle w:val="TCTableBody"/>
            </w:pPr>
            <w:r w:rsidRPr="00246CD6">
              <w:t>Medium</w:t>
            </w:r>
          </w:p>
        </w:tc>
        <w:tc>
          <w:tcPr>
            <w:tcW w:w="3168" w:type="dxa"/>
            <w:tcBorders>
              <w:top w:val="single" w:sz="4" w:space="0" w:color="auto"/>
              <w:left w:val="single" w:sz="4" w:space="0" w:color="auto"/>
              <w:bottom w:val="single" w:sz="18" w:space="0" w:color="auto"/>
              <w:right w:val="single" w:sz="8" w:space="0" w:color="000000" w:themeColor="text1"/>
            </w:tcBorders>
            <w:tcMar>
              <w:top w:w="15" w:type="dxa"/>
              <w:left w:w="15" w:type="dxa"/>
              <w:right w:w="15" w:type="dxa"/>
            </w:tcMar>
            <w:vAlign w:val="bottom"/>
          </w:tcPr>
          <w:p w14:paraId="229AFD43" w14:textId="77777777" w:rsidR="006714FF" w:rsidRPr="00246CD6" w:rsidRDefault="006714FF" w:rsidP="00B77C41">
            <w:pPr>
              <w:pStyle w:val="TCTableBody"/>
            </w:pPr>
            <w:r w:rsidRPr="00246CD6">
              <w:t>Fine</w:t>
            </w:r>
          </w:p>
        </w:tc>
      </w:tr>
      <w:tr w:rsidR="006714FF" w:rsidRPr="00246CD6" w14:paraId="157A2FDF" w14:textId="77777777" w:rsidTr="00B77C41">
        <w:trPr>
          <w:trHeight w:val="302"/>
        </w:trPr>
        <w:tc>
          <w:tcPr>
            <w:tcW w:w="1584" w:type="dxa"/>
            <w:tcBorders>
              <w:top w:val="single" w:sz="18" w:space="0" w:color="auto"/>
              <w:left w:val="single" w:sz="4" w:space="0" w:color="auto"/>
              <w:bottom w:val="single" w:sz="4" w:space="0" w:color="auto"/>
              <w:right w:val="single" w:sz="18" w:space="0" w:color="auto"/>
            </w:tcBorders>
            <w:shd w:val="clear" w:color="auto" w:fill="FFFFFF" w:themeFill="background1"/>
            <w:tcMar>
              <w:top w:w="15" w:type="dxa"/>
              <w:left w:w="15" w:type="dxa"/>
              <w:right w:w="15" w:type="dxa"/>
            </w:tcMar>
            <w:vAlign w:val="bottom"/>
          </w:tcPr>
          <w:p w14:paraId="31912816" w14:textId="77777777" w:rsidR="006714FF" w:rsidRPr="00246CD6" w:rsidRDefault="006714FF" w:rsidP="00B77C41">
            <w:pPr>
              <w:pStyle w:val="TCTableBody"/>
            </w:pPr>
            <w:r w:rsidRPr="00246CD6">
              <w:t>Styrene</w:t>
            </w:r>
          </w:p>
        </w:tc>
        <w:tc>
          <w:tcPr>
            <w:tcW w:w="1350" w:type="dxa"/>
            <w:tcBorders>
              <w:top w:val="single" w:sz="18" w:space="0" w:color="auto"/>
              <w:left w:val="single" w:sz="18"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8BB9AE0" w14:textId="77777777" w:rsidR="006714FF" w:rsidRPr="00246CD6" w:rsidRDefault="006714FF" w:rsidP="00B77C41">
            <w:pPr>
              <w:pStyle w:val="TCTableBody"/>
            </w:pPr>
            <w:r w:rsidRPr="00246CD6">
              <w:t>Constant</w:t>
            </w:r>
          </w:p>
        </w:tc>
        <w:tc>
          <w:tcPr>
            <w:tcW w:w="3168" w:type="dxa"/>
            <w:tcBorders>
              <w:top w:val="single" w:sz="1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03156C5" w14:textId="77777777" w:rsidR="006714FF" w:rsidRPr="00246CD6" w:rsidRDefault="006714FF" w:rsidP="00B77C41">
            <w:pPr>
              <w:pStyle w:val="TCTableBody"/>
            </w:pPr>
            <w:r w:rsidRPr="00246CD6">
              <w:t>Spatial KS Domain-wide &amp;</w:t>
            </w:r>
          </w:p>
          <w:p w14:paraId="3FDAA3C6" w14:textId="77777777" w:rsidR="006714FF" w:rsidRPr="00246CD6" w:rsidRDefault="006714FF" w:rsidP="00B77C41">
            <w:pPr>
              <w:pStyle w:val="TCTableBody"/>
            </w:pPr>
            <w:r w:rsidRPr="00246CD6">
              <w:t>Temporal KS Domain-wide</w:t>
            </w:r>
          </w:p>
        </w:tc>
        <w:tc>
          <w:tcPr>
            <w:tcW w:w="3168" w:type="dxa"/>
            <w:tcBorders>
              <w:top w:val="single" w:sz="18"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C9C576" w14:textId="77777777" w:rsidR="006714FF" w:rsidRPr="00246CD6" w:rsidRDefault="006714FF" w:rsidP="00B77C41">
            <w:pPr>
              <w:pStyle w:val="TCTableBody"/>
            </w:pPr>
            <w:r w:rsidRPr="00246CD6">
              <w:t>Spatial KS Local &amp;</w:t>
            </w:r>
          </w:p>
          <w:p w14:paraId="74A9143C" w14:textId="77777777" w:rsidR="006714FF" w:rsidRPr="00246CD6" w:rsidRDefault="006714FF" w:rsidP="00B77C41">
            <w:pPr>
              <w:pStyle w:val="TCTableBody"/>
            </w:pPr>
            <w:r w:rsidRPr="00246CD6">
              <w:t>Temporal KS Local</w:t>
            </w:r>
          </w:p>
        </w:tc>
      </w:tr>
      <w:tr w:rsidR="006714FF" w:rsidRPr="00246CD6" w14:paraId="4F2B9A69" w14:textId="77777777" w:rsidTr="00B77C41">
        <w:trPr>
          <w:trHeight w:val="302"/>
        </w:trPr>
        <w:tc>
          <w:tcPr>
            <w:tcW w:w="1584" w:type="dxa"/>
            <w:tcBorders>
              <w:top w:val="single" w:sz="4" w:space="0" w:color="auto"/>
              <w:left w:val="single" w:sz="4" w:space="0" w:color="auto"/>
              <w:bottom w:val="single" w:sz="4" w:space="0" w:color="auto"/>
              <w:right w:val="single" w:sz="18" w:space="0" w:color="auto"/>
            </w:tcBorders>
            <w:shd w:val="clear" w:color="auto" w:fill="FFFFFF" w:themeFill="background1"/>
            <w:tcMar>
              <w:top w:w="15" w:type="dxa"/>
              <w:left w:w="15" w:type="dxa"/>
              <w:right w:w="15" w:type="dxa"/>
            </w:tcMar>
            <w:vAlign w:val="bottom"/>
          </w:tcPr>
          <w:p w14:paraId="0B8B2B0C" w14:textId="77777777" w:rsidR="006714FF" w:rsidRPr="00246CD6" w:rsidRDefault="006714FF" w:rsidP="00B77C41">
            <w:pPr>
              <w:pStyle w:val="TCTableBody"/>
            </w:pPr>
            <w:r w:rsidRPr="00246CD6">
              <w:t>Benzene</w:t>
            </w:r>
          </w:p>
        </w:tc>
        <w:tc>
          <w:tcPr>
            <w:tcW w:w="1350" w:type="dxa"/>
            <w:tcBorders>
              <w:top w:val="single" w:sz="4" w:space="0" w:color="auto"/>
              <w:left w:val="single" w:sz="18"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4FF2533" w14:textId="77777777" w:rsidR="006714FF" w:rsidRPr="00246CD6" w:rsidRDefault="006714FF" w:rsidP="00B77C41">
            <w:pPr>
              <w:pStyle w:val="TCTableBody"/>
            </w:pPr>
            <w:r w:rsidRPr="00246CD6">
              <w:t>Constant</w:t>
            </w:r>
          </w:p>
        </w:tc>
        <w:tc>
          <w:tcPr>
            <w:tcW w:w="31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B431E6B" w14:textId="77777777" w:rsidR="006714FF" w:rsidRPr="00246CD6" w:rsidRDefault="006714FF" w:rsidP="00B77C41">
            <w:pPr>
              <w:pStyle w:val="TCTableBody"/>
            </w:pPr>
            <w:r w:rsidRPr="00246CD6">
              <w:t>Spatial LUR &amp;</w:t>
            </w:r>
          </w:p>
          <w:p w14:paraId="58F2E9AD" w14:textId="77777777" w:rsidR="006714FF" w:rsidRPr="00246CD6" w:rsidRDefault="006714FF" w:rsidP="00B77C41">
            <w:pPr>
              <w:pStyle w:val="TCTableBody"/>
            </w:pPr>
            <w:r w:rsidRPr="00246CD6">
              <w:t>Temporal KS Domain-wide</w:t>
            </w:r>
          </w:p>
        </w:tc>
        <w:tc>
          <w:tcPr>
            <w:tcW w:w="31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9FB86F5" w14:textId="77777777" w:rsidR="006714FF" w:rsidRPr="00246CD6" w:rsidRDefault="006714FF" w:rsidP="00B77C41">
            <w:pPr>
              <w:pStyle w:val="TCTableBody"/>
            </w:pPr>
            <w:r w:rsidRPr="00246CD6">
              <w:t>Spatial LUR &amp;</w:t>
            </w:r>
          </w:p>
          <w:p w14:paraId="41756189" w14:textId="77777777" w:rsidR="006714FF" w:rsidRPr="00246CD6" w:rsidRDefault="006714FF" w:rsidP="00B77C41">
            <w:pPr>
              <w:pStyle w:val="TCTableBody"/>
            </w:pPr>
            <w:r w:rsidRPr="00246CD6">
              <w:t>Temporal KS Semi-local</w:t>
            </w:r>
          </w:p>
        </w:tc>
      </w:tr>
      <w:tr w:rsidR="006714FF" w:rsidRPr="00246CD6" w14:paraId="2D088083" w14:textId="77777777" w:rsidTr="00B77C41">
        <w:trPr>
          <w:trHeight w:val="302"/>
        </w:trPr>
        <w:tc>
          <w:tcPr>
            <w:tcW w:w="1584" w:type="dxa"/>
            <w:tcBorders>
              <w:top w:val="single" w:sz="4" w:space="0" w:color="auto"/>
              <w:left w:val="single" w:sz="4" w:space="0" w:color="auto"/>
              <w:bottom w:val="single" w:sz="4" w:space="0" w:color="auto"/>
              <w:right w:val="single" w:sz="18" w:space="0" w:color="auto"/>
            </w:tcBorders>
            <w:shd w:val="clear" w:color="auto" w:fill="FFFFFF" w:themeFill="background1"/>
            <w:tcMar>
              <w:top w:w="15" w:type="dxa"/>
              <w:left w:w="15" w:type="dxa"/>
              <w:right w:w="15" w:type="dxa"/>
            </w:tcMar>
            <w:vAlign w:val="bottom"/>
          </w:tcPr>
          <w:p w14:paraId="56CF9F96" w14:textId="77777777" w:rsidR="006714FF" w:rsidRPr="00246CD6" w:rsidRDefault="006714FF" w:rsidP="00B77C41">
            <w:pPr>
              <w:pStyle w:val="TCTableBody"/>
            </w:pPr>
            <w:r w:rsidRPr="00246CD6">
              <w:t>Toluene</w:t>
            </w:r>
          </w:p>
        </w:tc>
        <w:tc>
          <w:tcPr>
            <w:tcW w:w="1350" w:type="dxa"/>
            <w:tcBorders>
              <w:top w:val="single" w:sz="4" w:space="0" w:color="auto"/>
              <w:left w:val="single" w:sz="18"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62A177A" w14:textId="77777777" w:rsidR="006714FF" w:rsidRPr="00246CD6" w:rsidRDefault="006714FF" w:rsidP="00B77C41">
            <w:pPr>
              <w:pStyle w:val="TCTableBody"/>
            </w:pPr>
            <w:r w:rsidRPr="00246CD6">
              <w:t>Constant</w:t>
            </w:r>
          </w:p>
        </w:tc>
        <w:tc>
          <w:tcPr>
            <w:tcW w:w="31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7D3A94B" w14:textId="77777777" w:rsidR="006714FF" w:rsidRPr="00246CD6" w:rsidRDefault="006714FF" w:rsidP="00B77C41">
            <w:pPr>
              <w:pStyle w:val="TCTableBody"/>
            </w:pPr>
            <w:r w:rsidRPr="00246CD6">
              <w:t>Spatial KS Domain-wide &amp;</w:t>
            </w:r>
          </w:p>
          <w:p w14:paraId="1E127365" w14:textId="77777777" w:rsidR="006714FF" w:rsidRPr="00246CD6" w:rsidRDefault="006714FF" w:rsidP="00B77C41">
            <w:pPr>
              <w:pStyle w:val="TCTableBody"/>
            </w:pPr>
            <w:r w:rsidRPr="00246CD6">
              <w:t>Temporal KS Domain-wide</w:t>
            </w:r>
          </w:p>
        </w:tc>
        <w:tc>
          <w:tcPr>
            <w:tcW w:w="31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4E1B8AA" w14:textId="77777777" w:rsidR="006714FF" w:rsidRPr="00246CD6" w:rsidRDefault="006714FF" w:rsidP="00B77C41">
            <w:pPr>
              <w:pStyle w:val="TCTableBody"/>
            </w:pPr>
            <w:r w:rsidRPr="00246CD6">
              <w:t>Spatial KS Local &amp;</w:t>
            </w:r>
          </w:p>
          <w:p w14:paraId="22763CD5" w14:textId="77777777" w:rsidR="006714FF" w:rsidRPr="00246CD6" w:rsidRDefault="006714FF" w:rsidP="00B77C41">
            <w:pPr>
              <w:pStyle w:val="TCTableBody"/>
            </w:pPr>
            <w:r w:rsidRPr="00246CD6">
              <w:t>Temporal KS Local</w:t>
            </w:r>
          </w:p>
        </w:tc>
      </w:tr>
      <w:tr w:rsidR="006714FF" w:rsidRPr="00246CD6" w14:paraId="61CCBD25" w14:textId="77777777" w:rsidTr="00B77C41">
        <w:trPr>
          <w:trHeight w:val="302"/>
        </w:trPr>
        <w:tc>
          <w:tcPr>
            <w:tcW w:w="1584" w:type="dxa"/>
            <w:tcBorders>
              <w:top w:val="single" w:sz="4" w:space="0" w:color="auto"/>
              <w:left w:val="single" w:sz="4" w:space="0" w:color="auto"/>
              <w:bottom w:val="single" w:sz="4" w:space="0" w:color="auto"/>
              <w:right w:val="single" w:sz="18" w:space="0" w:color="auto"/>
            </w:tcBorders>
            <w:shd w:val="clear" w:color="auto" w:fill="FFFFFF" w:themeFill="background1"/>
            <w:tcMar>
              <w:top w:w="15" w:type="dxa"/>
              <w:left w:w="15" w:type="dxa"/>
              <w:right w:w="15" w:type="dxa"/>
            </w:tcMar>
            <w:vAlign w:val="bottom"/>
          </w:tcPr>
          <w:p w14:paraId="3A36DFDB" w14:textId="77777777" w:rsidR="006714FF" w:rsidRPr="00246CD6" w:rsidRDefault="006714FF" w:rsidP="00B77C41">
            <w:pPr>
              <w:pStyle w:val="TCTableBody"/>
            </w:pPr>
            <w:r w:rsidRPr="00246CD6">
              <w:t>Ethylbenzene</w:t>
            </w:r>
          </w:p>
        </w:tc>
        <w:tc>
          <w:tcPr>
            <w:tcW w:w="1350" w:type="dxa"/>
            <w:tcBorders>
              <w:top w:val="single" w:sz="4" w:space="0" w:color="auto"/>
              <w:left w:val="single" w:sz="18"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636AC39" w14:textId="77777777" w:rsidR="006714FF" w:rsidRPr="00246CD6" w:rsidRDefault="006714FF" w:rsidP="00B77C41">
            <w:pPr>
              <w:pStyle w:val="TCTableBody"/>
            </w:pPr>
            <w:r w:rsidRPr="00246CD6">
              <w:t>Constant</w:t>
            </w:r>
          </w:p>
        </w:tc>
        <w:tc>
          <w:tcPr>
            <w:tcW w:w="31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A79F47A" w14:textId="77777777" w:rsidR="006714FF" w:rsidRPr="00246CD6" w:rsidRDefault="006714FF" w:rsidP="00B77C41">
            <w:pPr>
              <w:pStyle w:val="TCTableBody"/>
            </w:pPr>
            <w:r w:rsidRPr="00246CD6">
              <w:t>Spatial KS Domain-wide &amp;</w:t>
            </w:r>
          </w:p>
          <w:p w14:paraId="13A4CA22" w14:textId="77777777" w:rsidR="006714FF" w:rsidRPr="00246CD6" w:rsidRDefault="006714FF" w:rsidP="00B77C41">
            <w:pPr>
              <w:pStyle w:val="TCTableBody"/>
            </w:pPr>
            <w:r w:rsidRPr="00246CD6">
              <w:t>Temporal KS Domain-wide</w:t>
            </w:r>
          </w:p>
        </w:tc>
        <w:tc>
          <w:tcPr>
            <w:tcW w:w="31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3EB3DB7" w14:textId="77777777" w:rsidR="006714FF" w:rsidRPr="00246CD6" w:rsidRDefault="006714FF" w:rsidP="00B77C41">
            <w:pPr>
              <w:pStyle w:val="TCTableBody"/>
            </w:pPr>
            <w:r w:rsidRPr="00246CD6">
              <w:t>Spatial KS Local &amp;</w:t>
            </w:r>
          </w:p>
          <w:p w14:paraId="62AB5445" w14:textId="77777777" w:rsidR="006714FF" w:rsidRPr="00246CD6" w:rsidRDefault="006714FF" w:rsidP="00B77C41">
            <w:pPr>
              <w:pStyle w:val="TCTableBody"/>
            </w:pPr>
            <w:r w:rsidRPr="00246CD6">
              <w:t>Temporal KS Local</w:t>
            </w:r>
          </w:p>
        </w:tc>
      </w:tr>
      <w:tr w:rsidR="006714FF" w:rsidRPr="00246CD6" w14:paraId="684AE9FA" w14:textId="77777777" w:rsidTr="00B77C41">
        <w:trPr>
          <w:trHeight w:val="300"/>
        </w:trPr>
        <w:tc>
          <w:tcPr>
            <w:tcW w:w="1584" w:type="dxa"/>
            <w:tcBorders>
              <w:top w:val="single" w:sz="4" w:space="0" w:color="auto"/>
              <w:left w:val="single" w:sz="4" w:space="0" w:color="auto"/>
              <w:bottom w:val="single" w:sz="4" w:space="0" w:color="auto"/>
              <w:right w:val="single" w:sz="18" w:space="0" w:color="auto"/>
            </w:tcBorders>
            <w:shd w:val="clear" w:color="auto" w:fill="FFFFFF" w:themeFill="background1"/>
            <w:tcMar>
              <w:top w:w="15" w:type="dxa"/>
              <w:left w:w="15" w:type="dxa"/>
              <w:right w:w="15" w:type="dxa"/>
            </w:tcMar>
            <w:vAlign w:val="bottom"/>
          </w:tcPr>
          <w:p w14:paraId="06812BBB" w14:textId="77777777" w:rsidR="006714FF" w:rsidRPr="00246CD6" w:rsidRDefault="006714FF" w:rsidP="00B77C41">
            <w:pPr>
              <w:pStyle w:val="TCTableBody"/>
            </w:pPr>
            <w:r w:rsidRPr="00246CD6">
              <w:t>Xylenes</w:t>
            </w:r>
          </w:p>
        </w:tc>
        <w:tc>
          <w:tcPr>
            <w:tcW w:w="1350" w:type="dxa"/>
            <w:tcBorders>
              <w:top w:val="single" w:sz="4" w:space="0" w:color="auto"/>
              <w:left w:val="single" w:sz="18"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4775F01" w14:textId="77777777" w:rsidR="006714FF" w:rsidRPr="00246CD6" w:rsidRDefault="006714FF" w:rsidP="00B77C41">
            <w:pPr>
              <w:pStyle w:val="TCTableBody"/>
            </w:pPr>
            <w:r w:rsidRPr="00246CD6">
              <w:t>Constant</w:t>
            </w:r>
          </w:p>
        </w:tc>
        <w:tc>
          <w:tcPr>
            <w:tcW w:w="31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2847A70" w14:textId="77777777" w:rsidR="006714FF" w:rsidRPr="00246CD6" w:rsidRDefault="006714FF" w:rsidP="00B77C41">
            <w:pPr>
              <w:pStyle w:val="TCTableBody"/>
            </w:pPr>
            <w:r w:rsidRPr="00246CD6">
              <w:t>Spatial KS Domain-wide &amp;</w:t>
            </w:r>
          </w:p>
          <w:p w14:paraId="7F59E2B1" w14:textId="77777777" w:rsidR="006714FF" w:rsidRPr="00246CD6" w:rsidRDefault="006714FF" w:rsidP="00B77C41">
            <w:pPr>
              <w:pStyle w:val="TCTableBody"/>
            </w:pPr>
            <w:r w:rsidRPr="00246CD6">
              <w:t>Temporal KS Domain-wide</w:t>
            </w:r>
          </w:p>
        </w:tc>
        <w:tc>
          <w:tcPr>
            <w:tcW w:w="31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65A8F7F" w14:textId="77777777" w:rsidR="006714FF" w:rsidRPr="00246CD6" w:rsidRDefault="006714FF" w:rsidP="00B77C41">
            <w:pPr>
              <w:pStyle w:val="TCTableBody"/>
            </w:pPr>
            <w:r w:rsidRPr="00246CD6">
              <w:t>Spatial KS Local &amp;</w:t>
            </w:r>
          </w:p>
          <w:p w14:paraId="4B3FC3E4" w14:textId="77777777" w:rsidR="006714FF" w:rsidRPr="00246CD6" w:rsidRDefault="006714FF" w:rsidP="00B77C41">
            <w:pPr>
              <w:pStyle w:val="TCTableBody"/>
            </w:pPr>
            <w:r w:rsidRPr="00246CD6">
              <w:t>Temporal KS Local</w:t>
            </w:r>
          </w:p>
        </w:tc>
      </w:tr>
    </w:tbl>
    <w:p w14:paraId="1CFF0818" w14:textId="77777777" w:rsidR="006714FF" w:rsidRPr="00570E2E" w:rsidRDefault="006714FF" w:rsidP="006714FF"/>
    <w:p w14:paraId="7EE64640" w14:textId="77777777" w:rsidR="006714FF" w:rsidRPr="005D115D" w:rsidRDefault="006714FF" w:rsidP="006714FF">
      <w:pPr>
        <w:pStyle w:val="TESupportingInformation"/>
        <w:rPr>
          <w:b/>
          <w:bCs/>
        </w:rPr>
      </w:pPr>
      <w:r w:rsidRPr="00E91DFB">
        <w:rPr>
          <w:b/>
          <w:bCs/>
        </w:rPr>
        <w:t>S</w:t>
      </w:r>
      <w:r>
        <w:rPr>
          <w:b/>
          <w:bCs/>
        </w:rPr>
        <w:t>9</w:t>
      </w:r>
      <w:r w:rsidRPr="00E91DFB">
        <w:rPr>
          <w:b/>
          <w:bCs/>
        </w:rPr>
        <w:t xml:space="preserve">. Complete Validation Results Within the </w:t>
      </w:r>
      <w:proofErr w:type="spellStart"/>
      <w:r w:rsidRPr="00E91DFB">
        <w:rPr>
          <w:b/>
          <w:bCs/>
        </w:rPr>
        <w:t>CAMx</w:t>
      </w:r>
      <w:proofErr w:type="spellEnd"/>
      <w:r w:rsidRPr="00E91DFB">
        <w:rPr>
          <w:b/>
          <w:bCs/>
        </w:rPr>
        <w:t>-modeled Domain</w:t>
      </w:r>
    </w:p>
    <w:p w14:paraId="6321F4AB" w14:textId="77777777" w:rsidR="006714FF" w:rsidRDefault="006714FF" w:rsidP="006714FF">
      <w:pPr>
        <w:pStyle w:val="TAMainText"/>
        <w:jc w:val="left"/>
      </w:pPr>
      <w:r>
        <w:t xml:space="preserve">For ease of interpretation, we henceforward refer to </w:t>
      </w:r>
      <m:oMath>
        <m:sSub>
          <m:sSubPr>
            <m:ctrlPr>
              <w:rPr>
                <w:rFonts w:ascii="Cambria Math" w:hAnsi="Cambria Math"/>
                <w:i/>
              </w:rPr>
            </m:ctrlPr>
          </m:sSubPr>
          <m:e>
            <m:r>
              <w:rPr>
                <w:rFonts w:ascii="Cambria Math" w:hAnsi="Cambria Math"/>
              </w:rPr>
              <m:t>ym</m:t>
            </m:r>
          </m:e>
          <m:sub>
            <m:r>
              <w:rPr>
                <w:rFonts w:ascii="Cambria Math" w:hAnsi="Cambria Math"/>
              </w:rPr>
              <m:t>k</m:t>
            </m:r>
          </m:sub>
        </m:sSub>
      </m:oMath>
      <w:r>
        <w:t xml:space="preserve"> as </w:t>
      </w:r>
      <m:oMath>
        <m:sSub>
          <m:sSubPr>
            <m:ctrlPr>
              <w:rPr>
                <w:rFonts w:ascii="Cambria Math" w:hAnsi="Cambria Math"/>
                <w:i/>
              </w:rPr>
            </m:ctrlPr>
          </m:sSubPr>
          <m:e>
            <m:r>
              <w:rPr>
                <w:rFonts w:ascii="Cambria Math" w:hAnsi="Cambria Math"/>
              </w:rPr>
              <m:t>logVOC</m:t>
            </m:r>
          </m:e>
          <m:sub>
            <m:r>
              <w:rPr>
                <w:rFonts w:ascii="Cambria Math" w:hAnsi="Cambria Math"/>
              </w:rPr>
              <m:t>mean</m:t>
            </m:r>
          </m:sub>
        </m:sSub>
      </m:oMath>
      <w:r>
        <w:t xml:space="preserve"> and to </w:t>
      </w:r>
      <m:oMath>
        <m:sSub>
          <m:sSubPr>
            <m:ctrlPr>
              <w:rPr>
                <w:rFonts w:ascii="Cambria Math" w:hAnsi="Cambria Math"/>
                <w:i/>
              </w:rPr>
            </m:ctrlPr>
          </m:sSubPr>
          <m:e>
            <m:r>
              <w:rPr>
                <w:rFonts w:ascii="Cambria Math" w:hAnsi="Cambria Math"/>
              </w:rPr>
              <m:t>yv</m:t>
            </m:r>
          </m:e>
          <m:sub>
            <m:r>
              <w:rPr>
                <w:rFonts w:ascii="Cambria Math" w:hAnsi="Cambria Math"/>
              </w:rPr>
              <m:t>k</m:t>
            </m:r>
          </m:sub>
        </m:sSub>
      </m:oMath>
      <w:r>
        <w:t xml:space="preserve"> as </w:t>
      </w:r>
      <m:oMath>
        <m:sSub>
          <m:sSubPr>
            <m:ctrlPr>
              <w:rPr>
                <w:rFonts w:ascii="Cambria Math" w:hAnsi="Cambria Math"/>
                <w:i/>
              </w:rPr>
            </m:ctrlPr>
          </m:sSubPr>
          <m:e>
            <m:r>
              <w:rPr>
                <w:rFonts w:ascii="Cambria Math" w:hAnsi="Cambria Math"/>
              </w:rPr>
              <m:t>logVOC</m:t>
            </m:r>
          </m:e>
          <m:sub>
            <m:r>
              <w:rPr>
                <w:rFonts w:ascii="Cambria Math" w:hAnsi="Cambria Math"/>
              </w:rPr>
              <m:t>variance</m:t>
            </m:r>
          </m:sub>
        </m:sSub>
      </m:oMath>
      <w:r>
        <w:t xml:space="preserve">. Then, it follows that the BME PDF (equation 4) could similarly be defined as </w:t>
      </w:r>
      <m:oMath>
        <m:sSub>
          <m:sSubPr>
            <m:ctrlPr>
              <w:rPr>
                <w:rFonts w:ascii="Cambria Math" w:hAnsi="Cambria Math"/>
                <w:i/>
              </w:rPr>
            </m:ctrlPr>
          </m:sSubPr>
          <m:e>
            <m:r>
              <w:rPr>
                <w:rFonts w:ascii="Cambria Math" w:hAnsi="Cambria Math"/>
              </w:rPr>
              <m:t>Y</m:t>
            </m:r>
          </m:e>
          <m:sub>
            <m:r>
              <w:rPr>
                <w:rFonts w:ascii="Cambria Math" w:hAnsi="Cambria Math"/>
              </w:rPr>
              <m:t>k</m:t>
            </m:r>
          </m:sub>
        </m:sSub>
        <m:r>
          <w:rPr>
            <w:rFonts w:ascii="Cambria Math" w:hAnsi="Cambria Math"/>
          </w:rPr>
          <m:t>~Gaussian(</m:t>
        </m:r>
        <m:sSub>
          <m:sSubPr>
            <m:ctrlPr>
              <w:rPr>
                <w:rFonts w:ascii="Cambria Math" w:hAnsi="Cambria Math"/>
                <w:i/>
              </w:rPr>
            </m:ctrlPr>
          </m:sSubPr>
          <m:e>
            <m:r>
              <w:rPr>
                <w:rFonts w:ascii="Cambria Math" w:hAnsi="Cambria Math"/>
              </w:rPr>
              <m:t>logVOC</m:t>
            </m:r>
          </m:e>
          <m:sub>
            <m:r>
              <w:rPr>
                <w:rFonts w:ascii="Cambria Math" w:hAnsi="Cambria Math"/>
              </w:rPr>
              <m:t>mean</m:t>
            </m:r>
          </m:sub>
        </m:sSub>
        <m:r>
          <w:rPr>
            <w:rFonts w:ascii="Cambria Math" w:hAnsi="Cambria Math"/>
          </w:rPr>
          <m:t>,</m:t>
        </m:r>
        <m:sSub>
          <m:sSubPr>
            <m:ctrlPr>
              <w:rPr>
                <w:rFonts w:ascii="Cambria Math" w:hAnsi="Cambria Math"/>
                <w:i/>
              </w:rPr>
            </m:ctrlPr>
          </m:sSubPr>
          <m:e>
            <m:r>
              <w:rPr>
                <w:rFonts w:ascii="Cambria Math" w:hAnsi="Cambria Math"/>
              </w:rPr>
              <m:t>logVOC</m:t>
            </m:r>
          </m:e>
          <m:sub>
            <m:r>
              <w:rPr>
                <w:rFonts w:ascii="Cambria Math" w:hAnsi="Cambria Math"/>
              </w:rPr>
              <m:t>variance</m:t>
            </m:r>
          </m:sub>
        </m:sSub>
        <m:r>
          <w:rPr>
            <w:rFonts w:ascii="Cambria Math" w:hAnsi="Cambria Math"/>
          </w:rPr>
          <m:t>)</m:t>
        </m:r>
      </m:oMath>
      <w:r>
        <w:t xml:space="preserve"> and </w:t>
      </w:r>
      <m:oMath>
        <m:sSub>
          <m:sSubPr>
            <m:ctrlPr>
              <w:rPr>
                <w:rFonts w:ascii="Cambria Math" w:hAnsi="Cambria Math"/>
                <w:i/>
              </w:rPr>
            </m:ctrlPr>
          </m:sSubPr>
          <m:e>
            <m:r>
              <w:rPr>
                <w:rFonts w:ascii="Cambria Math" w:hAnsi="Cambria Math"/>
              </w:rPr>
              <m:t>Z</m:t>
            </m:r>
          </m:e>
          <m:sub>
            <m:r>
              <w:rPr>
                <w:rFonts w:ascii="Cambria Math" w:hAnsi="Cambria Math"/>
              </w:rPr>
              <m:t>k</m:t>
            </m:r>
          </m:sub>
        </m:sSub>
        <m:r>
          <w:rPr>
            <w:rFonts w:ascii="Cambria Math" w:hAnsi="Cambria Math"/>
          </w:rPr>
          <m:t>=</m:t>
        </m:r>
        <m:r>
          <m:rPr>
            <m:sty m:val="p"/>
          </m:rPr>
          <w:rPr>
            <w:rFonts w:ascii="Cambria Math" w:hAnsi="Cambria Math"/>
          </w:rPr>
          <m:t>exp⁡</m:t>
        </m:r>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k</m:t>
            </m:r>
          </m:sub>
        </m:sSub>
        <m:r>
          <w:rPr>
            <w:rFonts w:ascii="Cambria Math" w:hAnsi="Cambria Math"/>
          </w:rPr>
          <m:t>)</m:t>
        </m:r>
      </m:oMath>
      <w:r>
        <w:rPr>
          <w:bCs/>
        </w:rPr>
        <w:t xml:space="preserve"> correspondingly h</w:t>
      </w:r>
      <w:r>
        <w:t>as a median, mean, and variance given by</w:t>
      </w:r>
    </w:p>
    <w:p w14:paraId="28B421DC" w14:textId="77777777" w:rsidR="006714FF" w:rsidRPr="00615593" w:rsidRDefault="00000000" w:rsidP="006714FF">
      <w:pPr>
        <w:pStyle w:val="TAMainText"/>
        <w:ind w:firstLine="0"/>
        <w:jc w:val="left"/>
      </w:pPr>
      <m:oMath>
        <m:sSub>
          <m:sSubPr>
            <m:ctrlPr>
              <w:rPr>
                <w:rFonts w:ascii="Cambria Math" w:hAnsi="Cambria Math"/>
                <w:i/>
              </w:rPr>
            </m:ctrlPr>
          </m:sSubPr>
          <m:e>
            <m:r>
              <w:rPr>
                <w:rFonts w:ascii="Cambria Math" w:hAnsi="Cambria Math"/>
              </w:rPr>
              <m:t>VOC</m:t>
            </m:r>
          </m:e>
          <m:sub>
            <m:r>
              <w:rPr>
                <w:rFonts w:ascii="Cambria Math" w:hAnsi="Cambria Math"/>
              </w:rPr>
              <m:t>median</m:t>
            </m:r>
          </m:sub>
        </m:sSub>
        <m:r>
          <w:rPr>
            <w:rFonts w:ascii="Cambria Math" w:hAnsi="Cambria Math"/>
          </w:rPr>
          <m:t>=</m:t>
        </m:r>
        <m:sSub>
          <m:sSubPr>
            <m:ctrlPr>
              <w:rPr>
                <w:rFonts w:ascii="Cambria Math" w:hAnsi="Cambria Math"/>
                <w:i/>
              </w:rPr>
            </m:ctrlPr>
          </m:sSubPr>
          <m:e>
            <m:r>
              <m:rPr>
                <m:sty m:val="p"/>
              </m:rPr>
              <w:rPr>
                <w:rFonts w:ascii="Cambria Math" w:hAnsi="Cambria Math"/>
              </w:rPr>
              <m:t>exp⁡</m:t>
            </m:r>
            <m:r>
              <w:rPr>
                <w:rFonts w:ascii="Cambria Math" w:hAnsi="Cambria Math"/>
              </w:rPr>
              <m:t>(logVOC</m:t>
            </m:r>
          </m:e>
          <m:sub>
            <m:r>
              <w:rPr>
                <w:rFonts w:ascii="Cambria Math" w:hAnsi="Cambria Math"/>
              </w:rPr>
              <m:t>mean</m:t>
            </m:r>
          </m:sub>
        </m:sSub>
        <m:r>
          <w:rPr>
            <w:rFonts w:ascii="Cambria Math" w:hAnsi="Cambria Math"/>
          </w:rPr>
          <m:t>)</m:t>
        </m:r>
      </m:oMath>
      <w:r w:rsidR="006714FF">
        <w:tab/>
      </w:r>
      <w:r w:rsidR="006714FF" w:rsidRPr="00615593">
        <w:t xml:space="preserve"> </w:t>
      </w:r>
      <w:r w:rsidR="006714FF">
        <w:tab/>
      </w:r>
      <w:r w:rsidR="006714FF">
        <w:tab/>
      </w:r>
      <w:r w:rsidR="006714FF">
        <w:tab/>
      </w:r>
      <w:r w:rsidR="006714FF">
        <w:tab/>
      </w:r>
      <w:r w:rsidR="006714FF">
        <w:tab/>
      </w:r>
      <w:r w:rsidR="006714FF">
        <w:tab/>
        <w:t xml:space="preserve">    </w:t>
      </w:r>
      <w:r w:rsidR="006714FF" w:rsidRPr="00615593">
        <w:t>(</w:t>
      </w:r>
      <w:r w:rsidR="006714FF">
        <w:t>Eqn. S3</w:t>
      </w:r>
      <w:r w:rsidR="006714FF" w:rsidRPr="00615593">
        <w:t>)</w:t>
      </w:r>
    </w:p>
    <w:p w14:paraId="2183B151" w14:textId="77777777" w:rsidR="006714FF" w:rsidRPr="00615593" w:rsidRDefault="00000000" w:rsidP="006714FF">
      <w:pPr>
        <w:pStyle w:val="TAMainText"/>
        <w:ind w:firstLine="0"/>
        <w:jc w:val="left"/>
      </w:pPr>
      <m:oMath>
        <m:sSub>
          <m:sSubPr>
            <m:ctrlPr>
              <w:rPr>
                <w:rFonts w:ascii="Cambria Math" w:hAnsi="Cambria Math"/>
                <w:i/>
              </w:rPr>
            </m:ctrlPr>
          </m:sSubPr>
          <m:e>
            <m:r>
              <w:rPr>
                <w:rFonts w:ascii="Cambria Math" w:hAnsi="Cambria Math"/>
              </w:rPr>
              <m:t>VOC</m:t>
            </m:r>
          </m:e>
          <m:sub>
            <m:r>
              <w:rPr>
                <w:rFonts w:ascii="Cambria Math" w:hAnsi="Cambria Math"/>
              </w:rPr>
              <m:t>mean</m:t>
            </m:r>
          </m:sub>
        </m:sSub>
        <m:r>
          <w:rPr>
            <w:rFonts w:ascii="Cambria Math" w:hAnsi="Cambria Math"/>
          </w:rPr>
          <m:t>=</m:t>
        </m:r>
        <m:r>
          <m:rPr>
            <m:sty m:val="p"/>
          </m:rPr>
          <w:rPr>
            <w:rFonts w:ascii="Cambria Math" w:hAnsi="Cambria Math"/>
          </w:rPr>
          <m:t>exp⁡</m:t>
        </m:r>
        <m:r>
          <w:rPr>
            <w:rFonts w:ascii="Cambria Math" w:hAnsi="Cambria Math"/>
          </w:rPr>
          <m:t>(</m:t>
        </m:r>
        <m:sSub>
          <m:sSubPr>
            <m:ctrlPr>
              <w:rPr>
                <w:rFonts w:ascii="Cambria Math" w:hAnsi="Cambria Math"/>
                <w:i/>
              </w:rPr>
            </m:ctrlPr>
          </m:sSubPr>
          <m:e>
            <m:r>
              <w:rPr>
                <w:rFonts w:ascii="Cambria Math" w:hAnsi="Cambria Math"/>
              </w:rPr>
              <m:t>logVOC</m:t>
            </m:r>
          </m:e>
          <m:sub>
            <m:r>
              <w:rPr>
                <w:rFonts w:ascii="Cambria Math" w:hAnsi="Cambria Math"/>
              </w:rPr>
              <m:t>mean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logVOC</m:t>
                </m:r>
              </m:e>
              <m:sub>
                <m:r>
                  <w:rPr>
                    <w:rFonts w:ascii="Cambria Math" w:hAnsi="Cambria Math"/>
                  </w:rPr>
                  <m:t>variance</m:t>
                </m:r>
              </m:sub>
            </m:sSub>
          </m:num>
          <m:den>
            <m:r>
              <w:rPr>
                <w:rFonts w:ascii="Cambria Math" w:hAnsi="Cambria Math"/>
              </w:rPr>
              <m:t>2</m:t>
            </m:r>
          </m:den>
        </m:f>
        <m:r>
          <w:rPr>
            <w:rFonts w:ascii="Cambria Math" w:hAnsi="Cambria Math"/>
          </w:rPr>
          <m:t>)</m:t>
        </m:r>
      </m:oMath>
      <w:r w:rsidR="006714FF">
        <w:tab/>
      </w:r>
      <w:r w:rsidR="006714FF">
        <w:tab/>
      </w:r>
      <w:r w:rsidR="006714FF">
        <w:tab/>
      </w:r>
      <w:r w:rsidR="006714FF">
        <w:tab/>
      </w:r>
      <w:r w:rsidR="006714FF">
        <w:tab/>
        <w:t xml:space="preserve">    </w:t>
      </w:r>
      <w:r w:rsidR="006714FF" w:rsidRPr="00615593">
        <w:t>(</w:t>
      </w:r>
      <w:r w:rsidR="006714FF">
        <w:t>Eqn. S4</w:t>
      </w:r>
      <w:r w:rsidR="006714FF" w:rsidRPr="00615593">
        <w:t>)</w:t>
      </w:r>
    </w:p>
    <w:p w14:paraId="54363356" w14:textId="77777777" w:rsidR="006714FF" w:rsidRDefault="00000000" w:rsidP="006714FF">
      <w:pPr>
        <w:pStyle w:val="TAMainText"/>
        <w:ind w:firstLine="0"/>
        <w:jc w:val="left"/>
        <w:rPr>
          <w:color w:val="000000"/>
        </w:rPr>
      </w:pPr>
      <m:oMath>
        <m:sSub>
          <m:sSubPr>
            <m:ctrlPr>
              <w:rPr>
                <w:rFonts w:ascii="Cambria Math" w:hAnsi="Cambria Math"/>
                <w:i/>
              </w:rPr>
            </m:ctrlPr>
          </m:sSubPr>
          <m:e>
            <m:r>
              <w:rPr>
                <w:rFonts w:ascii="Cambria Math" w:hAnsi="Cambria Math"/>
              </w:rPr>
              <m:t>VOC</m:t>
            </m:r>
          </m:e>
          <m:sub>
            <m:r>
              <w:rPr>
                <w:rFonts w:ascii="Cambria Math" w:hAnsi="Cambria Math"/>
              </w:rPr>
              <m:t>variance</m:t>
            </m:r>
          </m:sub>
        </m:sSub>
        <m:r>
          <w:rPr>
            <w:rFonts w:ascii="Cambria Math" w:hAnsi="Cambria Math"/>
          </w:rPr>
          <m:t>=</m:t>
        </m:r>
        <m:d>
          <m:dPr>
            <m:begChr m:val="["/>
            <m:endChr m:val="]"/>
            <m:ctrlPr>
              <w:rPr>
                <w:rFonts w:ascii="Cambria Math" w:hAnsi="Cambria Math"/>
                <w:i/>
              </w:rPr>
            </m:ctrlPr>
          </m:dPr>
          <m:e>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logVOC</m:t>
                        </m:r>
                      </m:e>
                      <m:sub>
                        <m:r>
                          <w:rPr>
                            <w:rFonts w:ascii="Cambria Math" w:hAnsi="Cambria Math"/>
                          </w:rPr>
                          <m:t>variance</m:t>
                        </m:r>
                      </m:sub>
                    </m:sSub>
                  </m:e>
                </m:d>
              </m:e>
            </m:func>
            <m:r>
              <w:rPr>
                <w:rFonts w:ascii="Cambria Math" w:hAnsi="Cambria Math"/>
              </w:rPr>
              <m:t>-1</m:t>
            </m:r>
          </m:e>
        </m:d>
        <m:r>
          <w:rPr>
            <w:rFonts w:ascii="Cambria Math" w:hAnsi="Cambria Math"/>
          </w:rPr>
          <m:t>[</m:t>
        </m:r>
        <m:sSub>
          <m:sSubPr>
            <m:ctrlPr>
              <w:rPr>
                <w:rFonts w:ascii="Cambria Math" w:hAnsi="Cambria Math"/>
                <w:i/>
              </w:rPr>
            </m:ctrlPr>
          </m:sSubPr>
          <m:e>
            <m:r>
              <m:rPr>
                <m:sty m:val="p"/>
              </m:rPr>
              <w:rPr>
                <w:rFonts w:ascii="Cambria Math" w:hAnsi="Cambria Math"/>
              </w:rPr>
              <m:t>exp⁡</m:t>
            </m:r>
            <m:r>
              <w:rPr>
                <w:rFonts w:ascii="Cambria Math" w:hAnsi="Cambria Math"/>
              </w:rPr>
              <m:t>(2logVOC</m:t>
            </m:r>
          </m:e>
          <m:sub>
            <m:r>
              <w:rPr>
                <w:rFonts w:ascii="Cambria Math" w:hAnsi="Cambria Math"/>
              </w:rPr>
              <m:t>mean</m:t>
            </m:r>
          </m:sub>
        </m:sSub>
        <m:r>
          <w:rPr>
            <w:rFonts w:ascii="Cambria Math" w:hAnsi="Cambria Math"/>
          </w:rPr>
          <m:t>+</m:t>
        </m:r>
        <m:sSub>
          <m:sSubPr>
            <m:ctrlPr>
              <w:rPr>
                <w:rFonts w:ascii="Cambria Math" w:hAnsi="Cambria Math"/>
                <w:i/>
              </w:rPr>
            </m:ctrlPr>
          </m:sSubPr>
          <m:e>
            <m:r>
              <w:rPr>
                <w:rFonts w:ascii="Cambria Math" w:hAnsi="Cambria Math"/>
              </w:rPr>
              <m:t>logVOC</m:t>
            </m:r>
          </m:e>
          <m:sub>
            <m:r>
              <w:rPr>
                <w:rFonts w:ascii="Cambria Math" w:hAnsi="Cambria Math"/>
              </w:rPr>
              <m:t>variance</m:t>
            </m:r>
          </m:sub>
        </m:sSub>
        <m:r>
          <w:rPr>
            <w:rFonts w:ascii="Cambria Math" w:hAnsi="Cambria Math"/>
          </w:rPr>
          <m:t>)]</m:t>
        </m:r>
      </m:oMath>
      <w:r w:rsidR="006714FF">
        <w:rPr>
          <w:color w:val="000000"/>
        </w:rPr>
        <w:tab/>
      </w:r>
    </w:p>
    <w:p w14:paraId="3E5C4BF3" w14:textId="77777777" w:rsidR="006714FF" w:rsidRDefault="006714FF" w:rsidP="009E0C18">
      <w:pPr>
        <w:pStyle w:val="TAMainText"/>
        <w:ind w:left="7200" w:firstLine="720"/>
        <w:jc w:val="left"/>
      </w:pPr>
      <w:r w:rsidRPr="00615593">
        <w:t>(</w:t>
      </w:r>
      <w:r>
        <w:t>Eqn. S5</w:t>
      </w:r>
      <w:r w:rsidRPr="00615593">
        <w:t>)</w:t>
      </w:r>
    </w:p>
    <w:p w14:paraId="75DA7DB8" w14:textId="77777777" w:rsidR="006714FF" w:rsidRPr="00E91DFB" w:rsidRDefault="006714FF" w:rsidP="006714FF">
      <w:pPr>
        <w:pStyle w:val="VAFigureCaption"/>
        <w:ind w:firstLine="187"/>
      </w:pPr>
      <w:r w:rsidRPr="00E91DFB">
        <w:t xml:space="preserve">RCV curves for </w:t>
      </w:r>
      <w:proofErr w:type="spellStart"/>
      <w:r w:rsidRPr="00E91DFB">
        <w:t>logVOC</w:t>
      </w:r>
      <w:r w:rsidRPr="00B77C41">
        <w:rPr>
          <w:vertAlign w:val="subscript"/>
        </w:rPr>
        <w:t>mean</w:t>
      </w:r>
      <w:proofErr w:type="spellEnd"/>
      <w:r w:rsidRPr="00E91DFB">
        <w:t xml:space="preserve">, </w:t>
      </w:r>
      <w:proofErr w:type="spellStart"/>
      <w:r w:rsidRPr="00E91DFB">
        <w:t>VOC</w:t>
      </w:r>
      <w:r w:rsidRPr="00B77C41">
        <w:rPr>
          <w:vertAlign w:val="subscript"/>
        </w:rPr>
        <w:t>median</w:t>
      </w:r>
      <w:proofErr w:type="spellEnd"/>
      <w:r w:rsidRPr="00E91DFB">
        <w:t xml:space="preserve">, and </w:t>
      </w:r>
      <w:proofErr w:type="spellStart"/>
      <w:r w:rsidRPr="00E91DFB">
        <w:t>VOC</w:t>
      </w:r>
      <w:r w:rsidRPr="00B77C41">
        <w:rPr>
          <w:vertAlign w:val="subscript"/>
        </w:rPr>
        <w:t>mean</w:t>
      </w:r>
      <w:proofErr w:type="spellEnd"/>
      <w:r w:rsidRPr="00E91DFB">
        <w:t xml:space="preserve"> estimates inside of </w:t>
      </w:r>
      <w:proofErr w:type="spellStart"/>
      <w:r w:rsidRPr="00E91DFB">
        <w:t>CAMx</w:t>
      </w:r>
      <w:proofErr w:type="spellEnd"/>
      <w:r w:rsidRPr="00E91DFB">
        <w:t xml:space="preserve"> for each SBTEX pollutant are in the following figures: Figure S2</w:t>
      </w:r>
      <w:r>
        <w:t>5</w:t>
      </w:r>
      <w:r w:rsidRPr="00E91DFB">
        <w:t xml:space="preserve"> (styrene),</w:t>
      </w:r>
      <w:r w:rsidRPr="0034394B">
        <w:t xml:space="preserve"> Figure S2</w:t>
      </w:r>
      <w:r>
        <w:t>6</w:t>
      </w:r>
      <w:r w:rsidRPr="0034394B">
        <w:t xml:space="preserve"> (benzene), Figure S2</w:t>
      </w:r>
      <w:r>
        <w:t>7</w:t>
      </w:r>
      <w:r w:rsidRPr="0034394B">
        <w:t xml:space="preserve"> (toluene), Figure S2</w:t>
      </w:r>
      <w:r>
        <w:t>8</w:t>
      </w:r>
      <w:r w:rsidRPr="0034394B">
        <w:t xml:space="preserve"> (ethylbenzene), and Figure S2</w:t>
      </w:r>
      <w:r>
        <w:t>9</w:t>
      </w:r>
      <w:r w:rsidRPr="0034394B">
        <w:t xml:space="preserve"> (xylenes).</w:t>
      </w:r>
    </w:p>
    <w:p w14:paraId="5A15F0E1" w14:textId="77777777" w:rsidR="006714FF" w:rsidRDefault="006714FF" w:rsidP="006714FF">
      <w:pPr>
        <w:pStyle w:val="VAFigureCaption"/>
      </w:pPr>
      <w:r>
        <w:rPr>
          <w:noProof/>
        </w:rPr>
        <w:drawing>
          <wp:inline distT="0" distB="0" distL="0" distR="0" wp14:anchorId="2D5B5ED5" wp14:editId="559D2F60">
            <wp:extent cx="5887844" cy="2514600"/>
            <wp:effectExtent l="0" t="0" r="0" b="0"/>
            <wp:docPr id="1516078465" name="Picture 1516078465" descr="A group of graph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078465" name="Picture 1516078465" descr="A group of graphs on a white background&#10;&#10;Description automatically generated"/>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S2</w:t>
      </w:r>
      <w:r>
        <w:rPr>
          <w:b/>
          <w:bCs/>
        </w:rPr>
        <w:t>5</w:t>
      </w:r>
      <w:r w:rsidRPr="00E91DFB">
        <w:rPr>
          <w:b/>
          <w:bCs/>
        </w:rPr>
        <w:t>.</w:t>
      </w:r>
      <w:r w:rsidRPr="00E91DFB">
        <w:t xml:space="preserve"> RCV plots for styrene estimation on the inside of </w:t>
      </w:r>
      <w:proofErr w:type="spellStart"/>
      <w:r w:rsidRPr="00E91DFB">
        <w:t>CAMx</w:t>
      </w:r>
      <w:proofErr w:type="spellEnd"/>
      <w:r w:rsidRPr="00E91DFB">
        <w:t xml:space="preserve"> region. Top row: RCV plots using the Pearson R as the Cross Validation R; bottom row: RCV plots using the Spearman R as the Cross Validation R. Left column: </w:t>
      </w:r>
      <w:proofErr w:type="spellStart"/>
      <w:r w:rsidRPr="00E91DFB">
        <w:t>logVOC</w:t>
      </w:r>
      <w:r w:rsidRPr="003F327D">
        <w:rPr>
          <w:vertAlign w:val="subscript"/>
        </w:rPr>
        <w:t>mean</w:t>
      </w:r>
      <w:proofErr w:type="spellEnd"/>
      <w:r w:rsidRPr="00E91DFB">
        <w:t xml:space="preserve"> RCV plots; center column: </w:t>
      </w:r>
      <w:proofErr w:type="spellStart"/>
      <w:r w:rsidRPr="00E91DFB">
        <w:t>VOC</w:t>
      </w:r>
      <w:r w:rsidRPr="003F327D">
        <w:rPr>
          <w:vertAlign w:val="subscript"/>
        </w:rPr>
        <w:t>median</w:t>
      </w:r>
      <w:proofErr w:type="spellEnd"/>
      <w:r w:rsidRPr="00E91DFB">
        <w:t xml:space="preserve"> RCV plots; right column: </w:t>
      </w:r>
      <w:proofErr w:type="spellStart"/>
      <w:r w:rsidRPr="00E91DFB">
        <w:t>VOC</w:t>
      </w:r>
      <w:r w:rsidRPr="003F327D">
        <w:rPr>
          <w:vertAlign w:val="subscript"/>
        </w:rPr>
        <w:t>mean</w:t>
      </w:r>
      <w:proofErr w:type="spellEnd"/>
      <w:r w:rsidRPr="00E91DFB">
        <w:t xml:space="preserve"> RCV plots.</w:t>
      </w:r>
    </w:p>
    <w:p w14:paraId="16C6DD74" w14:textId="77777777" w:rsidR="006714FF" w:rsidRDefault="006714FF" w:rsidP="006714FF"/>
    <w:p w14:paraId="662A6C54" w14:textId="77777777" w:rsidR="006714FF" w:rsidRDefault="006714FF" w:rsidP="006714FF"/>
    <w:p w14:paraId="048AAD68" w14:textId="77777777" w:rsidR="006714FF" w:rsidRDefault="006714FF" w:rsidP="006714FF"/>
    <w:p w14:paraId="572B2EEB" w14:textId="77777777" w:rsidR="006714FF" w:rsidRPr="005147E4" w:rsidRDefault="006714FF" w:rsidP="006714FF"/>
    <w:p w14:paraId="2EB3D9CB" w14:textId="3C93B299" w:rsidR="006714FF" w:rsidRDefault="006714FF" w:rsidP="006714FF">
      <w:pPr>
        <w:pStyle w:val="VAFigureCaption"/>
      </w:pPr>
      <w:r w:rsidRPr="00E91DFB">
        <w:rPr>
          <w:noProof/>
        </w:rPr>
        <w:lastRenderedPageBreak/>
        <w:drawing>
          <wp:inline distT="0" distB="0" distL="0" distR="0" wp14:anchorId="525D9927" wp14:editId="7101300C">
            <wp:extent cx="5887844" cy="2514600"/>
            <wp:effectExtent l="0" t="0" r="0" b="0"/>
            <wp:docPr id="2008204952" name="Picture 2008204952"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04952" name="Picture 2008204952" descr="A diagram of a graph&#10;&#10;Description automatically generated with medium confidenc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S2</w:t>
      </w:r>
      <w:r>
        <w:rPr>
          <w:b/>
          <w:bCs/>
        </w:rPr>
        <w:t>6</w:t>
      </w:r>
      <w:r w:rsidRPr="00E91DFB">
        <w:rPr>
          <w:b/>
          <w:bCs/>
        </w:rPr>
        <w:t>.</w:t>
      </w:r>
      <w:r w:rsidRPr="00E91DFB">
        <w:t xml:space="preserve"> RCV plots for benzene estimation on the inside of </w:t>
      </w:r>
      <w:proofErr w:type="spellStart"/>
      <w:r w:rsidRPr="00E91DFB">
        <w:t>CAMx</w:t>
      </w:r>
      <w:proofErr w:type="spellEnd"/>
      <w:r w:rsidRPr="00E91DFB">
        <w:t xml:space="preserve"> region. Top row: RCV plots using the Pearson R as the Cross Validation R; bottom row: RCV plots using the Spearman R as the Cross Validation R. </w:t>
      </w:r>
      <w:r w:rsidR="002F0E50" w:rsidRPr="00E91DFB">
        <w:t xml:space="preserve">Left column: </w:t>
      </w:r>
      <w:proofErr w:type="spellStart"/>
      <w:r w:rsidR="002F0E50" w:rsidRPr="00E91DFB">
        <w:t>logVOC</w:t>
      </w:r>
      <w:r w:rsidR="002F0E50" w:rsidRPr="0043732D">
        <w:rPr>
          <w:vertAlign w:val="subscript"/>
        </w:rPr>
        <w:t>mean</w:t>
      </w:r>
      <w:proofErr w:type="spellEnd"/>
      <w:r w:rsidR="002F0E50" w:rsidRPr="00E91DFB">
        <w:t xml:space="preserve"> RCV plots; center column: </w:t>
      </w:r>
      <w:proofErr w:type="spellStart"/>
      <w:r w:rsidR="002F0E50" w:rsidRPr="00E91DFB">
        <w:t>VOC</w:t>
      </w:r>
      <w:r w:rsidR="002F0E50" w:rsidRPr="0043732D">
        <w:rPr>
          <w:vertAlign w:val="subscript"/>
        </w:rPr>
        <w:t>median</w:t>
      </w:r>
      <w:proofErr w:type="spellEnd"/>
      <w:r w:rsidR="002F0E50" w:rsidRPr="00E91DFB">
        <w:t xml:space="preserve"> RCV plots; right column: </w:t>
      </w:r>
      <w:proofErr w:type="spellStart"/>
      <w:r w:rsidR="002F0E50" w:rsidRPr="00E91DFB">
        <w:t>VOC</w:t>
      </w:r>
      <w:r w:rsidR="002F0E50" w:rsidRPr="0043732D">
        <w:rPr>
          <w:vertAlign w:val="subscript"/>
        </w:rPr>
        <w:t>mean</w:t>
      </w:r>
      <w:proofErr w:type="spellEnd"/>
      <w:r w:rsidR="002F0E50" w:rsidRPr="00E91DFB">
        <w:t xml:space="preserve"> RCV plots.</w:t>
      </w:r>
    </w:p>
    <w:p w14:paraId="44B71437" w14:textId="77777777" w:rsidR="006714FF" w:rsidRDefault="006714FF" w:rsidP="006714FF"/>
    <w:p w14:paraId="3E8F6928" w14:textId="77777777" w:rsidR="006714FF" w:rsidRDefault="006714FF" w:rsidP="006714FF"/>
    <w:p w14:paraId="1EC201F1" w14:textId="77777777" w:rsidR="006714FF" w:rsidRDefault="006714FF" w:rsidP="006714FF"/>
    <w:p w14:paraId="13D14F4C" w14:textId="77777777" w:rsidR="006714FF" w:rsidRPr="005147E4" w:rsidRDefault="006714FF" w:rsidP="006714FF"/>
    <w:p w14:paraId="5FDBDACB" w14:textId="0937595F" w:rsidR="006714FF" w:rsidRDefault="006714FF" w:rsidP="006714FF">
      <w:pPr>
        <w:pStyle w:val="VAFigureCaption"/>
      </w:pPr>
      <w:r w:rsidRPr="00E91DFB">
        <w:rPr>
          <w:noProof/>
        </w:rPr>
        <w:lastRenderedPageBreak/>
        <w:drawing>
          <wp:inline distT="0" distB="0" distL="0" distR="0" wp14:anchorId="26288D35" wp14:editId="7E6B2F44">
            <wp:extent cx="5887844" cy="2514600"/>
            <wp:effectExtent l="0" t="0" r="0" b="0"/>
            <wp:docPr id="1815643068" name="Picture 1815643068"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43068" name="Picture 1815643068" descr="A diagram of a graph&#10;&#10;Description automatically generated with medium confidenc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S2</w:t>
      </w:r>
      <w:r>
        <w:rPr>
          <w:b/>
          <w:bCs/>
        </w:rPr>
        <w:t>7</w:t>
      </w:r>
      <w:r w:rsidRPr="00E91DFB">
        <w:rPr>
          <w:b/>
          <w:bCs/>
        </w:rPr>
        <w:t>.</w:t>
      </w:r>
      <w:r w:rsidRPr="00E91DFB">
        <w:t xml:space="preserve"> RCV plots for benzene estimation on the toluene of </w:t>
      </w:r>
      <w:proofErr w:type="spellStart"/>
      <w:r w:rsidRPr="00E91DFB">
        <w:t>CAMx</w:t>
      </w:r>
      <w:proofErr w:type="spellEnd"/>
      <w:r w:rsidRPr="00E91DFB">
        <w:t xml:space="preserve"> region. Top row: RCV plots using the Pearson R as the Cross Validation R; bottom row: RCV plots using the Spearman R as the Cross Validation R. </w:t>
      </w:r>
      <w:r w:rsidR="002F0E50" w:rsidRPr="00E91DFB">
        <w:t xml:space="preserve">Left column: </w:t>
      </w:r>
      <w:proofErr w:type="spellStart"/>
      <w:r w:rsidR="002F0E50" w:rsidRPr="00E91DFB">
        <w:t>logVOC</w:t>
      </w:r>
      <w:r w:rsidR="002F0E50" w:rsidRPr="0043732D">
        <w:rPr>
          <w:vertAlign w:val="subscript"/>
        </w:rPr>
        <w:t>mean</w:t>
      </w:r>
      <w:proofErr w:type="spellEnd"/>
      <w:r w:rsidR="002F0E50" w:rsidRPr="00E91DFB">
        <w:t xml:space="preserve"> RCV plots; center column: </w:t>
      </w:r>
      <w:proofErr w:type="spellStart"/>
      <w:r w:rsidR="002F0E50" w:rsidRPr="00E91DFB">
        <w:t>VOC</w:t>
      </w:r>
      <w:r w:rsidR="002F0E50" w:rsidRPr="0043732D">
        <w:rPr>
          <w:vertAlign w:val="subscript"/>
        </w:rPr>
        <w:t>median</w:t>
      </w:r>
      <w:proofErr w:type="spellEnd"/>
      <w:r w:rsidR="002F0E50" w:rsidRPr="00E91DFB">
        <w:t xml:space="preserve"> RCV plots; right column: </w:t>
      </w:r>
      <w:proofErr w:type="spellStart"/>
      <w:r w:rsidR="002F0E50" w:rsidRPr="00E91DFB">
        <w:t>VOC</w:t>
      </w:r>
      <w:r w:rsidR="002F0E50" w:rsidRPr="0043732D">
        <w:rPr>
          <w:vertAlign w:val="subscript"/>
        </w:rPr>
        <w:t>mean</w:t>
      </w:r>
      <w:proofErr w:type="spellEnd"/>
      <w:r w:rsidR="002F0E50" w:rsidRPr="00E91DFB">
        <w:t xml:space="preserve"> RCV plots.</w:t>
      </w:r>
    </w:p>
    <w:p w14:paraId="106582D4" w14:textId="77777777" w:rsidR="006714FF" w:rsidRDefault="006714FF" w:rsidP="006714FF"/>
    <w:p w14:paraId="2158B3C4" w14:textId="77777777" w:rsidR="006714FF" w:rsidRDefault="006714FF" w:rsidP="006714FF"/>
    <w:p w14:paraId="62F53B3F" w14:textId="77777777" w:rsidR="006714FF" w:rsidRDefault="006714FF" w:rsidP="006714FF"/>
    <w:p w14:paraId="74EEBFF1" w14:textId="77777777" w:rsidR="006714FF" w:rsidRPr="005147E4" w:rsidRDefault="006714FF" w:rsidP="006714FF"/>
    <w:p w14:paraId="06467B83" w14:textId="2B6C576C" w:rsidR="006714FF" w:rsidRDefault="006714FF" w:rsidP="006714FF">
      <w:pPr>
        <w:pStyle w:val="VAFigureCaption"/>
      </w:pPr>
      <w:r w:rsidRPr="00E91DFB">
        <w:rPr>
          <w:noProof/>
        </w:rPr>
        <w:lastRenderedPageBreak/>
        <w:drawing>
          <wp:inline distT="0" distB="0" distL="0" distR="0" wp14:anchorId="1E377AD8" wp14:editId="5B26E6A5">
            <wp:extent cx="5887844" cy="2514600"/>
            <wp:effectExtent l="0" t="0" r="0" b="0"/>
            <wp:docPr id="2111406421" name="Picture 2111406421" descr="A group of graph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06421" name="Picture 2111406421" descr="A group of graphs with text&#10;&#10;Description automatically generated with medium confidence"/>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S2</w:t>
      </w:r>
      <w:r>
        <w:rPr>
          <w:b/>
          <w:bCs/>
        </w:rPr>
        <w:t>8</w:t>
      </w:r>
      <w:r w:rsidRPr="00E91DFB">
        <w:rPr>
          <w:b/>
          <w:bCs/>
        </w:rPr>
        <w:t>.</w:t>
      </w:r>
      <w:r w:rsidRPr="00E91DFB">
        <w:t xml:space="preserve"> RCV plots for ethylbenzene estimation on the inside of </w:t>
      </w:r>
      <w:proofErr w:type="spellStart"/>
      <w:r w:rsidRPr="00E91DFB">
        <w:t>CAMx</w:t>
      </w:r>
      <w:proofErr w:type="spellEnd"/>
      <w:r w:rsidRPr="00E91DFB">
        <w:t xml:space="preserve"> region. Top row: RCV plots using the Pearson R as the Cross Validation R; bottom row: RCV plots using the Spearman R as the Cross Validation R. </w:t>
      </w:r>
      <w:r w:rsidR="002F0E50" w:rsidRPr="00E91DFB">
        <w:t xml:space="preserve">Left column: </w:t>
      </w:r>
      <w:proofErr w:type="spellStart"/>
      <w:r w:rsidR="002F0E50" w:rsidRPr="00E91DFB">
        <w:t>logVOC</w:t>
      </w:r>
      <w:r w:rsidR="002F0E50" w:rsidRPr="0043732D">
        <w:rPr>
          <w:vertAlign w:val="subscript"/>
        </w:rPr>
        <w:t>mean</w:t>
      </w:r>
      <w:proofErr w:type="spellEnd"/>
      <w:r w:rsidR="002F0E50" w:rsidRPr="00E91DFB">
        <w:t xml:space="preserve"> RCV plots; center column: </w:t>
      </w:r>
      <w:proofErr w:type="spellStart"/>
      <w:r w:rsidR="002F0E50" w:rsidRPr="00E91DFB">
        <w:t>VOC</w:t>
      </w:r>
      <w:r w:rsidR="002F0E50" w:rsidRPr="0043732D">
        <w:rPr>
          <w:vertAlign w:val="subscript"/>
        </w:rPr>
        <w:t>median</w:t>
      </w:r>
      <w:proofErr w:type="spellEnd"/>
      <w:r w:rsidR="002F0E50" w:rsidRPr="00E91DFB">
        <w:t xml:space="preserve"> RCV plots; right column: </w:t>
      </w:r>
      <w:proofErr w:type="spellStart"/>
      <w:r w:rsidR="002F0E50" w:rsidRPr="00E91DFB">
        <w:t>VOC</w:t>
      </w:r>
      <w:r w:rsidR="002F0E50" w:rsidRPr="0043732D">
        <w:rPr>
          <w:vertAlign w:val="subscript"/>
        </w:rPr>
        <w:t>mean</w:t>
      </w:r>
      <w:proofErr w:type="spellEnd"/>
      <w:r w:rsidR="002F0E50" w:rsidRPr="00E91DFB">
        <w:t xml:space="preserve"> RCV plots.</w:t>
      </w:r>
    </w:p>
    <w:p w14:paraId="58FD06E9" w14:textId="77777777" w:rsidR="006714FF" w:rsidRDefault="006714FF" w:rsidP="006714FF"/>
    <w:p w14:paraId="7DFF0CEE" w14:textId="77777777" w:rsidR="006714FF" w:rsidRDefault="006714FF" w:rsidP="006714FF"/>
    <w:p w14:paraId="3CA00311" w14:textId="77777777" w:rsidR="006714FF" w:rsidRDefault="006714FF" w:rsidP="006714FF"/>
    <w:p w14:paraId="61A27FB6" w14:textId="77777777" w:rsidR="006714FF" w:rsidRPr="005147E4" w:rsidRDefault="006714FF" w:rsidP="006714FF"/>
    <w:p w14:paraId="320A4F78" w14:textId="76628FC4" w:rsidR="006714FF" w:rsidRPr="00E91DFB" w:rsidRDefault="006714FF" w:rsidP="006714FF">
      <w:pPr>
        <w:pStyle w:val="VAFigureCaption"/>
      </w:pPr>
      <w:r w:rsidRPr="00E91DFB">
        <w:rPr>
          <w:noProof/>
        </w:rPr>
        <w:lastRenderedPageBreak/>
        <w:drawing>
          <wp:inline distT="0" distB="0" distL="0" distR="0" wp14:anchorId="634EE333" wp14:editId="136314F0">
            <wp:extent cx="5887844" cy="2514600"/>
            <wp:effectExtent l="0" t="0" r="0" b="0"/>
            <wp:docPr id="1299815357" name="Picture 1299815357"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15357" name="Picture 1299815357" descr="A diagram of a graph&#10;&#10;Description automatically generated with medium confidenc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S2</w:t>
      </w:r>
      <w:r>
        <w:rPr>
          <w:b/>
          <w:bCs/>
        </w:rPr>
        <w:t>9</w:t>
      </w:r>
      <w:r w:rsidRPr="00E91DFB">
        <w:rPr>
          <w:b/>
          <w:bCs/>
        </w:rPr>
        <w:t>.</w:t>
      </w:r>
      <w:r w:rsidRPr="00E91DFB">
        <w:t xml:space="preserve"> RCV plots for xylenes estimation on the inside of </w:t>
      </w:r>
      <w:proofErr w:type="spellStart"/>
      <w:r w:rsidRPr="00E91DFB">
        <w:t>CAMx</w:t>
      </w:r>
      <w:proofErr w:type="spellEnd"/>
      <w:r w:rsidRPr="00E91DFB">
        <w:t xml:space="preserve"> region. Top row: RCV plots using the Pearson R as the Cross Validation R; bottom row: RCV plots using the Spearman R as the Cross Validation R. </w:t>
      </w:r>
      <w:r w:rsidR="002F0E50" w:rsidRPr="00E91DFB">
        <w:t xml:space="preserve">Left column: </w:t>
      </w:r>
      <w:proofErr w:type="spellStart"/>
      <w:r w:rsidR="002F0E50" w:rsidRPr="00E91DFB">
        <w:t>logVOC</w:t>
      </w:r>
      <w:r w:rsidR="002F0E50" w:rsidRPr="0043732D">
        <w:rPr>
          <w:vertAlign w:val="subscript"/>
        </w:rPr>
        <w:t>mean</w:t>
      </w:r>
      <w:proofErr w:type="spellEnd"/>
      <w:r w:rsidR="002F0E50" w:rsidRPr="00E91DFB">
        <w:t xml:space="preserve"> RCV plots; center column: </w:t>
      </w:r>
      <w:proofErr w:type="spellStart"/>
      <w:r w:rsidR="002F0E50" w:rsidRPr="00E91DFB">
        <w:t>VOC</w:t>
      </w:r>
      <w:r w:rsidR="002F0E50" w:rsidRPr="0043732D">
        <w:rPr>
          <w:vertAlign w:val="subscript"/>
        </w:rPr>
        <w:t>median</w:t>
      </w:r>
      <w:proofErr w:type="spellEnd"/>
      <w:r w:rsidR="002F0E50" w:rsidRPr="00E91DFB">
        <w:t xml:space="preserve"> RCV plots; right column: </w:t>
      </w:r>
      <w:proofErr w:type="spellStart"/>
      <w:r w:rsidR="002F0E50" w:rsidRPr="00E91DFB">
        <w:t>VOC</w:t>
      </w:r>
      <w:r w:rsidR="002F0E50" w:rsidRPr="0043732D">
        <w:rPr>
          <w:vertAlign w:val="subscript"/>
        </w:rPr>
        <w:t>mean</w:t>
      </w:r>
      <w:proofErr w:type="spellEnd"/>
      <w:r w:rsidR="002F0E50" w:rsidRPr="00E91DFB">
        <w:t xml:space="preserve"> RCV plots.</w:t>
      </w:r>
    </w:p>
    <w:p w14:paraId="50978D14" w14:textId="77777777" w:rsidR="006714FF" w:rsidRPr="00E91DFB" w:rsidRDefault="006714FF" w:rsidP="006714FF">
      <w:pPr>
        <w:pStyle w:val="TESupportingInformation"/>
      </w:pPr>
      <w:r w:rsidRPr="0034394B">
        <w:t xml:space="preserve">Interpolation of SBTEX observation performance for </w:t>
      </w:r>
      <w:proofErr w:type="spellStart"/>
      <w:r w:rsidRPr="0034394B">
        <w:t>VOC</w:t>
      </w:r>
      <w:r w:rsidRPr="0034394B">
        <w:rPr>
          <w:vertAlign w:val="subscript"/>
        </w:rPr>
        <w:t>mean</w:t>
      </w:r>
      <w:proofErr w:type="spellEnd"/>
      <w:r w:rsidRPr="0034394B">
        <w:t xml:space="preserve"> RCV curves was like </w:t>
      </w:r>
      <w:proofErr w:type="spellStart"/>
      <w:r w:rsidRPr="0034394B">
        <w:t>VOC</w:t>
      </w:r>
      <w:r w:rsidRPr="0034394B">
        <w:rPr>
          <w:vertAlign w:val="subscript"/>
        </w:rPr>
        <w:t>me</w:t>
      </w:r>
      <w:r>
        <w:rPr>
          <w:vertAlign w:val="subscript"/>
        </w:rPr>
        <w:t>di</w:t>
      </w:r>
      <w:r w:rsidRPr="0034394B">
        <w:rPr>
          <w:vertAlign w:val="subscript"/>
        </w:rPr>
        <w:t>an</w:t>
      </w:r>
      <w:proofErr w:type="spellEnd"/>
      <w:r w:rsidRPr="0034394B">
        <w:t xml:space="preserve"> RCV curves for order, shape, and value (Figures S2</w:t>
      </w:r>
      <w:r>
        <w:t>5</w:t>
      </w:r>
      <w:r w:rsidRPr="0034394B">
        <w:t>-S2</w:t>
      </w:r>
      <w:r>
        <w:t>9</w:t>
      </w:r>
      <w:r w:rsidRPr="0034394B">
        <w:t xml:space="preserve">). CAMP correction of </w:t>
      </w:r>
      <w:proofErr w:type="spellStart"/>
      <w:r w:rsidRPr="0034394B">
        <w:t>CAMx</w:t>
      </w:r>
      <w:proofErr w:type="spellEnd"/>
      <w:r w:rsidRPr="0034394B">
        <w:t xml:space="preserve"> unexpectedly caused a decrease in </w:t>
      </w:r>
      <w:proofErr w:type="spellStart"/>
      <w:r w:rsidRPr="0034394B">
        <w:t>VOC</w:t>
      </w:r>
      <w:r w:rsidRPr="0034394B">
        <w:rPr>
          <w:vertAlign w:val="subscript"/>
        </w:rPr>
        <w:t>mean</w:t>
      </w:r>
      <w:proofErr w:type="spellEnd"/>
      <w:r w:rsidRPr="0034394B">
        <w:t xml:space="preserve"> estimation performance from unaltered </w:t>
      </w:r>
      <w:proofErr w:type="spellStart"/>
      <w:r w:rsidRPr="0034394B">
        <w:t>CAMx</w:t>
      </w:r>
      <w:proofErr w:type="spellEnd"/>
      <w:r w:rsidRPr="0034394B">
        <w:t xml:space="preserve"> performance for styrene Pearson R and Spearman R, ethylbenzene Spearman R RCV curves (Figure S2</w:t>
      </w:r>
      <w:r>
        <w:t>5</w:t>
      </w:r>
      <w:r w:rsidRPr="0034394B">
        <w:t>, Figures S2</w:t>
      </w:r>
      <w:r>
        <w:t>8)</w:t>
      </w:r>
      <w:r w:rsidRPr="0034394B">
        <w:t xml:space="preserve">. This behavior may result from the CAMP correction being performed using observational and </w:t>
      </w:r>
      <w:proofErr w:type="spellStart"/>
      <w:r w:rsidRPr="0034394B">
        <w:t>CAMx</w:t>
      </w:r>
      <w:proofErr w:type="spellEnd"/>
      <w:r w:rsidRPr="0034394B">
        <w:t xml:space="preserve"> values without variance but considering CAMP-corrected </w:t>
      </w:r>
      <w:proofErr w:type="spellStart"/>
      <w:r w:rsidRPr="0034394B">
        <w:t>CAMx</w:t>
      </w:r>
      <w:proofErr w:type="spellEnd"/>
      <w:r w:rsidRPr="0034394B">
        <w:t xml:space="preserve"> variance for mean performance. If one had used </w:t>
      </w:r>
      <w:proofErr w:type="spellStart"/>
      <w:r w:rsidRPr="0034394B">
        <w:t>VOC</w:t>
      </w:r>
      <w:r w:rsidRPr="0034394B">
        <w:rPr>
          <w:vertAlign w:val="subscript"/>
        </w:rPr>
        <w:t>mean</w:t>
      </w:r>
      <w:proofErr w:type="spellEnd"/>
      <w:r w:rsidRPr="0034394B">
        <w:t xml:space="preserve"> RCV curves to select SBTEX estimation methods rather than </w:t>
      </w:r>
      <w:proofErr w:type="spellStart"/>
      <w:r w:rsidRPr="0034394B">
        <w:t>VOC</w:t>
      </w:r>
      <w:r w:rsidRPr="0034394B">
        <w:rPr>
          <w:vertAlign w:val="subscript"/>
        </w:rPr>
        <w:t>median</w:t>
      </w:r>
      <w:proofErr w:type="spellEnd"/>
      <w:r w:rsidRPr="0034394B">
        <w:t xml:space="preserve"> RCV curves, the same estimation methods would have been selected for SBTEX estimation inside of </w:t>
      </w:r>
      <w:proofErr w:type="spellStart"/>
      <w:r w:rsidRPr="0034394B">
        <w:t>CAMx</w:t>
      </w:r>
      <w:proofErr w:type="spellEnd"/>
      <w:r w:rsidRPr="0034394B">
        <w:t xml:space="preserve"> (Figures S2</w:t>
      </w:r>
      <w:r>
        <w:t>5</w:t>
      </w:r>
      <w:r w:rsidRPr="0034394B">
        <w:t>-S2</w:t>
      </w:r>
      <w:r>
        <w:t>9</w:t>
      </w:r>
      <w:r w:rsidRPr="0034394B">
        <w:t xml:space="preserve">). This finding extends to mean styrene concentrations because the Spearman R recommendation would be selected over the Pearson R, which on average was less than 50% </w:t>
      </w:r>
      <w:r>
        <w:t xml:space="preserve">of </w:t>
      </w:r>
      <w:r w:rsidRPr="0034394B">
        <w:t>the average Spearman R value (Figure S2</w:t>
      </w:r>
      <w:r>
        <w:t>5</w:t>
      </w:r>
      <w:r w:rsidRPr="0034394B">
        <w:t>).</w:t>
      </w:r>
    </w:p>
    <w:p w14:paraId="610C13FA" w14:textId="77777777" w:rsidR="006714FF" w:rsidRPr="00E91DFB" w:rsidRDefault="006714FF" w:rsidP="006714FF">
      <w:pPr>
        <w:pStyle w:val="TESupportingInformation"/>
      </w:pPr>
      <w:r w:rsidRPr="0034394B">
        <w:lastRenderedPageBreak/>
        <w:t xml:space="preserve">Interpolation of </w:t>
      </w:r>
      <w:proofErr w:type="spellStart"/>
      <w:r>
        <w:t>logV</w:t>
      </w:r>
      <w:r w:rsidRPr="0034394B">
        <w:t>OC</w:t>
      </w:r>
      <w:r w:rsidRPr="0034394B">
        <w:rPr>
          <w:vertAlign w:val="subscript"/>
        </w:rPr>
        <w:t>mean</w:t>
      </w:r>
      <w:proofErr w:type="spellEnd"/>
      <w:r w:rsidRPr="0034394B">
        <w:t xml:space="preserve"> observations performed in the same fashion as </w:t>
      </w:r>
      <w:proofErr w:type="spellStart"/>
      <w:r w:rsidRPr="0034394B">
        <w:t>VOC</w:t>
      </w:r>
      <w:r w:rsidRPr="0034394B">
        <w:rPr>
          <w:vertAlign w:val="subscript"/>
        </w:rPr>
        <w:t>median</w:t>
      </w:r>
      <w:proofErr w:type="spellEnd"/>
      <w:r w:rsidRPr="0034394B">
        <w:t xml:space="preserve"> observation interpolation for SBTEX, where a flat global offset performed the worst, a medium-resolution global offset performed better, and finally a fine-resolution global offset performed the best (Figures S2</w:t>
      </w:r>
      <w:r>
        <w:t>5</w:t>
      </w:r>
      <w:r w:rsidRPr="0034394B">
        <w:t>-S2</w:t>
      </w:r>
      <w:r>
        <w:t>9</w:t>
      </w:r>
      <w:r w:rsidRPr="0034394B">
        <w:t xml:space="preserve">). </w:t>
      </w:r>
      <w:proofErr w:type="spellStart"/>
      <w:r w:rsidRPr="0034394B">
        <w:t>CAMx</w:t>
      </w:r>
      <w:proofErr w:type="spellEnd"/>
      <w:r w:rsidRPr="0034394B">
        <w:t xml:space="preserve"> performance was intermediate for </w:t>
      </w:r>
      <w:proofErr w:type="spellStart"/>
      <w:r>
        <w:t>logV</w:t>
      </w:r>
      <w:r w:rsidRPr="0034394B">
        <w:t>OC</w:t>
      </w:r>
      <w:r w:rsidRPr="0034394B">
        <w:rPr>
          <w:vertAlign w:val="subscript"/>
        </w:rPr>
        <w:t>mean</w:t>
      </w:r>
      <w:proofErr w:type="spellEnd"/>
      <w:r w:rsidRPr="0034394B">
        <w:t xml:space="preserve">, so fine-resolution global </w:t>
      </w:r>
      <w:proofErr w:type="spellStart"/>
      <w:r w:rsidRPr="0034394B">
        <w:t>offset+CAMx</w:t>
      </w:r>
      <w:proofErr w:type="spellEnd"/>
      <w:r w:rsidRPr="0034394B">
        <w:t xml:space="preserve"> data fusion methods were selected for each SBTEX component. Again, method selection for mean </w:t>
      </w:r>
      <w:r>
        <w:t>log-</w:t>
      </w:r>
      <w:r w:rsidRPr="0034394B">
        <w:t>benzene deferred to the Pearson R RCV curves because they monotonically decreased over radius limits and were on average greater than 50% of average Spearman R values (Figure S2</w:t>
      </w:r>
      <w:r>
        <w:t>6</w:t>
      </w:r>
      <w:r w:rsidRPr="0034394B">
        <w:t xml:space="preserve">). Interpolation of mean </w:t>
      </w:r>
      <w:r>
        <w:t>log-</w:t>
      </w:r>
      <w:r w:rsidRPr="0034394B">
        <w:t>styrene concentrations for Pearson and Spearman R performed like median styrene Spearman R RCV curves, which suggested that the Pearson R for styrene concentrations was susceptible to extreme value effects (Figure S2</w:t>
      </w:r>
      <w:r>
        <w:t>5</w:t>
      </w:r>
      <w:r w:rsidRPr="0034394B">
        <w:t xml:space="preserve">). Like median styrene RCV data fusion, mean </w:t>
      </w:r>
      <w:r>
        <w:t>log-</w:t>
      </w:r>
      <w:r w:rsidRPr="0034394B">
        <w:t xml:space="preserve">styrene data fusion revealed a performance increase from </w:t>
      </w:r>
      <w:r>
        <w:t xml:space="preserve">a </w:t>
      </w:r>
      <w:r w:rsidRPr="0034394B">
        <w:t>radius limit of 0 degrees to a radius limit of 0.5 degrees (Figure S2</w:t>
      </w:r>
      <w:r>
        <w:t>5</w:t>
      </w:r>
      <w:r w:rsidRPr="0034394B">
        <w:t>).</w:t>
      </w:r>
    </w:p>
    <w:p w14:paraId="27674440" w14:textId="77777777" w:rsidR="006714FF" w:rsidRPr="0034394B" w:rsidRDefault="006714FF" w:rsidP="006714FF">
      <w:pPr>
        <w:pStyle w:val="TESupportingInformation"/>
        <w:rPr>
          <w:color w:val="000000" w:themeColor="text1"/>
        </w:rPr>
      </w:pPr>
      <w:r w:rsidRPr="0034394B">
        <w:t xml:space="preserve">Interestingly, observational interpolation of </w:t>
      </w:r>
      <w:proofErr w:type="spellStart"/>
      <w:r>
        <w:t>logV</w:t>
      </w:r>
      <w:r w:rsidRPr="0034394B">
        <w:t>OC</w:t>
      </w:r>
      <w:r w:rsidRPr="0034394B">
        <w:rPr>
          <w:vertAlign w:val="subscript"/>
        </w:rPr>
        <w:t>mean</w:t>
      </w:r>
      <w:proofErr w:type="spellEnd"/>
      <w:r w:rsidRPr="0034394B">
        <w:t xml:space="preserve"> concentrations with a flat global offset yielded higher Pearson R and Spearman R values (approximately 0.5 to 0.6) than </w:t>
      </w:r>
      <w:proofErr w:type="spellStart"/>
      <w:r w:rsidRPr="0034394B">
        <w:t>VOC</w:t>
      </w:r>
      <w:r w:rsidRPr="0034394B">
        <w:rPr>
          <w:vertAlign w:val="subscript"/>
        </w:rPr>
        <w:t>median</w:t>
      </w:r>
      <w:proofErr w:type="spellEnd"/>
      <w:r w:rsidRPr="003F327D">
        <w:t xml:space="preserve"> or </w:t>
      </w:r>
      <w:proofErr w:type="spellStart"/>
      <w:r w:rsidRPr="0034394B">
        <w:t>VOC</w:t>
      </w:r>
      <w:r w:rsidRPr="0034394B">
        <w:rPr>
          <w:vertAlign w:val="subscript"/>
        </w:rPr>
        <w:t>mean</w:t>
      </w:r>
      <w:proofErr w:type="spellEnd"/>
      <w:r w:rsidRPr="0034394B">
        <w:t xml:space="preserve"> interpolation (Figures S2</w:t>
      </w:r>
      <w:r>
        <w:t>5</w:t>
      </w:r>
      <w:r w:rsidRPr="0034394B">
        <w:t>-S2</w:t>
      </w:r>
      <w:r>
        <w:t>9</w:t>
      </w:r>
      <w:r w:rsidRPr="0034394B">
        <w:t xml:space="preserve">), suggesting that </w:t>
      </w:r>
      <w:r>
        <w:t xml:space="preserve">SBTEX </w:t>
      </w:r>
      <w:r w:rsidRPr="0034394B">
        <w:t xml:space="preserve">observation interpolation </w:t>
      </w:r>
      <w:r>
        <w:t>performed</w:t>
      </w:r>
      <w:r w:rsidRPr="0034394B">
        <w:t xml:space="preserve"> better for estimating </w:t>
      </w:r>
      <w:proofErr w:type="spellStart"/>
      <w:r>
        <w:t>log</w:t>
      </w:r>
      <w:r w:rsidRPr="0034394B">
        <w:t>VOC</w:t>
      </w:r>
      <w:r w:rsidRPr="0034394B">
        <w:rPr>
          <w:vertAlign w:val="subscript"/>
        </w:rPr>
        <w:t>mean</w:t>
      </w:r>
      <w:proofErr w:type="spellEnd"/>
      <w:r w:rsidRPr="0034394B">
        <w:t xml:space="preserve"> concentrations than VOC concentrations. This behavior is attributed to the higher autocorrelation of SBTEX concentrations after natural logarithm transformation.</w:t>
      </w:r>
    </w:p>
    <w:p w14:paraId="3FB20A57" w14:textId="53E6DF06" w:rsidR="006714FF" w:rsidRPr="00E91DFB" w:rsidRDefault="006714FF" w:rsidP="006714FF">
      <w:pPr>
        <w:pStyle w:val="TESupportingInformation"/>
        <w:rPr>
          <w:color w:val="000000" w:themeColor="text1"/>
        </w:rPr>
      </w:pPr>
      <w:r w:rsidRPr="0034394B">
        <w:rPr>
          <w:color w:val="000000" w:themeColor="text1"/>
        </w:rPr>
        <w:t xml:space="preserve">Table </w:t>
      </w:r>
      <w:r>
        <w:rPr>
          <w:color w:val="000000" w:themeColor="text1"/>
        </w:rPr>
        <w:t>S</w:t>
      </w:r>
      <w:r w:rsidRPr="0034394B">
        <w:rPr>
          <w:color w:val="000000" w:themeColor="text1"/>
        </w:rPr>
        <w:t>1</w:t>
      </w:r>
      <w:r>
        <w:rPr>
          <w:color w:val="000000" w:themeColor="text1"/>
        </w:rPr>
        <w:t>4</w:t>
      </w:r>
      <w:r w:rsidRPr="0034394B">
        <w:rPr>
          <w:color w:val="000000" w:themeColor="text1"/>
        </w:rPr>
        <w:t xml:space="preserve"> shows the </w:t>
      </w:r>
      <w:proofErr w:type="spellStart"/>
      <w:r w:rsidRPr="0034394B">
        <w:rPr>
          <w:color w:val="000000" w:themeColor="text1"/>
        </w:rPr>
        <w:t>CAMx</w:t>
      </w:r>
      <w:proofErr w:type="spellEnd"/>
      <w:r w:rsidRPr="0034394B">
        <w:rPr>
          <w:color w:val="000000" w:themeColor="text1"/>
        </w:rPr>
        <w:t xml:space="preserve">, average RCV, and </w:t>
      </w:r>
      <w:r w:rsidR="009C5550">
        <w:rPr>
          <w:color w:val="000000" w:themeColor="text1"/>
        </w:rPr>
        <w:t>leave-one-out cross-validation (</w:t>
      </w:r>
      <w:r w:rsidRPr="0034394B">
        <w:rPr>
          <w:color w:val="000000" w:themeColor="text1"/>
        </w:rPr>
        <w:t>LOOCV</w:t>
      </w:r>
      <w:r w:rsidR="009C5550">
        <w:rPr>
          <w:color w:val="000000" w:themeColor="text1"/>
        </w:rPr>
        <w:t>)</w:t>
      </w:r>
      <w:r w:rsidRPr="0034394B">
        <w:rPr>
          <w:color w:val="000000" w:themeColor="text1"/>
        </w:rPr>
        <w:t xml:space="preserve"> Pearson R performance of SBTEX estimation methods</w:t>
      </w:r>
      <w:r>
        <w:rPr>
          <w:color w:val="000000" w:themeColor="text1"/>
        </w:rPr>
        <w:t xml:space="preserve"> and </w:t>
      </w:r>
      <w:proofErr w:type="spellStart"/>
      <w:r>
        <w:rPr>
          <w:color w:val="000000" w:themeColor="text1"/>
        </w:rPr>
        <w:t>VOC</w:t>
      </w:r>
      <w:r w:rsidRPr="00B77C41">
        <w:rPr>
          <w:color w:val="000000" w:themeColor="text1"/>
          <w:vertAlign w:val="subscript"/>
        </w:rPr>
        <w:t>median</w:t>
      </w:r>
      <w:proofErr w:type="spellEnd"/>
      <w:r>
        <w:rPr>
          <w:color w:val="000000" w:themeColor="text1"/>
        </w:rPr>
        <w:t xml:space="preserve"> estimates</w:t>
      </w:r>
      <w:r w:rsidRPr="0034394B">
        <w:rPr>
          <w:color w:val="000000" w:themeColor="text1"/>
        </w:rPr>
        <w:t>. As global offset resolution increased, observational interpolation average RCV performance increased for all SBTEX (Table S1</w:t>
      </w:r>
      <w:r>
        <w:rPr>
          <w:color w:val="000000" w:themeColor="text1"/>
        </w:rPr>
        <w:t>4</w:t>
      </w:r>
      <w:r w:rsidRPr="0034394B">
        <w:rPr>
          <w:color w:val="000000" w:themeColor="text1"/>
        </w:rPr>
        <w:t xml:space="preserve">). Selected data fusion methods for SBTEX always outperformed observational </w:t>
      </w:r>
      <w:r w:rsidRPr="0034394B">
        <w:rPr>
          <w:color w:val="000000" w:themeColor="text1"/>
        </w:rPr>
        <w:lastRenderedPageBreak/>
        <w:t>interpolation (Table S1</w:t>
      </w:r>
      <w:r>
        <w:rPr>
          <w:color w:val="000000" w:themeColor="text1"/>
        </w:rPr>
        <w:t>4</w:t>
      </w:r>
      <w:r w:rsidRPr="0034394B">
        <w:rPr>
          <w:color w:val="000000" w:themeColor="text1"/>
        </w:rPr>
        <w:t xml:space="preserve">). Selected data fusion methods for BTEX outperformed </w:t>
      </w:r>
      <w:proofErr w:type="spellStart"/>
      <w:r w:rsidRPr="0034394B">
        <w:rPr>
          <w:color w:val="000000" w:themeColor="text1"/>
        </w:rPr>
        <w:t>CAMx</w:t>
      </w:r>
      <w:proofErr w:type="spellEnd"/>
      <w:r w:rsidRPr="0034394B">
        <w:rPr>
          <w:color w:val="000000" w:themeColor="text1"/>
        </w:rPr>
        <w:t xml:space="preserve"> Pearson R values, but not for styrene (Table S1</w:t>
      </w:r>
      <w:r>
        <w:rPr>
          <w:color w:val="000000" w:themeColor="text1"/>
        </w:rPr>
        <w:t>4</w:t>
      </w:r>
      <w:r w:rsidRPr="0034394B">
        <w:rPr>
          <w:color w:val="000000" w:themeColor="text1"/>
        </w:rPr>
        <w:t>)</w:t>
      </w:r>
      <w:r>
        <w:rPr>
          <w:color w:val="000000" w:themeColor="text1"/>
        </w:rPr>
        <w:t>.</w:t>
      </w:r>
    </w:p>
    <w:p w14:paraId="2C438333" w14:textId="77777777" w:rsidR="006714FF" w:rsidRDefault="006714FF" w:rsidP="006714FF">
      <w:pPr>
        <w:pStyle w:val="VDTableTitle"/>
      </w:pPr>
      <w:r w:rsidRPr="00E91DFB">
        <w:rPr>
          <w:b/>
          <w:bCs/>
        </w:rPr>
        <w:t>Table S1</w:t>
      </w:r>
      <w:r>
        <w:rPr>
          <w:b/>
          <w:bCs/>
        </w:rPr>
        <w:t>4</w:t>
      </w:r>
      <w:r w:rsidRPr="00E91DFB">
        <w:rPr>
          <w:b/>
          <w:bCs/>
        </w:rPr>
        <w:t>.</w:t>
      </w:r>
      <w:r w:rsidRPr="4C49152D">
        <w:t xml:space="preserve"> </w:t>
      </w:r>
      <w:proofErr w:type="spellStart"/>
      <w:r w:rsidRPr="4C49152D">
        <w:t>CAMx</w:t>
      </w:r>
      <w:proofErr w:type="spellEnd"/>
      <w:r w:rsidRPr="4C49152D">
        <w:t xml:space="preserve">, observational interpolation using global offsets, and selected data fusion method Pearson R performance to estimate observed SBTEX inside of the </w:t>
      </w:r>
      <w:proofErr w:type="spellStart"/>
      <w:r w:rsidRPr="4C49152D">
        <w:t>CAMx</w:t>
      </w:r>
      <w:proofErr w:type="spellEnd"/>
      <w:r w:rsidRPr="4C49152D">
        <w:t xml:space="preserve">-modeled domain. Observational interpolation and selected data fusion methods were evaluated using the average radius cross-validation (RCV). Selected data fusion methods were further evaluated using leave-one-out cross-validation (LOOCV).  </w:t>
      </w:r>
      <w:r>
        <w:t xml:space="preserve">Performance was measured using </w:t>
      </w:r>
      <w:proofErr w:type="spellStart"/>
      <w:r>
        <w:t>VOC</w:t>
      </w:r>
      <w:r w:rsidRPr="008B5BF8">
        <w:rPr>
          <w:vertAlign w:val="subscript"/>
        </w:rPr>
        <w:t>median</w:t>
      </w:r>
      <w:proofErr w:type="spellEnd"/>
      <w:r>
        <w:rPr>
          <w:vertAlign w:val="subscript"/>
        </w:rPr>
        <w:t xml:space="preserve"> </w:t>
      </w:r>
      <w:r>
        <w:t>estimates.</w:t>
      </w:r>
    </w:p>
    <w:tbl>
      <w:tblPr>
        <w:tblW w:w="9374" w:type="dxa"/>
        <w:tblLayout w:type="fixed"/>
        <w:tblLook w:val="06A0" w:firstRow="1" w:lastRow="0" w:firstColumn="1" w:lastColumn="0" w:noHBand="1" w:noVBand="1"/>
      </w:tblPr>
      <w:tblGrid>
        <w:gridCol w:w="1345"/>
        <w:gridCol w:w="1080"/>
        <w:gridCol w:w="901"/>
        <w:gridCol w:w="1169"/>
        <w:gridCol w:w="1170"/>
        <w:gridCol w:w="1710"/>
        <w:gridCol w:w="1999"/>
      </w:tblGrid>
      <w:tr w:rsidR="006714FF" w14:paraId="1AA32BBF" w14:textId="77777777" w:rsidTr="00B77C41">
        <w:trPr>
          <w:trHeight w:val="300"/>
        </w:trPr>
        <w:tc>
          <w:tcPr>
            <w:tcW w:w="134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50CFBF7" w14:textId="77777777" w:rsidR="006714FF" w:rsidRDefault="006714FF" w:rsidP="00B77C41">
            <w:pPr>
              <w:pStyle w:val="TCTableBody"/>
            </w:pPr>
          </w:p>
          <w:p w14:paraId="4E2B14A9" w14:textId="77777777" w:rsidR="006714FF" w:rsidRDefault="006714FF" w:rsidP="00B77C41">
            <w:pPr>
              <w:pStyle w:val="TCTableBody"/>
              <w:rPr>
                <w:color w:val="000000" w:themeColor="text1"/>
              </w:rPr>
            </w:pPr>
            <w:r w:rsidRPr="57EE44F5">
              <w:t xml:space="preserve">VOC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5C480BE" w14:textId="77777777" w:rsidR="006714FF" w:rsidRDefault="006714FF" w:rsidP="00B77C41">
            <w:pPr>
              <w:pStyle w:val="TCTableBody"/>
              <w:rPr>
                <w:color w:val="000000" w:themeColor="text1"/>
              </w:rPr>
            </w:pPr>
            <w:proofErr w:type="spellStart"/>
            <w:r w:rsidRPr="57EE44F5">
              <w:t>CAMx</w:t>
            </w:r>
            <w:proofErr w:type="spellEnd"/>
            <w:r w:rsidRPr="57EE44F5">
              <w:t xml:space="preserve"> Pearson R</w:t>
            </w:r>
          </w:p>
        </w:tc>
        <w:tc>
          <w:tcPr>
            <w:tcW w:w="4950" w:type="dxa"/>
            <w:gridSpan w:val="4"/>
            <w:tcBorders>
              <w:top w:val="single" w:sz="4" w:space="0" w:color="auto"/>
              <w:left w:val="single" w:sz="4" w:space="0" w:color="auto"/>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3E8BE1B3" w14:textId="77777777" w:rsidR="006714FF" w:rsidRDefault="006714FF" w:rsidP="00B77C41">
            <w:pPr>
              <w:pStyle w:val="TCTableBody"/>
              <w:rPr>
                <w:color w:val="000000" w:themeColor="text1"/>
              </w:rPr>
            </w:pPr>
            <w:r w:rsidRPr="57EE44F5">
              <w:t>Average RCV Pearson R</w:t>
            </w:r>
          </w:p>
        </w:tc>
        <w:tc>
          <w:tcPr>
            <w:tcW w:w="1999"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175E605A" w14:textId="77777777" w:rsidR="006714FF" w:rsidRDefault="006714FF" w:rsidP="00B77C41">
            <w:pPr>
              <w:pStyle w:val="TCTableBody"/>
              <w:rPr>
                <w:color w:val="000000" w:themeColor="text1"/>
              </w:rPr>
            </w:pPr>
            <w:r w:rsidRPr="57EE44F5">
              <w:t>LOOCV Pearson R</w:t>
            </w:r>
          </w:p>
        </w:tc>
      </w:tr>
      <w:tr w:rsidR="006714FF" w14:paraId="46CD8389" w14:textId="77777777" w:rsidTr="00B77C41">
        <w:trPr>
          <w:trHeight w:val="285"/>
        </w:trPr>
        <w:tc>
          <w:tcPr>
            <w:tcW w:w="1345" w:type="dxa"/>
            <w:vMerge/>
            <w:tcBorders>
              <w:left w:val="single" w:sz="4" w:space="0" w:color="auto"/>
              <w:right w:val="single" w:sz="4" w:space="0" w:color="auto"/>
            </w:tcBorders>
            <w:vAlign w:val="center"/>
          </w:tcPr>
          <w:p w14:paraId="00D20A12" w14:textId="77777777" w:rsidR="006714FF" w:rsidRDefault="006714FF" w:rsidP="00B77C41">
            <w:pPr>
              <w:pStyle w:val="TCTableBody"/>
            </w:pPr>
          </w:p>
        </w:tc>
        <w:tc>
          <w:tcPr>
            <w:tcW w:w="1080" w:type="dxa"/>
            <w:vMerge/>
            <w:tcBorders>
              <w:left w:val="single" w:sz="4" w:space="0" w:color="auto"/>
              <w:right w:val="single" w:sz="4" w:space="0" w:color="auto"/>
            </w:tcBorders>
            <w:vAlign w:val="center"/>
          </w:tcPr>
          <w:p w14:paraId="14D8F330" w14:textId="77777777" w:rsidR="006714FF" w:rsidRDefault="006714FF" w:rsidP="00B77C41">
            <w:pPr>
              <w:pStyle w:val="TCTableBody"/>
            </w:pPr>
          </w:p>
        </w:tc>
        <w:tc>
          <w:tcPr>
            <w:tcW w:w="3240" w:type="dxa"/>
            <w:gridSpan w:val="3"/>
            <w:tcBorders>
              <w:top w:val="single" w:sz="4" w:space="0" w:color="auto"/>
              <w:left w:val="single" w:sz="4" w:space="0" w:color="auto"/>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61F63714" w14:textId="77777777" w:rsidR="006714FF" w:rsidRDefault="006714FF" w:rsidP="00B77C41">
            <w:pPr>
              <w:pStyle w:val="TCTableBody"/>
              <w:rPr>
                <w:color w:val="000000" w:themeColor="text1"/>
              </w:rPr>
            </w:pPr>
            <w:r w:rsidRPr="57EE44F5">
              <w:t xml:space="preserve">Observational Interpolation </w:t>
            </w:r>
          </w:p>
        </w:tc>
        <w:tc>
          <w:tcPr>
            <w:tcW w:w="1710" w:type="dxa"/>
            <w:vMerge w:val="restart"/>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DABD9E9" w14:textId="77777777" w:rsidR="006714FF" w:rsidRDefault="006714FF" w:rsidP="00B77C41">
            <w:pPr>
              <w:pStyle w:val="TCTableBody"/>
              <w:rPr>
                <w:color w:val="000000" w:themeColor="text1"/>
              </w:rPr>
            </w:pPr>
            <w:r w:rsidRPr="57EE44F5">
              <w:t>Selected Data Fusion Method</w:t>
            </w:r>
          </w:p>
        </w:tc>
        <w:tc>
          <w:tcPr>
            <w:tcW w:w="199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4D3A780" w14:textId="77777777" w:rsidR="006714FF" w:rsidRDefault="006714FF" w:rsidP="00B77C41">
            <w:pPr>
              <w:pStyle w:val="TCTableBody"/>
              <w:rPr>
                <w:color w:val="000000" w:themeColor="text1"/>
              </w:rPr>
            </w:pPr>
            <w:r w:rsidRPr="57EE44F5">
              <w:t>Selected Data Fusion Method</w:t>
            </w:r>
          </w:p>
        </w:tc>
      </w:tr>
      <w:tr w:rsidR="006714FF" w14:paraId="1942C5A5" w14:textId="77777777" w:rsidTr="00B77C41">
        <w:trPr>
          <w:trHeight w:val="780"/>
        </w:trPr>
        <w:tc>
          <w:tcPr>
            <w:tcW w:w="1345" w:type="dxa"/>
            <w:vMerge/>
            <w:tcBorders>
              <w:left w:val="single" w:sz="4" w:space="0" w:color="auto"/>
              <w:bottom w:val="single" w:sz="4" w:space="0" w:color="auto"/>
              <w:right w:val="single" w:sz="4" w:space="0" w:color="auto"/>
            </w:tcBorders>
            <w:vAlign w:val="center"/>
          </w:tcPr>
          <w:p w14:paraId="553BF4C9" w14:textId="77777777" w:rsidR="006714FF" w:rsidRDefault="006714FF" w:rsidP="00B77C41">
            <w:pPr>
              <w:pStyle w:val="TCTableBody"/>
            </w:pPr>
          </w:p>
        </w:tc>
        <w:tc>
          <w:tcPr>
            <w:tcW w:w="1080" w:type="dxa"/>
            <w:vMerge/>
            <w:tcBorders>
              <w:left w:val="single" w:sz="4" w:space="0" w:color="auto"/>
              <w:bottom w:val="single" w:sz="4" w:space="0" w:color="auto"/>
              <w:right w:val="single" w:sz="4" w:space="0" w:color="auto"/>
            </w:tcBorders>
            <w:vAlign w:val="center"/>
          </w:tcPr>
          <w:p w14:paraId="782AB0F0" w14:textId="77777777" w:rsidR="006714FF" w:rsidRDefault="006714FF" w:rsidP="00B77C41">
            <w:pPr>
              <w:pStyle w:val="TCTableBody"/>
            </w:pPr>
          </w:p>
        </w:tc>
        <w:tc>
          <w:tcPr>
            <w:tcW w:w="901" w:type="dxa"/>
            <w:tcBorders>
              <w:top w:val="single" w:sz="4" w:space="0" w:color="auto"/>
              <w:left w:val="single" w:sz="4" w:space="0" w:color="auto"/>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18D2D2F0" w14:textId="77777777" w:rsidR="006714FF" w:rsidRDefault="006714FF" w:rsidP="00B77C41">
            <w:pPr>
              <w:pStyle w:val="TCTableBody"/>
              <w:rPr>
                <w:color w:val="000000" w:themeColor="text1"/>
              </w:rPr>
            </w:pPr>
            <w:r w:rsidRPr="57EE44F5">
              <w:t>Flat Global Offset</w:t>
            </w:r>
          </w:p>
        </w:tc>
        <w:tc>
          <w:tcPr>
            <w:tcW w:w="1169" w:type="dxa"/>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AF2FC74" w14:textId="77777777" w:rsidR="006714FF" w:rsidRDefault="006714FF" w:rsidP="00B77C41">
            <w:pPr>
              <w:pStyle w:val="TCTableBody"/>
              <w:rPr>
                <w:color w:val="000000" w:themeColor="text1"/>
              </w:rPr>
            </w:pPr>
            <w:r w:rsidRPr="57EE44F5">
              <w:t>Medium- Resolution Global Offset</w:t>
            </w:r>
          </w:p>
        </w:tc>
        <w:tc>
          <w:tcPr>
            <w:tcW w:w="1170" w:type="dxa"/>
            <w:tcBorders>
              <w:top w:val="nil"/>
              <w:left w:val="single" w:sz="4" w:space="0" w:color="auto"/>
              <w:bottom w:val="single" w:sz="4" w:space="0" w:color="auto"/>
              <w:right w:val="single" w:sz="4" w:space="0" w:color="000000" w:themeColor="text1"/>
            </w:tcBorders>
            <w:shd w:val="clear" w:color="auto" w:fill="FFFFFF" w:themeFill="background1"/>
            <w:tcMar>
              <w:top w:w="15" w:type="dxa"/>
              <w:left w:w="15" w:type="dxa"/>
              <w:right w:w="15" w:type="dxa"/>
            </w:tcMar>
            <w:vAlign w:val="center"/>
          </w:tcPr>
          <w:p w14:paraId="06CBE1FC" w14:textId="77777777" w:rsidR="006714FF" w:rsidRDefault="006714FF" w:rsidP="00B77C41">
            <w:pPr>
              <w:pStyle w:val="TCTableBody"/>
              <w:rPr>
                <w:color w:val="000000" w:themeColor="text1"/>
              </w:rPr>
            </w:pPr>
            <w:r w:rsidRPr="57EE44F5">
              <w:t>Fine- Resolution Global Offset</w:t>
            </w:r>
          </w:p>
        </w:tc>
        <w:tc>
          <w:tcPr>
            <w:tcW w:w="1710" w:type="dxa"/>
            <w:vMerge/>
            <w:tcBorders>
              <w:bottom w:val="single" w:sz="4" w:space="0" w:color="auto"/>
              <w:right w:val="single" w:sz="4" w:space="0" w:color="auto"/>
            </w:tcBorders>
            <w:vAlign w:val="center"/>
          </w:tcPr>
          <w:p w14:paraId="56A92D21" w14:textId="77777777" w:rsidR="006714FF" w:rsidRDefault="006714FF" w:rsidP="00B77C41">
            <w:pPr>
              <w:pStyle w:val="TCTableBody"/>
            </w:pPr>
          </w:p>
        </w:tc>
        <w:tc>
          <w:tcPr>
            <w:tcW w:w="1999" w:type="dxa"/>
            <w:vMerge/>
            <w:tcBorders>
              <w:left w:val="single" w:sz="4" w:space="0" w:color="auto"/>
              <w:bottom w:val="single" w:sz="4" w:space="0" w:color="auto"/>
              <w:right w:val="single" w:sz="4" w:space="0" w:color="auto"/>
            </w:tcBorders>
            <w:vAlign w:val="center"/>
          </w:tcPr>
          <w:p w14:paraId="333527C0" w14:textId="77777777" w:rsidR="006714FF" w:rsidRDefault="006714FF" w:rsidP="00B77C41">
            <w:pPr>
              <w:pStyle w:val="TCTableBody"/>
            </w:pPr>
          </w:p>
        </w:tc>
      </w:tr>
      <w:tr w:rsidR="006714FF" w14:paraId="1B8756BC" w14:textId="77777777" w:rsidTr="00B77C41">
        <w:trPr>
          <w:trHeight w:val="28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1A51D10" w14:textId="77777777" w:rsidR="006714FF" w:rsidRDefault="006714FF" w:rsidP="00B77C41">
            <w:pPr>
              <w:pStyle w:val="TCTableBody"/>
              <w:rPr>
                <w:color w:val="000000" w:themeColor="text1"/>
              </w:rPr>
            </w:pPr>
            <w:r w:rsidRPr="57EE44F5">
              <w:t xml:space="preserve">Styrene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658CBA7" w14:textId="77777777" w:rsidR="006714FF" w:rsidRDefault="006714FF" w:rsidP="00B77C41">
            <w:pPr>
              <w:pStyle w:val="TCTableBody"/>
              <w:jc w:val="right"/>
              <w:rPr>
                <w:color w:val="000000" w:themeColor="text1"/>
              </w:rPr>
            </w:pPr>
            <w:r w:rsidRPr="57EE44F5">
              <w:t>0.244</w:t>
            </w:r>
          </w:p>
        </w:tc>
        <w:tc>
          <w:tcPr>
            <w:tcW w:w="90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7897B2B" w14:textId="77777777" w:rsidR="006714FF" w:rsidRDefault="006714FF" w:rsidP="00B77C41">
            <w:pPr>
              <w:pStyle w:val="TCTableBody"/>
              <w:jc w:val="right"/>
              <w:rPr>
                <w:color w:val="000000" w:themeColor="text1"/>
              </w:rPr>
            </w:pPr>
            <w:r w:rsidRPr="57EE44F5">
              <w:t>0.018</w:t>
            </w:r>
          </w:p>
        </w:tc>
        <w:tc>
          <w:tcPr>
            <w:tcW w:w="116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046EE9F" w14:textId="77777777" w:rsidR="006714FF" w:rsidRDefault="006714FF" w:rsidP="00B77C41">
            <w:pPr>
              <w:pStyle w:val="TCTableBody"/>
              <w:jc w:val="right"/>
              <w:rPr>
                <w:color w:val="000000" w:themeColor="text1"/>
              </w:rPr>
            </w:pPr>
            <w:r w:rsidRPr="57EE44F5">
              <w:t>0.045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C3D26F9" w14:textId="77777777" w:rsidR="006714FF" w:rsidRDefault="006714FF" w:rsidP="00B77C41">
            <w:pPr>
              <w:pStyle w:val="TCTableBody"/>
              <w:jc w:val="right"/>
              <w:rPr>
                <w:color w:val="000000" w:themeColor="text1"/>
              </w:rPr>
            </w:pPr>
            <w:r w:rsidRPr="57EE44F5">
              <w:t>0.162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10CF6CC" w14:textId="77777777" w:rsidR="006714FF" w:rsidRDefault="006714FF" w:rsidP="00B77C41">
            <w:pPr>
              <w:pStyle w:val="TCTableBody"/>
              <w:jc w:val="right"/>
              <w:rPr>
                <w:color w:val="000000" w:themeColor="text1"/>
              </w:rPr>
            </w:pPr>
            <w:r w:rsidRPr="57EE44F5">
              <w:t>0.218</w:t>
            </w:r>
          </w:p>
        </w:tc>
        <w:tc>
          <w:tcPr>
            <w:tcW w:w="199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964CFDF" w14:textId="77777777" w:rsidR="006714FF" w:rsidRDefault="006714FF" w:rsidP="00B77C41">
            <w:pPr>
              <w:pStyle w:val="TCTableBody"/>
              <w:jc w:val="right"/>
              <w:rPr>
                <w:color w:val="000000" w:themeColor="text1"/>
              </w:rPr>
            </w:pPr>
            <w:r w:rsidRPr="57EE44F5">
              <w:t>0.370</w:t>
            </w:r>
          </w:p>
        </w:tc>
      </w:tr>
      <w:tr w:rsidR="006714FF" w14:paraId="0F34CA30" w14:textId="77777777" w:rsidTr="00B77C41">
        <w:trPr>
          <w:trHeight w:val="28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2173108" w14:textId="77777777" w:rsidR="006714FF" w:rsidRDefault="006714FF" w:rsidP="00B77C41">
            <w:pPr>
              <w:pStyle w:val="TCTableBody"/>
              <w:rPr>
                <w:color w:val="000000" w:themeColor="text1"/>
              </w:rPr>
            </w:pPr>
            <w:r w:rsidRPr="57EE44F5">
              <w:t xml:space="preserve">Benzene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EC0C55D" w14:textId="77777777" w:rsidR="006714FF" w:rsidRDefault="006714FF" w:rsidP="00B77C41">
            <w:pPr>
              <w:pStyle w:val="TCTableBody"/>
              <w:jc w:val="right"/>
              <w:rPr>
                <w:color w:val="000000" w:themeColor="text1"/>
              </w:rPr>
            </w:pPr>
            <w:r w:rsidRPr="57EE44F5">
              <w:t>0.317</w:t>
            </w:r>
          </w:p>
        </w:tc>
        <w:tc>
          <w:tcPr>
            <w:tcW w:w="90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460693D" w14:textId="77777777" w:rsidR="006714FF" w:rsidRDefault="006714FF" w:rsidP="00B77C41">
            <w:pPr>
              <w:pStyle w:val="TCTableBody"/>
              <w:jc w:val="right"/>
              <w:rPr>
                <w:color w:val="000000" w:themeColor="text1"/>
              </w:rPr>
            </w:pPr>
            <w:r w:rsidRPr="57EE44F5">
              <w:t>0.093</w:t>
            </w:r>
          </w:p>
        </w:tc>
        <w:tc>
          <w:tcPr>
            <w:tcW w:w="116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1B20495" w14:textId="77777777" w:rsidR="006714FF" w:rsidRDefault="006714FF" w:rsidP="00B77C41">
            <w:pPr>
              <w:pStyle w:val="TCTableBody"/>
              <w:jc w:val="right"/>
              <w:rPr>
                <w:color w:val="000000" w:themeColor="text1"/>
              </w:rPr>
            </w:pPr>
            <w:r w:rsidRPr="57EE44F5">
              <w:t>0.291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5667D2E" w14:textId="77777777" w:rsidR="006714FF" w:rsidRDefault="006714FF" w:rsidP="00B77C41">
            <w:pPr>
              <w:pStyle w:val="TCTableBody"/>
              <w:jc w:val="right"/>
              <w:rPr>
                <w:color w:val="000000" w:themeColor="text1"/>
              </w:rPr>
            </w:pPr>
            <w:r w:rsidRPr="57EE44F5">
              <w:t>0.294</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7DD1844" w14:textId="77777777" w:rsidR="006714FF" w:rsidRDefault="006714FF" w:rsidP="00B77C41">
            <w:pPr>
              <w:pStyle w:val="TCTableBody"/>
              <w:jc w:val="right"/>
              <w:rPr>
                <w:color w:val="000000" w:themeColor="text1"/>
              </w:rPr>
            </w:pPr>
            <w:r w:rsidRPr="57EE44F5">
              <w:t>0.366</w:t>
            </w:r>
          </w:p>
        </w:tc>
        <w:tc>
          <w:tcPr>
            <w:tcW w:w="199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7F8CF48" w14:textId="77777777" w:rsidR="006714FF" w:rsidRDefault="006714FF" w:rsidP="00B77C41">
            <w:pPr>
              <w:pStyle w:val="TCTableBody"/>
              <w:jc w:val="right"/>
              <w:rPr>
                <w:color w:val="000000" w:themeColor="text1"/>
              </w:rPr>
            </w:pPr>
            <w:r w:rsidRPr="57EE44F5">
              <w:t>0.449</w:t>
            </w:r>
          </w:p>
        </w:tc>
      </w:tr>
      <w:tr w:rsidR="006714FF" w14:paraId="7297576D" w14:textId="77777777" w:rsidTr="00B77C41">
        <w:trPr>
          <w:trHeight w:val="28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73D3C6C" w14:textId="77777777" w:rsidR="006714FF" w:rsidRDefault="006714FF" w:rsidP="00B77C41">
            <w:pPr>
              <w:pStyle w:val="TCTableBody"/>
              <w:rPr>
                <w:color w:val="000000" w:themeColor="text1"/>
              </w:rPr>
            </w:pPr>
            <w:r w:rsidRPr="57EE44F5">
              <w:t xml:space="preserve">Toluene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343E2CA" w14:textId="77777777" w:rsidR="006714FF" w:rsidRDefault="006714FF" w:rsidP="00B77C41">
            <w:pPr>
              <w:pStyle w:val="TCTableBody"/>
              <w:jc w:val="right"/>
              <w:rPr>
                <w:color w:val="000000" w:themeColor="text1"/>
              </w:rPr>
            </w:pPr>
            <w:r w:rsidRPr="57EE44F5">
              <w:t>0.270</w:t>
            </w:r>
          </w:p>
        </w:tc>
        <w:tc>
          <w:tcPr>
            <w:tcW w:w="90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E60140E" w14:textId="77777777" w:rsidR="006714FF" w:rsidRDefault="006714FF" w:rsidP="00B77C41">
            <w:pPr>
              <w:pStyle w:val="TCTableBody"/>
              <w:jc w:val="right"/>
              <w:rPr>
                <w:color w:val="000000" w:themeColor="text1"/>
              </w:rPr>
            </w:pPr>
            <w:r w:rsidRPr="57EE44F5">
              <w:t>0.056</w:t>
            </w:r>
          </w:p>
        </w:tc>
        <w:tc>
          <w:tcPr>
            <w:tcW w:w="116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6EE5187" w14:textId="77777777" w:rsidR="006714FF" w:rsidRDefault="006714FF" w:rsidP="00B77C41">
            <w:pPr>
              <w:pStyle w:val="TCTableBody"/>
              <w:jc w:val="right"/>
              <w:rPr>
                <w:color w:val="000000" w:themeColor="text1"/>
              </w:rPr>
            </w:pPr>
            <w:r w:rsidRPr="57EE44F5">
              <w:t>0.077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FBA7CDD" w14:textId="77777777" w:rsidR="006714FF" w:rsidRDefault="006714FF" w:rsidP="00B77C41">
            <w:pPr>
              <w:pStyle w:val="TCTableBody"/>
              <w:jc w:val="right"/>
              <w:rPr>
                <w:color w:val="000000" w:themeColor="text1"/>
              </w:rPr>
            </w:pPr>
            <w:r w:rsidRPr="57EE44F5">
              <w:t>0.231</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054F570" w14:textId="77777777" w:rsidR="006714FF" w:rsidRDefault="006714FF" w:rsidP="00B77C41">
            <w:pPr>
              <w:pStyle w:val="TCTableBody"/>
              <w:jc w:val="right"/>
              <w:rPr>
                <w:color w:val="000000" w:themeColor="text1"/>
              </w:rPr>
            </w:pPr>
            <w:r w:rsidRPr="57EE44F5">
              <w:t>0.295</w:t>
            </w:r>
          </w:p>
        </w:tc>
        <w:tc>
          <w:tcPr>
            <w:tcW w:w="199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658AAA5" w14:textId="77777777" w:rsidR="006714FF" w:rsidRDefault="006714FF" w:rsidP="00B77C41">
            <w:pPr>
              <w:pStyle w:val="TCTableBody"/>
              <w:jc w:val="right"/>
              <w:rPr>
                <w:color w:val="000000" w:themeColor="text1"/>
              </w:rPr>
            </w:pPr>
            <w:r w:rsidRPr="57EE44F5">
              <w:t>0.407</w:t>
            </w:r>
          </w:p>
        </w:tc>
      </w:tr>
      <w:tr w:rsidR="006714FF" w14:paraId="6185CCAA" w14:textId="77777777" w:rsidTr="00B77C41">
        <w:trPr>
          <w:trHeight w:val="28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301E87C" w14:textId="77777777" w:rsidR="006714FF" w:rsidRDefault="006714FF" w:rsidP="00B77C41">
            <w:pPr>
              <w:pStyle w:val="TCTableBody"/>
              <w:rPr>
                <w:color w:val="000000" w:themeColor="text1"/>
              </w:rPr>
            </w:pPr>
            <w:r w:rsidRPr="57EE44F5">
              <w:t>Ethylbenzene</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B40A87F" w14:textId="77777777" w:rsidR="006714FF" w:rsidRDefault="006714FF" w:rsidP="00B77C41">
            <w:pPr>
              <w:pStyle w:val="TCTableBody"/>
              <w:jc w:val="right"/>
              <w:rPr>
                <w:color w:val="000000" w:themeColor="text1"/>
              </w:rPr>
            </w:pPr>
            <w:r w:rsidRPr="57EE44F5">
              <w:t>0.318</w:t>
            </w:r>
          </w:p>
        </w:tc>
        <w:tc>
          <w:tcPr>
            <w:tcW w:w="90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A8D0CF8" w14:textId="77777777" w:rsidR="006714FF" w:rsidRDefault="006714FF" w:rsidP="00B77C41">
            <w:pPr>
              <w:pStyle w:val="TCTableBody"/>
              <w:jc w:val="right"/>
              <w:rPr>
                <w:color w:val="000000" w:themeColor="text1"/>
              </w:rPr>
            </w:pPr>
            <w:r w:rsidRPr="57EE44F5">
              <w:t>0.062</w:t>
            </w:r>
          </w:p>
        </w:tc>
        <w:tc>
          <w:tcPr>
            <w:tcW w:w="116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0375140" w14:textId="77777777" w:rsidR="006714FF" w:rsidRDefault="006714FF" w:rsidP="00B77C41">
            <w:pPr>
              <w:pStyle w:val="TCTableBody"/>
              <w:jc w:val="right"/>
              <w:rPr>
                <w:color w:val="000000" w:themeColor="text1"/>
              </w:rPr>
            </w:pPr>
            <w:r w:rsidRPr="57EE44F5">
              <w:t>0.108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534BED8" w14:textId="77777777" w:rsidR="006714FF" w:rsidRDefault="006714FF" w:rsidP="00B77C41">
            <w:pPr>
              <w:pStyle w:val="TCTableBody"/>
              <w:jc w:val="right"/>
              <w:rPr>
                <w:color w:val="000000" w:themeColor="text1"/>
              </w:rPr>
            </w:pPr>
            <w:r w:rsidRPr="57EE44F5">
              <w:t>0.270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38A3FF5" w14:textId="77777777" w:rsidR="006714FF" w:rsidRDefault="006714FF" w:rsidP="00B77C41">
            <w:pPr>
              <w:pStyle w:val="TCTableBody"/>
              <w:jc w:val="right"/>
              <w:rPr>
                <w:color w:val="000000" w:themeColor="text1"/>
              </w:rPr>
            </w:pPr>
            <w:r w:rsidRPr="57EE44F5">
              <w:t>0.338</w:t>
            </w:r>
          </w:p>
        </w:tc>
        <w:tc>
          <w:tcPr>
            <w:tcW w:w="199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9C479E9" w14:textId="77777777" w:rsidR="006714FF" w:rsidRDefault="006714FF" w:rsidP="00B77C41">
            <w:pPr>
              <w:pStyle w:val="TCTableBody"/>
              <w:jc w:val="right"/>
              <w:rPr>
                <w:color w:val="000000" w:themeColor="text1"/>
              </w:rPr>
            </w:pPr>
            <w:r w:rsidRPr="57EE44F5">
              <w:t>0.421</w:t>
            </w:r>
          </w:p>
        </w:tc>
      </w:tr>
      <w:tr w:rsidR="006714FF" w14:paraId="74A6D7A6" w14:textId="77777777" w:rsidTr="00B77C41">
        <w:trPr>
          <w:trHeight w:val="28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5097A9C" w14:textId="77777777" w:rsidR="006714FF" w:rsidRDefault="006714FF" w:rsidP="00B77C41">
            <w:pPr>
              <w:pStyle w:val="TCTableBody"/>
              <w:rPr>
                <w:color w:val="000000" w:themeColor="text1"/>
              </w:rPr>
            </w:pPr>
            <w:r w:rsidRPr="57EE44F5">
              <w:t xml:space="preserve">Xylenes </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7B19F3E" w14:textId="77777777" w:rsidR="006714FF" w:rsidRDefault="006714FF" w:rsidP="00B77C41">
            <w:pPr>
              <w:pStyle w:val="TCTableBody"/>
              <w:jc w:val="right"/>
              <w:rPr>
                <w:color w:val="000000" w:themeColor="text1"/>
              </w:rPr>
            </w:pPr>
            <w:r w:rsidRPr="57EE44F5">
              <w:t>0.325</w:t>
            </w:r>
          </w:p>
        </w:tc>
        <w:tc>
          <w:tcPr>
            <w:tcW w:w="90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436EEEE" w14:textId="77777777" w:rsidR="006714FF" w:rsidRDefault="006714FF" w:rsidP="00B77C41">
            <w:pPr>
              <w:pStyle w:val="TCTableBody"/>
              <w:jc w:val="right"/>
              <w:rPr>
                <w:color w:val="000000" w:themeColor="text1"/>
              </w:rPr>
            </w:pPr>
            <w:r w:rsidRPr="57EE44F5">
              <w:t>0.069</w:t>
            </w:r>
          </w:p>
        </w:tc>
        <w:tc>
          <w:tcPr>
            <w:tcW w:w="116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A78FF65" w14:textId="77777777" w:rsidR="006714FF" w:rsidRDefault="006714FF" w:rsidP="00B77C41">
            <w:pPr>
              <w:pStyle w:val="TCTableBody"/>
              <w:jc w:val="right"/>
              <w:rPr>
                <w:color w:val="000000" w:themeColor="text1"/>
              </w:rPr>
            </w:pPr>
            <w:r w:rsidRPr="57EE44F5">
              <w:t>0.156</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EEAA4DA" w14:textId="77777777" w:rsidR="006714FF" w:rsidRDefault="006714FF" w:rsidP="00B77C41">
            <w:pPr>
              <w:pStyle w:val="TCTableBody"/>
              <w:jc w:val="right"/>
              <w:rPr>
                <w:color w:val="000000" w:themeColor="text1"/>
              </w:rPr>
            </w:pPr>
            <w:r w:rsidRPr="57EE44F5">
              <w:t>0.304</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AC30CE6" w14:textId="77777777" w:rsidR="006714FF" w:rsidRDefault="006714FF" w:rsidP="00B77C41">
            <w:pPr>
              <w:pStyle w:val="TCTableBody"/>
              <w:jc w:val="right"/>
              <w:rPr>
                <w:color w:val="000000" w:themeColor="text1"/>
              </w:rPr>
            </w:pPr>
            <w:r w:rsidRPr="57EE44F5">
              <w:t>0.345</w:t>
            </w:r>
          </w:p>
        </w:tc>
        <w:tc>
          <w:tcPr>
            <w:tcW w:w="199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7D294E4" w14:textId="77777777" w:rsidR="006714FF" w:rsidRDefault="006714FF" w:rsidP="00B77C41">
            <w:pPr>
              <w:pStyle w:val="TCTableBody"/>
              <w:jc w:val="right"/>
              <w:rPr>
                <w:color w:val="000000" w:themeColor="text1"/>
              </w:rPr>
            </w:pPr>
            <w:r w:rsidRPr="57EE44F5">
              <w:t>0.446</w:t>
            </w:r>
          </w:p>
        </w:tc>
      </w:tr>
    </w:tbl>
    <w:p w14:paraId="3FABFFEE" w14:textId="77777777" w:rsidR="006714FF" w:rsidRDefault="006714FF" w:rsidP="00B92463">
      <w:pPr>
        <w:pStyle w:val="TESupportingInformation"/>
        <w:spacing w:after="0"/>
      </w:pPr>
    </w:p>
    <w:p w14:paraId="4486146B" w14:textId="77777777" w:rsidR="006714FF" w:rsidRPr="002A50D1" w:rsidRDefault="006714FF" w:rsidP="006714FF">
      <w:pPr>
        <w:pStyle w:val="TESupportingInformation"/>
        <w:rPr>
          <w:b/>
          <w:bCs/>
        </w:rPr>
      </w:pPr>
      <w:r w:rsidRPr="002A50D1">
        <w:rPr>
          <w:b/>
          <w:bCs/>
        </w:rPr>
        <w:t xml:space="preserve">S10. Complete Validation Results Outside the </w:t>
      </w:r>
      <w:proofErr w:type="spellStart"/>
      <w:r w:rsidRPr="002A50D1">
        <w:rPr>
          <w:b/>
          <w:bCs/>
        </w:rPr>
        <w:t>CAMx</w:t>
      </w:r>
      <w:proofErr w:type="spellEnd"/>
      <w:r w:rsidRPr="002A50D1">
        <w:rPr>
          <w:b/>
          <w:bCs/>
        </w:rPr>
        <w:t>-modeled Domain</w:t>
      </w:r>
    </w:p>
    <w:p w14:paraId="66CA273C" w14:textId="77777777" w:rsidR="006714FF" w:rsidRPr="002A50D1" w:rsidRDefault="006714FF" w:rsidP="006714FF">
      <w:pPr>
        <w:pStyle w:val="TESupportingInformation"/>
      </w:pPr>
      <w:r w:rsidRPr="002A50D1">
        <w:t xml:space="preserve">RCV curves for </w:t>
      </w:r>
      <w:proofErr w:type="spellStart"/>
      <w:r w:rsidRPr="002A50D1">
        <w:t>logVOC</w:t>
      </w:r>
      <w:r w:rsidRPr="00B77C41">
        <w:rPr>
          <w:vertAlign w:val="subscript"/>
        </w:rPr>
        <w:t>mean</w:t>
      </w:r>
      <w:proofErr w:type="spellEnd"/>
      <w:r w:rsidRPr="002A50D1">
        <w:t xml:space="preserve">, </w:t>
      </w:r>
      <w:proofErr w:type="spellStart"/>
      <w:r w:rsidRPr="002A50D1">
        <w:t>VOC</w:t>
      </w:r>
      <w:r w:rsidRPr="00B77C41">
        <w:rPr>
          <w:vertAlign w:val="subscript"/>
        </w:rPr>
        <w:t>median</w:t>
      </w:r>
      <w:proofErr w:type="spellEnd"/>
      <w:r w:rsidRPr="002A50D1">
        <w:t xml:space="preserve">, and </w:t>
      </w:r>
      <w:proofErr w:type="spellStart"/>
      <w:r w:rsidRPr="002A50D1">
        <w:t>VOC</w:t>
      </w:r>
      <w:r w:rsidRPr="00B77C41">
        <w:rPr>
          <w:vertAlign w:val="subscript"/>
        </w:rPr>
        <w:t>mean</w:t>
      </w:r>
      <w:proofErr w:type="spellEnd"/>
      <w:r w:rsidRPr="002A50D1">
        <w:t xml:space="preserve"> estimates outside of </w:t>
      </w:r>
      <w:proofErr w:type="spellStart"/>
      <w:r w:rsidRPr="002A50D1">
        <w:t>CAMx</w:t>
      </w:r>
      <w:proofErr w:type="spellEnd"/>
      <w:r w:rsidRPr="002A50D1">
        <w:t xml:space="preserve"> for each SBTEX pollutant are in the following figures: Figure S</w:t>
      </w:r>
      <w:r>
        <w:t>30</w:t>
      </w:r>
      <w:r w:rsidRPr="002A50D1">
        <w:t xml:space="preserve"> (styrene), Figure S3</w:t>
      </w:r>
      <w:r>
        <w:t>1</w:t>
      </w:r>
      <w:r w:rsidRPr="002A50D1">
        <w:t xml:space="preserve"> (benzene), Figure S3</w:t>
      </w:r>
      <w:r>
        <w:t>2</w:t>
      </w:r>
      <w:r w:rsidRPr="002A50D1">
        <w:t xml:space="preserve"> (toluene), Figure S3</w:t>
      </w:r>
      <w:r>
        <w:t>3</w:t>
      </w:r>
      <w:r w:rsidRPr="002A50D1">
        <w:t xml:space="preserve"> (ethylbenzene), and Figure S3</w:t>
      </w:r>
      <w:r>
        <w:t>4</w:t>
      </w:r>
      <w:r w:rsidRPr="002A50D1">
        <w:t xml:space="preserve"> (xylenes).</w:t>
      </w:r>
    </w:p>
    <w:p w14:paraId="745004E2" w14:textId="77777777" w:rsidR="006714FF" w:rsidRDefault="006714FF" w:rsidP="006714FF">
      <w:pPr>
        <w:pStyle w:val="VAFigureCaption"/>
      </w:pPr>
      <w:r w:rsidRPr="00E91DFB">
        <w:rPr>
          <w:noProof/>
        </w:rPr>
        <w:lastRenderedPageBreak/>
        <w:drawing>
          <wp:inline distT="0" distB="0" distL="0" distR="0" wp14:anchorId="134E8037" wp14:editId="19F627D7">
            <wp:extent cx="5887844" cy="2514600"/>
            <wp:effectExtent l="0" t="0" r="0" b="0"/>
            <wp:docPr id="1241081141" name="Picture 1241081141" descr="A group of graphs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81141" name="Picture 1241081141" descr="A group of graphs with red and blue lines&#10;&#10;Description automatically generated"/>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w:t>
      </w:r>
      <w:r>
        <w:rPr>
          <w:b/>
          <w:bCs/>
        </w:rPr>
        <w:t>30</w:t>
      </w:r>
      <w:r w:rsidRPr="00E91DFB">
        <w:rPr>
          <w:b/>
          <w:bCs/>
        </w:rPr>
        <w:t>.</w:t>
      </w:r>
      <w:r w:rsidRPr="00E91DFB">
        <w:t xml:space="preserve"> RCV plots for styrene estimation on the outside of </w:t>
      </w:r>
      <w:proofErr w:type="spellStart"/>
      <w:r w:rsidRPr="00E91DFB">
        <w:t>CAMx</w:t>
      </w:r>
      <w:proofErr w:type="spellEnd"/>
      <w:r w:rsidRPr="00E91DFB">
        <w:t xml:space="preserve"> region. Top row: RCV plots using the Pearson R as the Cross Validation R; bottom row: RCV plots using the Spearman R as the Cross Validation R. Left column: </w:t>
      </w:r>
      <w:proofErr w:type="spellStart"/>
      <w:r w:rsidRPr="00E91DFB">
        <w:t>logVOC</w:t>
      </w:r>
      <w:r w:rsidRPr="003F327D">
        <w:rPr>
          <w:vertAlign w:val="subscript"/>
        </w:rPr>
        <w:t>mean</w:t>
      </w:r>
      <w:proofErr w:type="spellEnd"/>
      <w:r w:rsidRPr="00E91DFB">
        <w:t xml:space="preserve"> RCV plots; center column: </w:t>
      </w:r>
      <w:proofErr w:type="spellStart"/>
      <w:r w:rsidRPr="00E91DFB">
        <w:t>VOC</w:t>
      </w:r>
      <w:r w:rsidRPr="003F327D">
        <w:rPr>
          <w:vertAlign w:val="subscript"/>
        </w:rPr>
        <w:t>median</w:t>
      </w:r>
      <w:proofErr w:type="spellEnd"/>
      <w:r w:rsidRPr="00E91DFB">
        <w:t xml:space="preserve"> RCV plots; right column: </w:t>
      </w:r>
      <w:proofErr w:type="spellStart"/>
      <w:r w:rsidRPr="00E91DFB">
        <w:t>VOC</w:t>
      </w:r>
      <w:r w:rsidRPr="003F327D">
        <w:rPr>
          <w:vertAlign w:val="subscript"/>
        </w:rPr>
        <w:t>mean</w:t>
      </w:r>
      <w:proofErr w:type="spellEnd"/>
      <w:r w:rsidRPr="00E91DFB">
        <w:t xml:space="preserve"> RCV plots.</w:t>
      </w:r>
    </w:p>
    <w:p w14:paraId="3CD83502" w14:textId="77777777" w:rsidR="006714FF" w:rsidRDefault="006714FF" w:rsidP="006714FF"/>
    <w:p w14:paraId="4D765E93" w14:textId="77777777" w:rsidR="006714FF" w:rsidRDefault="006714FF" w:rsidP="006714FF"/>
    <w:p w14:paraId="511706DE" w14:textId="77777777" w:rsidR="006714FF" w:rsidRDefault="006714FF" w:rsidP="006714FF"/>
    <w:p w14:paraId="7B6F47D7" w14:textId="77777777" w:rsidR="006714FF" w:rsidRPr="005147E4" w:rsidRDefault="006714FF" w:rsidP="006714FF"/>
    <w:p w14:paraId="7723F119" w14:textId="3E32419F" w:rsidR="006714FF" w:rsidRDefault="006714FF" w:rsidP="006714FF">
      <w:pPr>
        <w:pStyle w:val="VAFigureCaption"/>
      </w:pPr>
      <w:r w:rsidRPr="00E91DFB">
        <w:rPr>
          <w:noProof/>
        </w:rPr>
        <w:lastRenderedPageBreak/>
        <w:drawing>
          <wp:inline distT="0" distB="0" distL="0" distR="0" wp14:anchorId="2C1DD61B" wp14:editId="0AFCA943">
            <wp:extent cx="5887844" cy="2514600"/>
            <wp:effectExtent l="0" t="0" r="0" b="0"/>
            <wp:docPr id="496607491" name="Picture 49660749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07491" name="Picture 496607491" descr="A diagram of a graph&#10;&#10;Description automatically generated"/>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w:t>
      </w:r>
      <w:r>
        <w:rPr>
          <w:b/>
          <w:bCs/>
        </w:rPr>
        <w:t>31</w:t>
      </w:r>
      <w:r w:rsidRPr="00E91DFB">
        <w:rPr>
          <w:b/>
          <w:bCs/>
        </w:rPr>
        <w:t>.</w:t>
      </w:r>
      <w:r w:rsidRPr="00E91DFB">
        <w:t xml:space="preserve"> RCV plots for benzene estimation on the outside of </w:t>
      </w:r>
      <w:proofErr w:type="spellStart"/>
      <w:r w:rsidRPr="00E91DFB">
        <w:t>CAMx</w:t>
      </w:r>
      <w:proofErr w:type="spellEnd"/>
      <w:r w:rsidRPr="00E91DFB">
        <w:t xml:space="preserve"> region.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38E53ECC" w14:textId="77777777" w:rsidR="006714FF" w:rsidRDefault="006714FF" w:rsidP="006714FF"/>
    <w:p w14:paraId="4DA6F58B" w14:textId="77777777" w:rsidR="006714FF" w:rsidRDefault="006714FF" w:rsidP="006714FF"/>
    <w:p w14:paraId="1926C2BF" w14:textId="77777777" w:rsidR="006714FF" w:rsidRDefault="006714FF" w:rsidP="006714FF"/>
    <w:p w14:paraId="7F09C66A" w14:textId="77777777" w:rsidR="006714FF" w:rsidRPr="005147E4" w:rsidRDefault="006714FF" w:rsidP="006714FF"/>
    <w:p w14:paraId="350DD714" w14:textId="290C4E80" w:rsidR="006714FF" w:rsidRDefault="006714FF" w:rsidP="006714FF">
      <w:pPr>
        <w:pStyle w:val="VAFigureCaption"/>
      </w:pPr>
      <w:r w:rsidRPr="00E91DFB">
        <w:rPr>
          <w:noProof/>
        </w:rPr>
        <w:lastRenderedPageBreak/>
        <w:drawing>
          <wp:inline distT="0" distB="0" distL="0" distR="0" wp14:anchorId="459835A7" wp14:editId="517184B3">
            <wp:extent cx="5887844" cy="2514600"/>
            <wp:effectExtent l="0" t="0" r="0" b="0"/>
            <wp:docPr id="2030776828" name="Picture 2030776828" descr="A graph of a number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76828" name="Picture 2030776828" descr="A graph of a number of graphs&#10;&#10;Description automatically generated with medium confidenc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S3</w:t>
      </w:r>
      <w:r>
        <w:rPr>
          <w:b/>
          <w:bCs/>
        </w:rPr>
        <w:t>2</w:t>
      </w:r>
      <w:r w:rsidRPr="00E91DFB">
        <w:rPr>
          <w:b/>
          <w:bCs/>
        </w:rPr>
        <w:t>.</w:t>
      </w:r>
      <w:r w:rsidRPr="00E91DFB">
        <w:t xml:space="preserve"> RCV plots for benzene estimation on the outside of </w:t>
      </w:r>
      <w:proofErr w:type="spellStart"/>
      <w:r w:rsidRPr="00E91DFB">
        <w:t>CAMx</w:t>
      </w:r>
      <w:proofErr w:type="spellEnd"/>
      <w:r w:rsidRPr="00E91DFB">
        <w:t xml:space="preserve"> region.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6F00FCCB" w14:textId="77777777" w:rsidR="006714FF" w:rsidRDefault="006714FF" w:rsidP="006714FF"/>
    <w:p w14:paraId="13EEF27B" w14:textId="77777777" w:rsidR="006714FF" w:rsidRDefault="006714FF" w:rsidP="006714FF"/>
    <w:p w14:paraId="50D9208A" w14:textId="77777777" w:rsidR="006714FF" w:rsidRDefault="006714FF" w:rsidP="006714FF"/>
    <w:p w14:paraId="34C22F64" w14:textId="77777777" w:rsidR="006714FF" w:rsidRPr="005147E4" w:rsidRDefault="006714FF" w:rsidP="006714FF"/>
    <w:p w14:paraId="18A0E054" w14:textId="582C40E4" w:rsidR="006714FF" w:rsidRDefault="006714FF" w:rsidP="006714FF">
      <w:pPr>
        <w:pStyle w:val="VAFigureCaption"/>
      </w:pPr>
      <w:r w:rsidRPr="00E91DFB">
        <w:rPr>
          <w:noProof/>
        </w:rPr>
        <w:lastRenderedPageBreak/>
        <w:drawing>
          <wp:inline distT="0" distB="0" distL="0" distR="0" wp14:anchorId="22FC69F9" wp14:editId="50686EDA">
            <wp:extent cx="5887844" cy="2514600"/>
            <wp:effectExtent l="0" t="0" r="0" b="0"/>
            <wp:docPr id="856254188" name="Picture 856254188"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54188" name="Picture 856254188" descr="A diagram of a graph&#10;&#10;Description automatically generated with medium confidenc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S3</w:t>
      </w:r>
      <w:r>
        <w:rPr>
          <w:b/>
          <w:bCs/>
        </w:rPr>
        <w:t>3</w:t>
      </w:r>
      <w:r w:rsidRPr="00E91DFB">
        <w:rPr>
          <w:b/>
          <w:bCs/>
        </w:rPr>
        <w:t>.</w:t>
      </w:r>
      <w:r w:rsidRPr="00E91DFB">
        <w:t xml:space="preserve"> RCV plots for ethylbenzene estimation on the outside of </w:t>
      </w:r>
      <w:proofErr w:type="spellStart"/>
      <w:r w:rsidRPr="00E91DFB">
        <w:t>CAMx</w:t>
      </w:r>
      <w:proofErr w:type="spellEnd"/>
      <w:r w:rsidRPr="00E91DFB">
        <w:t xml:space="preserve"> region.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6ECAB78D" w14:textId="77777777" w:rsidR="006714FF" w:rsidRDefault="006714FF" w:rsidP="006714FF"/>
    <w:p w14:paraId="71F08F89" w14:textId="77777777" w:rsidR="006714FF" w:rsidRDefault="006714FF" w:rsidP="006714FF"/>
    <w:p w14:paraId="34BF6997" w14:textId="77777777" w:rsidR="006714FF" w:rsidRDefault="006714FF" w:rsidP="006714FF"/>
    <w:p w14:paraId="2E429235" w14:textId="77777777" w:rsidR="006714FF" w:rsidRPr="005147E4" w:rsidRDefault="006714FF" w:rsidP="006714FF"/>
    <w:p w14:paraId="4AEFD89D" w14:textId="34C2541A" w:rsidR="006714FF" w:rsidRDefault="006714FF" w:rsidP="006714FF">
      <w:pPr>
        <w:pStyle w:val="VAFigureCaption"/>
      </w:pPr>
      <w:r w:rsidRPr="00E91DFB">
        <w:rPr>
          <w:noProof/>
        </w:rPr>
        <w:lastRenderedPageBreak/>
        <w:drawing>
          <wp:inline distT="0" distB="0" distL="0" distR="0" wp14:anchorId="15248099" wp14:editId="41EA310C">
            <wp:extent cx="5887844" cy="2514600"/>
            <wp:effectExtent l="0" t="0" r="0" b="0"/>
            <wp:docPr id="1680731152" name="Picture 1680731152"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31152" name="Picture 1680731152" descr="A diagram of a graph&#10;&#10;Description automatically generated with medium confidenc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E91DFB">
        <w:rPr>
          <w:b/>
          <w:bCs/>
        </w:rPr>
        <w:t>Figure S3</w:t>
      </w:r>
      <w:r>
        <w:rPr>
          <w:b/>
          <w:bCs/>
        </w:rPr>
        <w:t>4</w:t>
      </w:r>
      <w:r w:rsidRPr="00E91DFB">
        <w:rPr>
          <w:b/>
          <w:bCs/>
        </w:rPr>
        <w:t>.</w:t>
      </w:r>
      <w:r w:rsidRPr="00E91DFB">
        <w:t xml:space="preserve"> RCV plots for xylenes estimation on the outside of </w:t>
      </w:r>
      <w:proofErr w:type="spellStart"/>
      <w:r w:rsidRPr="00E91DFB">
        <w:t>CAMx</w:t>
      </w:r>
      <w:proofErr w:type="spellEnd"/>
      <w:r w:rsidRPr="00E91DFB">
        <w:t xml:space="preserve"> region.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6E55E54F" w14:textId="1E214B27" w:rsidR="006714FF" w:rsidRPr="0034394B" w:rsidRDefault="006714FF" w:rsidP="006714FF">
      <w:pPr>
        <w:pStyle w:val="TESupportingInformation"/>
      </w:pPr>
      <w:proofErr w:type="spellStart"/>
      <w:r w:rsidRPr="0034394B">
        <w:t>VOC</w:t>
      </w:r>
      <w:r w:rsidRPr="0034394B">
        <w:rPr>
          <w:vertAlign w:val="subscript"/>
        </w:rPr>
        <w:t>mean</w:t>
      </w:r>
      <w:proofErr w:type="spellEnd"/>
      <w:r w:rsidRPr="0034394B">
        <w:t xml:space="preserve"> RCV curves behaved very similar to </w:t>
      </w:r>
      <w:proofErr w:type="spellStart"/>
      <w:r w:rsidRPr="0034394B">
        <w:t>VOC</w:t>
      </w:r>
      <w:r w:rsidRPr="0034394B">
        <w:rPr>
          <w:vertAlign w:val="subscript"/>
        </w:rPr>
        <w:t>median</w:t>
      </w:r>
      <w:proofErr w:type="spellEnd"/>
      <w:r w:rsidRPr="0034394B">
        <w:t xml:space="preserve"> curves outside of </w:t>
      </w:r>
      <w:proofErr w:type="spellStart"/>
      <w:r w:rsidRPr="0034394B">
        <w:t>CAMx</w:t>
      </w:r>
      <w:proofErr w:type="spellEnd"/>
      <w:r w:rsidRPr="0034394B">
        <w:t>, with respect to observational interpolation performance and best estimation method selection (Figures S</w:t>
      </w:r>
      <w:r>
        <w:t>30</w:t>
      </w:r>
      <w:r w:rsidRPr="0034394B">
        <w:t>-S3</w:t>
      </w:r>
      <w:r>
        <w:t>4</w:t>
      </w:r>
      <w:r w:rsidRPr="0034394B">
        <w:t xml:space="preserve">). Additionally, the same estimation methods would have been selected for SBTEX estimation outside of </w:t>
      </w:r>
      <w:proofErr w:type="spellStart"/>
      <w:r w:rsidRPr="0034394B">
        <w:t>CAMx</w:t>
      </w:r>
      <w:proofErr w:type="spellEnd"/>
      <w:r w:rsidRPr="0034394B">
        <w:t xml:space="preserve"> if one had used </w:t>
      </w:r>
      <w:proofErr w:type="spellStart"/>
      <w:r w:rsidRPr="0034394B">
        <w:t>VOC</w:t>
      </w:r>
      <w:r w:rsidRPr="0034394B">
        <w:rPr>
          <w:vertAlign w:val="subscript"/>
        </w:rPr>
        <w:t>mean</w:t>
      </w:r>
      <w:proofErr w:type="spellEnd"/>
      <w:r w:rsidRPr="0034394B">
        <w:t xml:space="preserve"> RCV rather than </w:t>
      </w:r>
      <w:proofErr w:type="spellStart"/>
      <w:r w:rsidRPr="0034394B">
        <w:t>VOC</w:t>
      </w:r>
      <w:r w:rsidRPr="0034394B">
        <w:rPr>
          <w:vertAlign w:val="subscript"/>
        </w:rPr>
        <w:t>median</w:t>
      </w:r>
      <w:proofErr w:type="spellEnd"/>
      <w:r w:rsidRPr="0034394B">
        <w:t xml:space="preserve"> RCV curves (Figures S</w:t>
      </w:r>
      <w:r>
        <w:t>30</w:t>
      </w:r>
      <w:r w:rsidRPr="0034394B">
        <w:t>-S3</w:t>
      </w:r>
      <w:r>
        <w:t>4</w:t>
      </w:r>
      <w:r w:rsidRPr="0034394B">
        <w:t>). One should note that method selection for mean benzene and ethylbenzene deferred to the Spearman R recommendation because Pearson R RCV curves did not monotonically decrease over radius limits (Figure S</w:t>
      </w:r>
      <w:r>
        <w:t>31</w:t>
      </w:r>
      <w:r w:rsidRPr="0034394B">
        <w:t>, Figure S3</w:t>
      </w:r>
      <w:r>
        <w:t>3</w:t>
      </w:r>
      <w:r w:rsidRPr="0034394B">
        <w:t xml:space="preserve">). </w:t>
      </w:r>
      <w:r w:rsidR="00BA0462" w:rsidRPr="0034394B">
        <w:t>Xylene’s</w:t>
      </w:r>
      <w:r w:rsidRPr="0034394B">
        <w:t xml:space="preserve"> method selection also deferred to the Spearman R because the average Pearson R values were less than 50% of the average Spearman R values (Figure S3</w:t>
      </w:r>
      <w:r>
        <w:t>4</w:t>
      </w:r>
      <w:r w:rsidRPr="0034394B">
        <w:t>).</w:t>
      </w:r>
    </w:p>
    <w:p w14:paraId="704B0593" w14:textId="77777777" w:rsidR="006714FF" w:rsidRPr="0034394B" w:rsidRDefault="006714FF" w:rsidP="006714FF">
      <w:pPr>
        <w:pStyle w:val="TESupportingInformation"/>
      </w:pPr>
      <w:r w:rsidRPr="0034394B">
        <w:lastRenderedPageBreak/>
        <w:t xml:space="preserve">Observational interpolation for </w:t>
      </w:r>
      <w:proofErr w:type="spellStart"/>
      <w:r>
        <w:t>logV</w:t>
      </w:r>
      <w:r w:rsidRPr="0034394B">
        <w:t>OC</w:t>
      </w:r>
      <w:r w:rsidRPr="0034394B">
        <w:rPr>
          <w:vertAlign w:val="subscript"/>
        </w:rPr>
        <w:t>mean</w:t>
      </w:r>
      <w:proofErr w:type="spellEnd"/>
      <w:r w:rsidRPr="0034394B">
        <w:t xml:space="preserve"> </w:t>
      </w:r>
      <w:r>
        <w:t xml:space="preserve">using global offsets </w:t>
      </w:r>
      <w:r w:rsidRPr="0034394B">
        <w:t>performed in the expected order for STEX, where the flat global offset performed the worst, the medium-resolution global offset performed better, and the fine-resolution offset performed best (Figure S</w:t>
      </w:r>
      <w:r>
        <w:t>30</w:t>
      </w:r>
      <w:r w:rsidRPr="0034394B">
        <w:t>, Figures S3</w:t>
      </w:r>
      <w:r>
        <w:t>2</w:t>
      </w:r>
      <w:r w:rsidRPr="0034394B">
        <w:t>-S3</w:t>
      </w:r>
      <w:r>
        <w:t>4</w:t>
      </w:r>
      <w:r w:rsidRPr="0034394B">
        <w:t xml:space="preserve">). </w:t>
      </w:r>
    </w:p>
    <w:p w14:paraId="0921DE9A" w14:textId="77777777" w:rsidR="006714FF" w:rsidRPr="0034394B" w:rsidRDefault="006714FF" w:rsidP="006714FF">
      <w:pPr>
        <w:pStyle w:val="TESupportingInformation"/>
      </w:pPr>
      <w:r w:rsidRPr="0034394B">
        <w:t xml:space="preserve">STEX observational interpolation </w:t>
      </w:r>
      <w:r>
        <w:t xml:space="preserve">of </w:t>
      </w:r>
      <w:proofErr w:type="spellStart"/>
      <w:r>
        <w:t>logVOC</w:t>
      </w:r>
      <w:r>
        <w:rPr>
          <w:vertAlign w:val="subscript"/>
        </w:rPr>
        <w:t>mean</w:t>
      </w:r>
      <w:proofErr w:type="spellEnd"/>
      <w:r>
        <w:t xml:space="preserve"> estimates </w:t>
      </w:r>
      <w:r w:rsidRPr="0034394B">
        <w:t>decreased, as expected, over increasing radius limits when using a flat or medium-resolution global offset but appeared to plateau using a fine-resolution global offset (Figure S</w:t>
      </w:r>
      <w:r>
        <w:t>30</w:t>
      </w:r>
      <w:r w:rsidRPr="0034394B">
        <w:t>, Figures S3</w:t>
      </w:r>
      <w:r>
        <w:t>2</w:t>
      </w:r>
      <w:r w:rsidRPr="0034394B">
        <w:t>-S3</w:t>
      </w:r>
      <w:r>
        <w:t>4</w:t>
      </w:r>
      <w:r w:rsidRPr="0034394B">
        <w:t xml:space="preserve">). The observed plateau behavior of observational interpolation using fine-resolution global offsets could not be confirmed due to the limited size of the Gulf states and may have been a slow decrease in performance attributed to the long spatial covariance structure for SBTEX. </w:t>
      </w:r>
    </w:p>
    <w:p w14:paraId="736579B5" w14:textId="77777777" w:rsidR="006714FF" w:rsidRPr="0034394B" w:rsidRDefault="006714FF" w:rsidP="006714FF">
      <w:pPr>
        <w:pStyle w:val="TESupportingInformation"/>
      </w:pPr>
      <w:r w:rsidRPr="0034394B">
        <w:t xml:space="preserve">Observational interpolation of mean </w:t>
      </w:r>
      <w:r>
        <w:t>log-</w:t>
      </w:r>
      <w:r w:rsidRPr="0034394B">
        <w:t>benzene using global offsets all decreased over increasing radius limits but did not perform in the expected order for Spearman R RCV curves (Figure S</w:t>
      </w:r>
      <w:r>
        <w:t>31</w:t>
      </w:r>
      <w:r w:rsidRPr="0034394B">
        <w:t xml:space="preserve">). Mean </w:t>
      </w:r>
      <w:r>
        <w:t>log-</w:t>
      </w:r>
      <w:r w:rsidRPr="0034394B">
        <w:t>benzene Pearson R RCV curves showed observational interpolation performance from low to high as a flat global offset, medium-resolution global offset, and fine-resolution global offset (Figure S</w:t>
      </w:r>
      <w:r>
        <w:t>31</w:t>
      </w:r>
      <w:r w:rsidRPr="0034394B">
        <w:t xml:space="preserve">). Conversely, the flat global offset outperformed medium- and fine-resolution global offsets for Spearman R, which may be attributed to the longer covariance range of the flat global offset retrieving more information to preserve </w:t>
      </w:r>
      <w:r>
        <w:t xml:space="preserve">the </w:t>
      </w:r>
      <w:r w:rsidRPr="0034394B">
        <w:t>rank order of estimates (Figure S</w:t>
      </w:r>
      <w:r>
        <w:t>31</w:t>
      </w:r>
      <w:r w:rsidRPr="0034394B">
        <w:t xml:space="preserve">). </w:t>
      </w:r>
    </w:p>
    <w:p w14:paraId="16FB04B3" w14:textId="77777777" w:rsidR="006714FF" w:rsidRPr="003B4657" w:rsidRDefault="006714FF" w:rsidP="006714FF">
      <w:pPr>
        <w:pStyle w:val="TESupportingInformation"/>
        <w:rPr>
          <w:b/>
          <w:bCs/>
        </w:rPr>
      </w:pPr>
      <w:r w:rsidRPr="003B4657">
        <w:rPr>
          <w:b/>
          <w:bCs/>
        </w:rPr>
        <w:t>S</w:t>
      </w:r>
      <w:r>
        <w:rPr>
          <w:b/>
          <w:bCs/>
        </w:rPr>
        <w:t>11. Composite Method Performance in the Gulf States</w:t>
      </w:r>
    </w:p>
    <w:p w14:paraId="36F008E4" w14:textId="77777777" w:rsidR="006714FF" w:rsidRPr="003A2F84" w:rsidRDefault="006714FF" w:rsidP="006714FF">
      <w:pPr>
        <w:pStyle w:val="VAFigureCaption"/>
      </w:pPr>
      <w:r w:rsidRPr="0034394B">
        <w:t xml:space="preserve">Complete RCV curves for </w:t>
      </w:r>
      <w:proofErr w:type="spellStart"/>
      <w:r>
        <w:t>logV</w:t>
      </w:r>
      <w:r w:rsidRPr="0034394B">
        <w:t>OC</w:t>
      </w:r>
      <w:r w:rsidRPr="0034394B">
        <w:rPr>
          <w:vertAlign w:val="subscript"/>
        </w:rPr>
        <w:t>mean</w:t>
      </w:r>
      <w:proofErr w:type="spellEnd"/>
      <w:r w:rsidRPr="0034394B">
        <w:t xml:space="preserve">, </w:t>
      </w:r>
      <w:proofErr w:type="spellStart"/>
      <w:r w:rsidRPr="0034394B">
        <w:t>VOC</w:t>
      </w:r>
      <w:r w:rsidRPr="0034394B">
        <w:rPr>
          <w:vertAlign w:val="subscript"/>
        </w:rPr>
        <w:t>median</w:t>
      </w:r>
      <w:proofErr w:type="spellEnd"/>
      <w:r w:rsidRPr="0034394B">
        <w:t xml:space="preserve">, and </w:t>
      </w:r>
      <w:proofErr w:type="spellStart"/>
      <w:r w:rsidRPr="0034394B">
        <w:t>VOC</w:t>
      </w:r>
      <w:r w:rsidRPr="0034394B">
        <w:rPr>
          <w:vertAlign w:val="subscript"/>
        </w:rPr>
        <w:t>mean</w:t>
      </w:r>
      <w:proofErr w:type="spellEnd"/>
      <w:r w:rsidRPr="0034394B">
        <w:t xml:space="preserve"> estimates in the Gulf States for each SBTEX pollutant are in the following figures: Figure S3</w:t>
      </w:r>
      <w:r>
        <w:t>5</w:t>
      </w:r>
      <w:r w:rsidRPr="0034394B">
        <w:t xml:space="preserve"> (styrene), Figure S3</w:t>
      </w:r>
      <w:r>
        <w:t>6</w:t>
      </w:r>
      <w:r w:rsidRPr="0034394B">
        <w:t xml:space="preserve"> (benzene), Figure S3</w:t>
      </w:r>
      <w:r>
        <w:t>7</w:t>
      </w:r>
      <w:r w:rsidRPr="0034394B">
        <w:t xml:space="preserve"> (toluene), Figure S3</w:t>
      </w:r>
      <w:r>
        <w:t>8</w:t>
      </w:r>
      <w:r w:rsidRPr="0034394B">
        <w:t xml:space="preserve"> (ethylbenzene), and Figure S3</w:t>
      </w:r>
      <w:r>
        <w:t>9</w:t>
      </w:r>
      <w:r w:rsidRPr="0034394B">
        <w:t xml:space="preserve"> (xylenes). The composite </w:t>
      </w:r>
      <w:r w:rsidRPr="0034394B">
        <w:lastRenderedPageBreak/>
        <w:t xml:space="preserve">methods, composed of the selected methods inside and outside of </w:t>
      </w:r>
      <w:proofErr w:type="spellStart"/>
      <w:r w:rsidRPr="0034394B">
        <w:t>CAMx</w:t>
      </w:r>
      <w:proofErr w:type="spellEnd"/>
      <w:r w:rsidRPr="0034394B">
        <w:t>, were also evaluated across the Gulf States</w:t>
      </w:r>
      <w:r>
        <w:t>.</w:t>
      </w:r>
    </w:p>
    <w:p w14:paraId="3191DFB5" w14:textId="7E4CEB9C" w:rsidR="006714FF" w:rsidRDefault="006714FF" w:rsidP="006714FF">
      <w:pPr>
        <w:pStyle w:val="VAFigureCaption"/>
      </w:pPr>
      <w:r w:rsidRPr="003A2F84">
        <w:rPr>
          <w:noProof/>
        </w:rPr>
        <w:drawing>
          <wp:inline distT="0" distB="0" distL="0" distR="0" wp14:anchorId="4E1D41F7" wp14:editId="78E34565">
            <wp:extent cx="5887844" cy="2514600"/>
            <wp:effectExtent l="0" t="0" r="0" b="0"/>
            <wp:docPr id="1796047515" name="Picture 1796047515"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47515" name="Picture 1796047515" descr="A diagram of a graph&#10;&#10;Description automatically generated with medium confidenc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3A2F84">
        <w:rPr>
          <w:b/>
          <w:bCs/>
        </w:rPr>
        <w:t>Figure S3</w:t>
      </w:r>
      <w:r>
        <w:rPr>
          <w:b/>
          <w:bCs/>
        </w:rPr>
        <w:t>5</w:t>
      </w:r>
      <w:r w:rsidRPr="003A2F84">
        <w:t xml:space="preserve">. RCV plots for styrene estimation for the full Gulf using the composite method.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443FE42B" w14:textId="77777777" w:rsidR="006714FF" w:rsidRDefault="006714FF" w:rsidP="006714FF">
      <w:pPr>
        <w:pStyle w:val="VAFigureCaption"/>
      </w:pPr>
    </w:p>
    <w:p w14:paraId="62210F0D" w14:textId="67F7B4B5" w:rsidR="006714FF" w:rsidRDefault="006714FF" w:rsidP="006714FF">
      <w:pPr>
        <w:pStyle w:val="VAFigureCaption"/>
      </w:pPr>
      <w:r w:rsidRPr="003A2F84">
        <w:rPr>
          <w:noProof/>
        </w:rPr>
        <w:lastRenderedPageBreak/>
        <w:drawing>
          <wp:inline distT="0" distB="0" distL="0" distR="0" wp14:anchorId="4F620BF4" wp14:editId="6C364433">
            <wp:extent cx="5887844" cy="2514600"/>
            <wp:effectExtent l="0" t="0" r="0" b="0"/>
            <wp:docPr id="1901440035" name="Picture 1901440035"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440035" name="Picture 1901440035" descr="A diagram of a graph&#10;&#10;Description automatically generated with medium confidenc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3A2F84">
        <w:rPr>
          <w:b/>
          <w:bCs/>
        </w:rPr>
        <w:t>Figure S3</w:t>
      </w:r>
      <w:r>
        <w:rPr>
          <w:b/>
          <w:bCs/>
        </w:rPr>
        <w:t>6</w:t>
      </w:r>
      <w:r w:rsidRPr="003A2F84">
        <w:rPr>
          <w:b/>
          <w:bCs/>
        </w:rPr>
        <w:t>.</w:t>
      </w:r>
      <w:r w:rsidRPr="003A2F84">
        <w:t xml:space="preserve"> RCV plots for benzene estimation on the full Gulf using the composite method.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294B3FDD" w14:textId="77777777" w:rsidR="006714FF" w:rsidRDefault="006714FF" w:rsidP="006714FF"/>
    <w:p w14:paraId="46DDC878" w14:textId="77777777" w:rsidR="006714FF" w:rsidRDefault="006714FF" w:rsidP="006714FF"/>
    <w:p w14:paraId="45606C80" w14:textId="77777777" w:rsidR="006714FF" w:rsidRDefault="006714FF" w:rsidP="006714FF"/>
    <w:p w14:paraId="1F2F3A3A" w14:textId="77777777" w:rsidR="006714FF" w:rsidRDefault="006714FF" w:rsidP="006714FF"/>
    <w:p w14:paraId="71D980BC" w14:textId="77777777" w:rsidR="006714FF" w:rsidRPr="005D115D" w:rsidRDefault="006714FF" w:rsidP="006714FF"/>
    <w:p w14:paraId="402C98F1" w14:textId="77777777" w:rsidR="006714FF" w:rsidRPr="003A2F84" w:rsidRDefault="006714FF" w:rsidP="006714FF">
      <w:pPr>
        <w:pStyle w:val="VAFigureCaption"/>
      </w:pPr>
      <w:r w:rsidRPr="003A2F84">
        <w:rPr>
          <w:noProof/>
        </w:rPr>
        <w:lastRenderedPageBreak/>
        <w:drawing>
          <wp:inline distT="0" distB="0" distL="0" distR="0" wp14:anchorId="3CEE2519" wp14:editId="759EE7F9">
            <wp:extent cx="5887844" cy="2514600"/>
            <wp:effectExtent l="0" t="0" r="0" b="0"/>
            <wp:docPr id="1143246926" name="Picture 1143246926"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46926" name="Picture 1143246926" descr="A diagram of a graph&#10;&#10;Description automatically generated with medium confidence"/>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p>
    <w:p w14:paraId="09F43E14" w14:textId="24DC7978" w:rsidR="006714FF" w:rsidRDefault="006714FF" w:rsidP="006714FF">
      <w:pPr>
        <w:pStyle w:val="VAFigureCaption"/>
      </w:pPr>
      <w:r w:rsidRPr="003A2F84">
        <w:rPr>
          <w:b/>
          <w:bCs/>
        </w:rPr>
        <w:t>Figure S3</w:t>
      </w:r>
      <w:r>
        <w:rPr>
          <w:b/>
          <w:bCs/>
        </w:rPr>
        <w:t>7</w:t>
      </w:r>
      <w:r w:rsidRPr="003A2F84">
        <w:rPr>
          <w:b/>
          <w:bCs/>
        </w:rPr>
        <w:t>.</w:t>
      </w:r>
      <w:r w:rsidRPr="003A2F84">
        <w:t xml:space="preserve"> RCV plots for toluene estimation on the inside of </w:t>
      </w:r>
      <w:proofErr w:type="spellStart"/>
      <w:r w:rsidRPr="003A2F84">
        <w:t>CAMx</w:t>
      </w:r>
      <w:proofErr w:type="spellEnd"/>
      <w:r w:rsidRPr="003A2F84">
        <w:t xml:space="preserve"> region using the composite method.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79FE47A6" w14:textId="77777777" w:rsidR="006714FF" w:rsidRDefault="006714FF" w:rsidP="006714FF"/>
    <w:p w14:paraId="2B0FA8F6" w14:textId="77777777" w:rsidR="006714FF" w:rsidRDefault="006714FF" w:rsidP="006714FF"/>
    <w:p w14:paraId="12D1B060" w14:textId="77777777" w:rsidR="006714FF" w:rsidRDefault="006714FF" w:rsidP="006714FF"/>
    <w:p w14:paraId="1167FF89" w14:textId="77777777" w:rsidR="006714FF" w:rsidRPr="005D115D" w:rsidRDefault="006714FF" w:rsidP="006714FF"/>
    <w:p w14:paraId="5DC2E822" w14:textId="392CB1C8" w:rsidR="006714FF" w:rsidRDefault="006714FF" w:rsidP="006714FF">
      <w:pPr>
        <w:pStyle w:val="VAFigureCaption"/>
      </w:pPr>
      <w:r w:rsidRPr="003A2F84">
        <w:rPr>
          <w:noProof/>
        </w:rPr>
        <w:lastRenderedPageBreak/>
        <w:drawing>
          <wp:inline distT="0" distB="0" distL="0" distR="0" wp14:anchorId="28C60369" wp14:editId="2B479EAC">
            <wp:extent cx="5887844" cy="2514600"/>
            <wp:effectExtent l="0" t="0" r="0" b="0"/>
            <wp:docPr id="2074951140" name="Picture 2074951140"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951140" name="Picture 2074951140" descr="A diagram of a graph&#10;&#10;Description automatically generated with medium confidence"/>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r w:rsidRPr="003A2F84">
        <w:rPr>
          <w:b/>
          <w:bCs/>
        </w:rPr>
        <w:t>Figure S3</w:t>
      </w:r>
      <w:r>
        <w:rPr>
          <w:b/>
          <w:bCs/>
        </w:rPr>
        <w:t>8</w:t>
      </w:r>
      <w:r w:rsidRPr="003A2F84">
        <w:rPr>
          <w:b/>
          <w:bCs/>
        </w:rPr>
        <w:t>.</w:t>
      </w:r>
      <w:r w:rsidRPr="003A2F84">
        <w:t xml:space="preserve"> RCV plots for ethylbenzene estimation in the full Gulf using the composite method.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1950577D" w14:textId="77777777" w:rsidR="006714FF" w:rsidRDefault="006714FF" w:rsidP="006714FF"/>
    <w:p w14:paraId="3A3928E8" w14:textId="77777777" w:rsidR="006714FF" w:rsidRDefault="006714FF" w:rsidP="006714FF"/>
    <w:p w14:paraId="3DE32599" w14:textId="77777777" w:rsidR="006714FF" w:rsidRDefault="006714FF" w:rsidP="006714FF"/>
    <w:p w14:paraId="4E2625D7" w14:textId="77777777" w:rsidR="006714FF" w:rsidRDefault="006714FF" w:rsidP="006714FF"/>
    <w:p w14:paraId="288678FB" w14:textId="77777777" w:rsidR="006714FF" w:rsidRDefault="006714FF" w:rsidP="006714FF"/>
    <w:p w14:paraId="49DC00C9" w14:textId="77777777" w:rsidR="006714FF" w:rsidRPr="005D115D" w:rsidRDefault="006714FF" w:rsidP="006714FF"/>
    <w:p w14:paraId="1817036D" w14:textId="77777777" w:rsidR="006714FF" w:rsidRPr="003A2F84" w:rsidRDefault="006714FF" w:rsidP="006714FF">
      <w:pPr>
        <w:pStyle w:val="VAFigureCaption"/>
      </w:pPr>
      <w:r w:rsidRPr="003A2F84">
        <w:rPr>
          <w:noProof/>
        </w:rPr>
        <w:lastRenderedPageBreak/>
        <w:drawing>
          <wp:inline distT="0" distB="0" distL="0" distR="0" wp14:anchorId="203775B1" wp14:editId="29E0AC88">
            <wp:extent cx="5887844" cy="2514600"/>
            <wp:effectExtent l="0" t="0" r="0" b="0"/>
            <wp:docPr id="92694051" name="Picture 9269405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4051" name="Picture 92694051" descr="A diagram of a graph&#10;&#10;Description automatically generated with medium confidence"/>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887844" cy="2514600"/>
                    </a:xfrm>
                    <a:prstGeom prst="rect">
                      <a:avLst/>
                    </a:prstGeom>
                  </pic:spPr>
                </pic:pic>
              </a:graphicData>
            </a:graphic>
          </wp:inline>
        </w:drawing>
      </w:r>
    </w:p>
    <w:p w14:paraId="45EB2F5C" w14:textId="02AD208C" w:rsidR="006714FF" w:rsidRPr="003A2F84" w:rsidRDefault="006714FF" w:rsidP="006714FF">
      <w:pPr>
        <w:pStyle w:val="VAFigureCaption"/>
      </w:pPr>
      <w:r w:rsidRPr="003A2F84">
        <w:rPr>
          <w:b/>
          <w:bCs/>
        </w:rPr>
        <w:t>Figure S3</w:t>
      </w:r>
      <w:r>
        <w:rPr>
          <w:b/>
          <w:bCs/>
        </w:rPr>
        <w:t>9</w:t>
      </w:r>
      <w:r w:rsidRPr="003A2F84">
        <w:rPr>
          <w:b/>
          <w:bCs/>
        </w:rPr>
        <w:t>.</w:t>
      </w:r>
      <w:r w:rsidRPr="003A2F84">
        <w:t xml:space="preserve"> RCV plots for xylenes estimation in the Gulf using the composite method. Top row: RCV plots using the Pearson R as the Cross Validation R; bottom row: RCV plots using the Spearman R as the Cross Validation R. </w:t>
      </w:r>
      <w:r w:rsidR="00B03AF1" w:rsidRPr="00E91DFB">
        <w:t xml:space="preserve">Left column: </w:t>
      </w:r>
      <w:proofErr w:type="spellStart"/>
      <w:r w:rsidR="00B03AF1" w:rsidRPr="00E91DFB">
        <w:t>logVOC</w:t>
      </w:r>
      <w:r w:rsidR="00B03AF1" w:rsidRPr="0043732D">
        <w:rPr>
          <w:vertAlign w:val="subscript"/>
        </w:rPr>
        <w:t>mean</w:t>
      </w:r>
      <w:proofErr w:type="spellEnd"/>
      <w:r w:rsidR="00B03AF1" w:rsidRPr="00E91DFB">
        <w:t xml:space="preserve"> RCV plots; center column: </w:t>
      </w:r>
      <w:proofErr w:type="spellStart"/>
      <w:r w:rsidR="00B03AF1" w:rsidRPr="00E91DFB">
        <w:t>VOC</w:t>
      </w:r>
      <w:r w:rsidR="00B03AF1" w:rsidRPr="0043732D">
        <w:rPr>
          <w:vertAlign w:val="subscript"/>
        </w:rPr>
        <w:t>median</w:t>
      </w:r>
      <w:proofErr w:type="spellEnd"/>
      <w:r w:rsidR="00B03AF1" w:rsidRPr="00E91DFB">
        <w:t xml:space="preserve"> RCV plots; right column: </w:t>
      </w:r>
      <w:proofErr w:type="spellStart"/>
      <w:r w:rsidR="00B03AF1" w:rsidRPr="00E91DFB">
        <w:t>VOC</w:t>
      </w:r>
      <w:r w:rsidR="00B03AF1" w:rsidRPr="0043732D">
        <w:rPr>
          <w:vertAlign w:val="subscript"/>
        </w:rPr>
        <w:t>mean</w:t>
      </w:r>
      <w:proofErr w:type="spellEnd"/>
      <w:r w:rsidR="00B03AF1" w:rsidRPr="00E91DFB">
        <w:t xml:space="preserve"> RCV plots.</w:t>
      </w:r>
    </w:p>
    <w:p w14:paraId="6A84B030" w14:textId="77777777" w:rsidR="006714FF" w:rsidRPr="003A2F84" w:rsidRDefault="006714FF" w:rsidP="006714FF">
      <w:pPr>
        <w:pStyle w:val="TESupportingInformation"/>
      </w:pPr>
      <w:r w:rsidRPr="0034394B">
        <w:t xml:space="preserve">Interpolation of </w:t>
      </w:r>
      <w:proofErr w:type="spellStart"/>
      <w:r>
        <w:t>VOC</w:t>
      </w:r>
      <w:r w:rsidRPr="008B5BF8">
        <w:rPr>
          <w:vertAlign w:val="subscript"/>
        </w:rPr>
        <w:t>median</w:t>
      </w:r>
      <w:proofErr w:type="spellEnd"/>
      <w:r w:rsidRPr="0034394B">
        <w:t xml:space="preserve"> STEX observations using global offsets performed as expected across the Gulf States. Observation interpolation methods from worst to best were a flat global offset, a medium-resolution global offset, and a fine-resolution global offset (Figure S3</w:t>
      </w:r>
      <w:r>
        <w:t>5</w:t>
      </w:r>
      <w:r w:rsidRPr="0034394B">
        <w:t>, S3</w:t>
      </w:r>
      <w:r>
        <w:t>7</w:t>
      </w:r>
      <w:r w:rsidRPr="0034394B">
        <w:t>-S3</w:t>
      </w:r>
      <w:r>
        <w:t>9</w:t>
      </w:r>
      <w:r w:rsidRPr="0034394B">
        <w:t>). Across the Gulf States, styrene observation interpolation using a fine-resolution global offset improved as the radius limit increased, which, again, may be related to the high variability in styrene measurements. It should be noted that the xylenes medium-resolution global offset performed unexpectedly high for Pearson R at some cross-validation limits, but the performance was very variable and could not be assumed to be better than the fine-resolution global offset overall (Figure S3</w:t>
      </w:r>
      <w:r>
        <w:t>9</w:t>
      </w:r>
      <w:r w:rsidRPr="0034394B">
        <w:t xml:space="preserve">). For benzene, interpolation of global offsets from worst to best </w:t>
      </w:r>
      <w:r>
        <w:t>was</w:t>
      </w:r>
      <w:r w:rsidRPr="0034394B">
        <w:t xml:space="preserve"> a flat global offset, medium-resolution global offset, and fine-resolution global offset (Figure S3</w:t>
      </w:r>
      <w:r>
        <w:t>6</w:t>
      </w:r>
      <w:r w:rsidRPr="0034394B">
        <w:t xml:space="preserve">). Observational interpolation of SBTEX results demonstrated that estimation methods with moderate resource </w:t>
      </w:r>
      <w:r w:rsidRPr="0034394B">
        <w:lastRenderedPageBreak/>
        <w:t>intensity improved STEX estimation performance over least intensive methods but did not yield those same benefits for benzene estimation.</w:t>
      </w:r>
      <w:r>
        <w:t xml:space="preserve"> </w:t>
      </w:r>
      <w:r w:rsidRPr="0034394B">
        <w:t xml:space="preserve">Observational interpolation and composite methods to estimate </w:t>
      </w:r>
      <w:proofErr w:type="spellStart"/>
      <w:r w:rsidRPr="0034394B">
        <w:t>VOC</w:t>
      </w:r>
      <w:r w:rsidRPr="0034394B">
        <w:rPr>
          <w:vertAlign w:val="subscript"/>
        </w:rPr>
        <w:t>mean</w:t>
      </w:r>
      <w:proofErr w:type="spellEnd"/>
      <w:r w:rsidRPr="0034394B">
        <w:t xml:space="preserve"> concentrations across the Gulf States performed very </w:t>
      </w:r>
      <w:r>
        <w:t>similarly</w:t>
      </w:r>
      <w:r w:rsidRPr="0034394B">
        <w:t xml:space="preserve"> to </w:t>
      </w:r>
      <w:proofErr w:type="spellStart"/>
      <w:r w:rsidRPr="0034394B">
        <w:t>VOC</w:t>
      </w:r>
      <w:r w:rsidRPr="0034394B">
        <w:rPr>
          <w:vertAlign w:val="subscript"/>
        </w:rPr>
        <w:t>me</w:t>
      </w:r>
      <w:r>
        <w:rPr>
          <w:vertAlign w:val="subscript"/>
        </w:rPr>
        <w:t>di</w:t>
      </w:r>
      <w:r w:rsidRPr="0034394B">
        <w:rPr>
          <w:vertAlign w:val="subscript"/>
        </w:rPr>
        <w:t>an</w:t>
      </w:r>
      <w:proofErr w:type="spellEnd"/>
      <w:r w:rsidRPr="0034394B">
        <w:t xml:space="preserve"> methods (Figure S3</w:t>
      </w:r>
      <w:r>
        <w:t>5</w:t>
      </w:r>
      <w:r w:rsidRPr="0034394B">
        <w:t>-S3</w:t>
      </w:r>
      <w:r>
        <w:t>9</w:t>
      </w:r>
      <w:r w:rsidRPr="0034394B">
        <w:t xml:space="preserve">). </w:t>
      </w:r>
    </w:p>
    <w:p w14:paraId="7F68247C" w14:textId="77777777" w:rsidR="006714FF" w:rsidRDefault="006714FF" w:rsidP="006714FF">
      <w:pPr>
        <w:pStyle w:val="TESupportingInformation"/>
      </w:pPr>
      <w:r w:rsidRPr="0034394B">
        <w:t xml:space="preserve">Observational interpolation of </w:t>
      </w:r>
      <w:proofErr w:type="spellStart"/>
      <w:r>
        <w:t>logV</w:t>
      </w:r>
      <w:r w:rsidRPr="0034394B">
        <w:t>OC</w:t>
      </w:r>
      <w:r w:rsidRPr="0034394B">
        <w:rPr>
          <w:vertAlign w:val="subscript"/>
        </w:rPr>
        <w:t>mean</w:t>
      </w:r>
      <w:proofErr w:type="spellEnd"/>
      <w:r w:rsidRPr="0034394B">
        <w:t xml:space="preserve"> concentrations performed as expected, where the flat global offset performed the worst, the medium-resolution global offset performed slightly better, and a fine-resolution global offset performed the best for Pearson and Spearman R (Figure S3</w:t>
      </w:r>
      <w:r>
        <w:t>5</w:t>
      </w:r>
      <w:r w:rsidRPr="0034394B">
        <w:t>-S3</w:t>
      </w:r>
      <w:r>
        <w:t>9</w:t>
      </w:r>
      <w:r w:rsidRPr="0034394B">
        <w:t>). The Pearson R xylenes observational interpolation using a medium-resolution global offset appeared to be higher than the data fusion Pearson R at some cross-validation radii (Figure S3</w:t>
      </w:r>
      <w:r>
        <w:t>9</w:t>
      </w:r>
      <w:r w:rsidRPr="0034394B">
        <w:t>). Due to the noise in the medium-resolution global offset Pearson R curves, however, the performance of the composite method was considered more reliable and thus better (Figure S3</w:t>
      </w:r>
      <w:r>
        <w:t>9</w:t>
      </w:r>
      <w:r w:rsidRPr="0034394B">
        <w:t xml:space="preserve">). Like </w:t>
      </w:r>
      <w:proofErr w:type="spellStart"/>
      <w:r w:rsidRPr="0034394B">
        <w:t>VOC</w:t>
      </w:r>
      <w:r w:rsidRPr="0034394B">
        <w:rPr>
          <w:vertAlign w:val="subscript"/>
        </w:rPr>
        <w:t>median</w:t>
      </w:r>
      <w:proofErr w:type="spellEnd"/>
      <w:r w:rsidRPr="0034394B">
        <w:t xml:space="preserve"> RCV curves, the performance of local S/T-KS curves appeared to plateau as the radius limit increased, but this behavior could not be confirmed due to the limited size of the Gulf States (Figures S3</w:t>
      </w:r>
      <w:r>
        <w:t>5</w:t>
      </w:r>
      <w:r w:rsidRPr="0034394B">
        <w:t>, S3</w:t>
      </w:r>
      <w:r>
        <w:t>7</w:t>
      </w:r>
      <w:r w:rsidRPr="0034394B">
        <w:t>-S3</w:t>
      </w:r>
      <w:r>
        <w:t>9</w:t>
      </w:r>
      <w:r w:rsidRPr="0034394B">
        <w:t>).</w:t>
      </w:r>
      <w:r>
        <w:t xml:space="preserve"> </w:t>
      </w:r>
    </w:p>
    <w:p w14:paraId="594C9D56" w14:textId="77777777" w:rsidR="006714FF" w:rsidRPr="00BA0181" w:rsidRDefault="006714FF" w:rsidP="006714FF">
      <w:pPr>
        <w:pStyle w:val="TESupportingInformation"/>
      </w:pPr>
      <w:r w:rsidRPr="0034394B">
        <w:t xml:space="preserve">Composite methods for </w:t>
      </w:r>
      <w:proofErr w:type="spellStart"/>
      <w:r>
        <w:t>logV</w:t>
      </w:r>
      <w:r w:rsidRPr="0034394B">
        <w:t>OC</w:t>
      </w:r>
      <w:r w:rsidRPr="0034394B">
        <w:rPr>
          <w:vertAlign w:val="subscript"/>
        </w:rPr>
        <w:t>mean</w:t>
      </w:r>
      <w:proofErr w:type="spellEnd"/>
      <w:r w:rsidRPr="0034394B">
        <w:t xml:space="preserve"> performed better than all observational interpolation methods for Pearson R and Spearman R (Figures S3</w:t>
      </w:r>
      <w:r>
        <w:t>5</w:t>
      </w:r>
      <w:r w:rsidRPr="0034394B">
        <w:t>-S3</w:t>
      </w:r>
      <w:r>
        <w:t>9</w:t>
      </w:r>
      <w:r w:rsidRPr="0034394B">
        <w:t xml:space="preserve">). These results suggest that CAMP-correction in data fusion improved performance in the Gulf States. Furthermore, the composite method fine-resolution global offset inside of </w:t>
      </w:r>
      <w:proofErr w:type="spellStart"/>
      <w:r w:rsidRPr="0034394B">
        <w:t>CAMx</w:t>
      </w:r>
      <w:proofErr w:type="spellEnd"/>
      <w:r w:rsidRPr="0034394B">
        <w:t xml:space="preserve"> and a flat global </w:t>
      </w:r>
      <w:proofErr w:type="spellStart"/>
      <w:r w:rsidRPr="0034394B">
        <w:t>offset+CAMx</w:t>
      </w:r>
      <w:proofErr w:type="spellEnd"/>
      <w:r w:rsidRPr="0034394B">
        <w:t xml:space="preserve"> outside of </w:t>
      </w:r>
      <w:proofErr w:type="spellStart"/>
      <w:r w:rsidRPr="0034394B">
        <w:t>CAMx</w:t>
      </w:r>
      <w:proofErr w:type="spellEnd"/>
      <w:r w:rsidRPr="0034394B">
        <w:t xml:space="preserve"> interact beneficially to improve </w:t>
      </w:r>
      <w:r>
        <w:t>log-</w:t>
      </w:r>
      <w:r w:rsidRPr="0034394B">
        <w:t>benzene estimation (Figure S3</w:t>
      </w:r>
      <w:r>
        <w:t>6</w:t>
      </w:r>
      <w:r w:rsidRPr="0034394B">
        <w:t>).</w:t>
      </w:r>
      <w:r>
        <w:t xml:space="preserve"> Overall, t</w:t>
      </w:r>
      <w:r w:rsidRPr="0034394B">
        <w:t xml:space="preserve">he most resource-intensive, composite methods improved </w:t>
      </w:r>
      <w:proofErr w:type="spellStart"/>
      <w:r>
        <w:t>logV</w:t>
      </w:r>
      <w:r w:rsidRPr="0034394B">
        <w:t>OC</w:t>
      </w:r>
      <w:r w:rsidRPr="0034394B">
        <w:rPr>
          <w:vertAlign w:val="subscript"/>
        </w:rPr>
        <w:t>mean</w:t>
      </w:r>
      <w:proofErr w:type="spellEnd"/>
      <w:r w:rsidRPr="0034394B">
        <w:t xml:space="preserve">, </w:t>
      </w:r>
      <w:proofErr w:type="spellStart"/>
      <w:r w:rsidRPr="0034394B">
        <w:t>VOC</w:t>
      </w:r>
      <w:r w:rsidRPr="0034394B">
        <w:rPr>
          <w:vertAlign w:val="subscript"/>
        </w:rPr>
        <w:t>median</w:t>
      </w:r>
      <w:proofErr w:type="spellEnd"/>
      <w:r w:rsidRPr="0034394B">
        <w:t xml:space="preserve">, and </w:t>
      </w:r>
      <w:proofErr w:type="spellStart"/>
      <w:r w:rsidRPr="0034394B">
        <w:t>VOC</w:t>
      </w:r>
      <w:r w:rsidRPr="0034394B">
        <w:rPr>
          <w:vertAlign w:val="subscript"/>
        </w:rPr>
        <w:t>mean</w:t>
      </w:r>
      <w:proofErr w:type="spellEnd"/>
      <w:r w:rsidRPr="0034394B">
        <w:t xml:space="preserve"> estimation performance in terms of the linear (Pearson R) and rank (Spearman R) at every radius limit, compared to methods with the least- and moderate-resource intensity (Figure S3</w:t>
      </w:r>
      <w:r>
        <w:t>5</w:t>
      </w:r>
      <w:r w:rsidRPr="0034394B">
        <w:t>-S3</w:t>
      </w:r>
      <w:r>
        <w:t>9</w:t>
      </w:r>
      <w:r w:rsidRPr="0034394B">
        <w:t>).</w:t>
      </w:r>
    </w:p>
    <w:p w14:paraId="6B3CC27B" w14:textId="77777777" w:rsidR="006714FF" w:rsidRDefault="006714FF" w:rsidP="006714FF">
      <w:pPr>
        <w:pStyle w:val="TESupportingInformation"/>
      </w:pPr>
      <w:r>
        <w:lastRenderedPageBreak/>
        <w:t xml:space="preserve">For </w:t>
      </w:r>
      <w:proofErr w:type="spellStart"/>
      <w:r>
        <w:t>VOC</w:t>
      </w:r>
      <w:r w:rsidRPr="00B77C41">
        <w:rPr>
          <w:vertAlign w:val="subscript"/>
        </w:rPr>
        <w:t>median</w:t>
      </w:r>
      <w:proofErr w:type="spellEnd"/>
      <w:r w:rsidRPr="009E28D4">
        <w:t xml:space="preserve"> estimates</w:t>
      </w:r>
      <w:r w:rsidRPr="00B77C41">
        <w:t>. a</w:t>
      </w:r>
      <w:r w:rsidRPr="0034394B">
        <w:t>verage SBTEX RCV values ranged from –0.03 to 0.13 for Pearson R and 0.11 to 0.325 for Spearman R observational interpolation with a flat global offset, indicating that the least resource-intensive methods are poor for SBTEX exposure estimation in the Gulf States (Tables S1</w:t>
      </w:r>
      <w:r>
        <w:t>5</w:t>
      </w:r>
      <w:r w:rsidRPr="0034394B">
        <w:t>-S1</w:t>
      </w:r>
      <w:r>
        <w:t>6</w:t>
      </w:r>
      <w:r w:rsidRPr="0034394B">
        <w:t>). As SBTEX estimation methods moved toward moderate resource intensity, average RCV observation interpolation increased (Tables S1</w:t>
      </w:r>
      <w:r>
        <w:t>5</w:t>
      </w:r>
      <w:r w:rsidRPr="0034394B">
        <w:t>-S1</w:t>
      </w:r>
      <w:r>
        <w:t>6</w:t>
      </w:r>
      <w:r w:rsidRPr="0034394B">
        <w:t>). Composite methods with the most resource intensity improved average RCV Pearson R performance by 0.5% to 28.6% and average Spearman R performance by 1.4 to 52.9% when compared to observational interpolation with a flat global offset (Tables S1</w:t>
      </w:r>
      <w:r>
        <w:t>5</w:t>
      </w:r>
      <w:r w:rsidRPr="0034394B">
        <w:t>-S1</w:t>
      </w:r>
      <w:r>
        <w:t>6</w:t>
      </w:r>
      <w:r w:rsidRPr="0034394B">
        <w:t>). The composite method performance further improved using LOOCV, demonstrating 44.3% to 408% increases in average RCV Pearson R and 18.7 to 35% increases in average RCV Spearman R between the composite method LOOCV and observation interpolation using a flat global offset performance (Tables S1</w:t>
      </w:r>
      <w:r>
        <w:t>5</w:t>
      </w:r>
      <w:r w:rsidRPr="0034394B">
        <w:t>-S1</w:t>
      </w:r>
      <w:r>
        <w:t>6</w:t>
      </w:r>
      <w:r w:rsidRPr="0034394B">
        <w:t>). Overall, increases in estimation method resource intensity generally resulted in improved exposure estimates at and away from SBTEX monitoring stations.</w:t>
      </w:r>
    </w:p>
    <w:p w14:paraId="14FDEB83" w14:textId="77777777" w:rsidR="006714FF" w:rsidRDefault="006714FF" w:rsidP="006714FF"/>
    <w:p w14:paraId="6C40B9C2" w14:textId="77777777" w:rsidR="006714FF" w:rsidRDefault="006714FF" w:rsidP="006714FF"/>
    <w:p w14:paraId="0A233806" w14:textId="77777777" w:rsidR="006714FF" w:rsidRDefault="006714FF" w:rsidP="006714FF"/>
    <w:p w14:paraId="0428EB11" w14:textId="77777777" w:rsidR="006714FF" w:rsidRDefault="006714FF" w:rsidP="006714FF"/>
    <w:p w14:paraId="30CE9716" w14:textId="77777777" w:rsidR="006714FF" w:rsidRDefault="006714FF" w:rsidP="006714FF"/>
    <w:p w14:paraId="0086EB68" w14:textId="77777777" w:rsidR="006714FF" w:rsidRDefault="006714FF" w:rsidP="006714FF"/>
    <w:p w14:paraId="5301A209" w14:textId="77777777" w:rsidR="006714FF" w:rsidRDefault="006714FF" w:rsidP="006714FF"/>
    <w:p w14:paraId="00B22863" w14:textId="77777777" w:rsidR="006714FF" w:rsidRDefault="006714FF" w:rsidP="006714FF"/>
    <w:p w14:paraId="4DC4193C" w14:textId="77777777" w:rsidR="006714FF" w:rsidRDefault="006714FF" w:rsidP="006714FF"/>
    <w:p w14:paraId="7708E045" w14:textId="77777777" w:rsidR="006714FF" w:rsidRPr="005D115D" w:rsidRDefault="006714FF" w:rsidP="006714FF"/>
    <w:p w14:paraId="2A90BBB1" w14:textId="77777777" w:rsidR="006714FF" w:rsidRPr="00D1132A" w:rsidRDefault="006714FF" w:rsidP="006714FF">
      <w:pPr>
        <w:pStyle w:val="VDTableTitle"/>
      </w:pPr>
      <w:r w:rsidRPr="003A2F84">
        <w:rPr>
          <w:b/>
          <w:bCs/>
        </w:rPr>
        <w:lastRenderedPageBreak/>
        <w:t>Table S1</w:t>
      </w:r>
      <w:r>
        <w:rPr>
          <w:b/>
          <w:bCs/>
        </w:rPr>
        <w:t>5</w:t>
      </w:r>
      <w:r w:rsidRPr="003A2F84">
        <w:rPr>
          <w:b/>
          <w:bCs/>
        </w:rPr>
        <w:t>.</w:t>
      </w:r>
      <w:r w:rsidRPr="4C49152D">
        <w:t xml:space="preserve"> SBTEX composite method selections, observational interpolation using global offsets, and selected data fusion method Pearson R performance to estimate observed SBTEX inside of the </w:t>
      </w:r>
      <w:proofErr w:type="spellStart"/>
      <w:r w:rsidRPr="4C49152D">
        <w:t>CAMx</w:t>
      </w:r>
      <w:proofErr w:type="spellEnd"/>
      <w:r w:rsidRPr="4C49152D">
        <w:t xml:space="preserve">-modeled domain. Observational interpolation and selected data fusion methods were evaluated using the average radius cross-validation (RCV). Selected data fusion methods were further evaluated using leave-one-out cross-validation (LOOCV).  </w:t>
      </w:r>
      <w:r>
        <w:t xml:space="preserve">Performance was measured using </w:t>
      </w:r>
      <w:proofErr w:type="spellStart"/>
      <w:r>
        <w:t>VOC</w:t>
      </w:r>
      <w:r w:rsidRPr="008B5BF8">
        <w:rPr>
          <w:vertAlign w:val="subscript"/>
        </w:rPr>
        <w:t>median</w:t>
      </w:r>
      <w:proofErr w:type="spellEnd"/>
      <w:r>
        <w:rPr>
          <w:vertAlign w:val="subscript"/>
        </w:rPr>
        <w:t xml:space="preserve"> </w:t>
      </w:r>
      <w:r>
        <w:t>estimates.</w:t>
      </w:r>
    </w:p>
    <w:tbl>
      <w:tblPr>
        <w:tblW w:w="9355" w:type="dxa"/>
        <w:tblLayout w:type="fixed"/>
        <w:tblLook w:val="06A0" w:firstRow="1" w:lastRow="0" w:firstColumn="1" w:lastColumn="0" w:noHBand="1" w:noVBand="1"/>
      </w:tblPr>
      <w:tblGrid>
        <w:gridCol w:w="1345"/>
        <w:gridCol w:w="1530"/>
        <w:gridCol w:w="1530"/>
        <w:gridCol w:w="720"/>
        <w:gridCol w:w="1080"/>
        <w:gridCol w:w="990"/>
        <w:gridCol w:w="1080"/>
        <w:gridCol w:w="1080"/>
      </w:tblGrid>
      <w:tr w:rsidR="006714FF" w14:paraId="5EA5661A" w14:textId="77777777" w:rsidTr="00B77C41">
        <w:trPr>
          <w:trHeight w:val="300"/>
        </w:trPr>
        <w:tc>
          <w:tcPr>
            <w:tcW w:w="134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D7D3C43" w14:textId="77777777" w:rsidR="006714FF" w:rsidRDefault="006714FF" w:rsidP="00B77C41">
            <w:pPr>
              <w:pStyle w:val="TCTableBody"/>
              <w:rPr>
                <w:color w:val="000000" w:themeColor="text1"/>
              </w:rPr>
            </w:pPr>
            <w:r w:rsidRPr="57EE44F5">
              <w:t xml:space="preserve">VOC </w:t>
            </w:r>
          </w:p>
        </w:tc>
        <w:tc>
          <w:tcPr>
            <w:tcW w:w="3060"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87D8A58" w14:textId="77777777" w:rsidR="006714FF" w:rsidRDefault="006714FF" w:rsidP="00B77C41">
            <w:pPr>
              <w:pStyle w:val="TCTableBody"/>
            </w:pPr>
            <w:r w:rsidRPr="57EE44F5">
              <w:t xml:space="preserve">Composite Method Selection </w:t>
            </w:r>
          </w:p>
        </w:tc>
        <w:tc>
          <w:tcPr>
            <w:tcW w:w="3870" w:type="dxa"/>
            <w:gridSpan w:val="4"/>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33107B2" w14:textId="77777777" w:rsidR="006714FF" w:rsidRDefault="006714FF" w:rsidP="00B77C41">
            <w:pPr>
              <w:pStyle w:val="TCTableBody"/>
            </w:pPr>
            <w:r w:rsidRPr="57EE44F5">
              <w:t>Average RCV Pearson R</w:t>
            </w:r>
          </w:p>
        </w:tc>
        <w:tc>
          <w:tcPr>
            <w:tcW w:w="1080"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B00F435" w14:textId="77777777" w:rsidR="006714FF" w:rsidRDefault="006714FF" w:rsidP="00B77C41">
            <w:pPr>
              <w:pStyle w:val="TCTableBody"/>
              <w:rPr>
                <w:color w:val="000000" w:themeColor="text1"/>
              </w:rPr>
            </w:pPr>
            <w:r w:rsidRPr="57EE44F5">
              <w:t>LOOCV Pearson R</w:t>
            </w:r>
          </w:p>
        </w:tc>
      </w:tr>
      <w:tr w:rsidR="006714FF" w14:paraId="79FC4F0D" w14:textId="77777777" w:rsidTr="00B77C41">
        <w:trPr>
          <w:trHeight w:val="302"/>
        </w:trPr>
        <w:tc>
          <w:tcPr>
            <w:tcW w:w="1345" w:type="dxa"/>
            <w:vMerge/>
            <w:tcBorders>
              <w:left w:val="single" w:sz="4" w:space="0" w:color="auto"/>
              <w:right w:val="single" w:sz="4" w:space="0" w:color="auto"/>
            </w:tcBorders>
            <w:vAlign w:val="center"/>
          </w:tcPr>
          <w:p w14:paraId="0A4ACCEA" w14:textId="77777777" w:rsidR="006714FF" w:rsidRDefault="006714FF" w:rsidP="00B77C41">
            <w:pPr>
              <w:pStyle w:val="TCTableBody"/>
            </w:pPr>
          </w:p>
        </w:tc>
        <w:tc>
          <w:tcPr>
            <w:tcW w:w="3060" w:type="dxa"/>
            <w:gridSpan w:val="2"/>
            <w:vMerge/>
            <w:tcBorders>
              <w:left w:val="single" w:sz="4" w:space="0" w:color="auto"/>
              <w:bottom w:val="single" w:sz="4" w:space="0" w:color="auto"/>
              <w:right w:val="single" w:sz="4" w:space="0" w:color="auto"/>
            </w:tcBorders>
            <w:vAlign w:val="center"/>
          </w:tcPr>
          <w:p w14:paraId="72A3DBD6" w14:textId="77777777" w:rsidR="006714FF" w:rsidRDefault="006714FF" w:rsidP="00B77C41">
            <w:pPr>
              <w:pStyle w:val="TCTableBody"/>
            </w:pPr>
          </w:p>
        </w:tc>
        <w:tc>
          <w:tcPr>
            <w:tcW w:w="279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3358EBD" w14:textId="77777777" w:rsidR="006714FF" w:rsidRDefault="006714FF" w:rsidP="00B77C41">
            <w:pPr>
              <w:pStyle w:val="TCTableBody"/>
            </w:pPr>
            <w:r w:rsidRPr="57EE44F5">
              <w:t xml:space="preserve">Observational Interpolation </w:t>
            </w:r>
          </w:p>
        </w:tc>
        <w:tc>
          <w:tcPr>
            <w:tcW w:w="1080" w:type="dxa"/>
            <w:vMerge w:val="restart"/>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8B1B504" w14:textId="77777777" w:rsidR="006714FF" w:rsidRDefault="006714FF" w:rsidP="00B77C41">
            <w:pPr>
              <w:pStyle w:val="TCTableBody"/>
            </w:pPr>
            <w:r w:rsidRPr="57EE44F5">
              <w:t xml:space="preserve">Composite Method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47A1174" w14:textId="77777777" w:rsidR="006714FF" w:rsidRDefault="006714FF" w:rsidP="00B77C41">
            <w:pPr>
              <w:pStyle w:val="TCTableBody"/>
            </w:pPr>
            <w:r w:rsidRPr="57EE44F5">
              <w:t xml:space="preserve">Composite Method </w:t>
            </w:r>
          </w:p>
        </w:tc>
      </w:tr>
      <w:tr w:rsidR="006714FF" w14:paraId="43752E88" w14:textId="77777777" w:rsidTr="00B77C41">
        <w:trPr>
          <w:trHeight w:val="780"/>
        </w:trPr>
        <w:tc>
          <w:tcPr>
            <w:tcW w:w="1345" w:type="dxa"/>
            <w:vMerge/>
            <w:tcBorders>
              <w:left w:val="single" w:sz="4" w:space="0" w:color="auto"/>
              <w:bottom w:val="single" w:sz="4" w:space="0" w:color="auto"/>
              <w:right w:val="single" w:sz="4" w:space="0" w:color="auto"/>
            </w:tcBorders>
            <w:vAlign w:val="center"/>
          </w:tcPr>
          <w:p w14:paraId="5F71A39A" w14:textId="77777777" w:rsidR="006714FF" w:rsidRDefault="006714FF" w:rsidP="00B77C41">
            <w:pPr>
              <w:pStyle w:val="TCTableBody"/>
            </w:pP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59E2AC8" w14:textId="77777777" w:rsidR="006714FF" w:rsidRDefault="006714FF" w:rsidP="00B77C41">
            <w:pPr>
              <w:pStyle w:val="TCTableBody"/>
            </w:pPr>
            <w:r w:rsidRPr="57EE44F5">
              <w:t xml:space="preserve">Selected Data Fusion Method Inside </w:t>
            </w:r>
            <w:proofErr w:type="spellStart"/>
            <w:r w:rsidRPr="57EE44F5">
              <w:t>CAMx</w:t>
            </w:r>
            <w:proofErr w:type="spellEnd"/>
            <w:r w:rsidRPr="57EE44F5">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FDBFA58" w14:textId="77777777" w:rsidR="006714FF" w:rsidRDefault="006714FF" w:rsidP="00B77C41">
            <w:pPr>
              <w:pStyle w:val="TCTableBody"/>
            </w:pPr>
            <w:r w:rsidRPr="57EE44F5">
              <w:t xml:space="preserve">Selected Data Fusion Method Outside </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51FEAF1" w14:textId="77777777" w:rsidR="006714FF" w:rsidRDefault="006714FF" w:rsidP="00B77C41">
            <w:pPr>
              <w:pStyle w:val="TCTableBody"/>
              <w:rPr>
                <w:color w:val="000000" w:themeColor="text1"/>
                <w:sz w:val="22"/>
                <w:szCs w:val="22"/>
              </w:rPr>
            </w:pPr>
            <w:r w:rsidRPr="57EE44F5">
              <w:rPr>
                <w:sz w:val="22"/>
                <w:szCs w:val="22"/>
              </w:rPr>
              <w:t>Flat</w:t>
            </w:r>
          </w:p>
          <w:p w14:paraId="64850BBF" w14:textId="77777777" w:rsidR="006714FF" w:rsidRDefault="006714FF" w:rsidP="00B77C41">
            <w:pPr>
              <w:pStyle w:val="TCTableBody"/>
              <w:rPr>
                <w:color w:val="000000" w:themeColor="text1"/>
                <w:sz w:val="22"/>
                <w:szCs w:val="22"/>
              </w:rPr>
            </w:pPr>
            <w:r w:rsidRPr="57EE44F5">
              <w:rPr>
                <w:sz w:val="22"/>
                <w:szCs w:val="22"/>
              </w:rPr>
              <w:t>Global Offset</w:t>
            </w:r>
          </w:p>
        </w:tc>
        <w:tc>
          <w:tcPr>
            <w:tcW w:w="1080" w:type="dxa"/>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F208350" w14:textId="77777777" w:rsidR="006714FF" w:rsidRDefault="006714FF" w:rsidP="00B77C41">
            <w:pPr>
              <w:pStyle w:val="TCTableBody"/>
              <w:rPr>
                <w:color w:val="000000" w:themeColor="text1"/>
                <w:sz w:val="22"/>
                <w:szCs w:val="22"/>
              </w:rPr>
            </w:pPr>
            <w:r w:rsidRPr="57EE44F5">
              <w:rPr>
                <w:sz w:val="22"/>
                <w:szCs w:val="22"/>
              </w:rPr>
              <w:t>Medium- Resolution Global Offset</w:t>
            </w:r>
          </w:p>
        </w:tc>
        <w:tc>
          <w:tcPr>
            <w:tcW w:w="990" w:type="dxa"/>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D5A8799" w14:textId="77777777" w:rsidR="006714FF" w:rsidRDefault="006714FF" w:rsidP="00B77C41">
            <w:pPr>
              <w:pStyle w:val="TCTableBody"/>
              <w:rPr>
                <w:color w:val="000000" w:themeColor="text1"/>
                <w:sz w:val="22"/>
                <w:szCs w:val="22"/>
              </w:rPr>
            </w:pPr>
            <w:r w:rsidRPr="57EE44F5">
              <w:rPr>
                <w:sz w:val="22"/>
                <w:szCs w:val="22"/>
              </w:rPr>
              <w:t>Fine- Resolution Global Offset</w:t>
            </w:r>
          </w:p>
        </w:tc>
        <w:tc>
          <w:tcPr>
            <w:tcW w:w="1080" w:type="dxa"/>
            <w:vMerge/>
            <w:tcBorders>
              <w:bottom w:val="single" w:sz="4" w:space="0" w:color="auto"/>
              <w:right w:val="single" w:sz="4" w:space="0" w:color="auto"/>
            </w:tcBorders>
            <w:vAlign w:val="center"/>
          </w:tcPr>
          <w:p w14:paraId="1510FC3C" w14:textId="77777777" w:rsidR="006714FF" w:rsidRDefault="006714FF" w:rsidP="00B77C41">
            <w:pPr>
              <w:pStyle w:val="TCTableBody"/>
            </w:pPr>
          </w:p>
        </w:tc>
        <w:tc>
          <w:tcPr>
            <w:tcW w:w="1080" w:type="dxa"/>
            <w:vMerge/>
            <w:tcBorders>
              <w:left w:val="single" w:sz="4" w:space="0" w:color="auto"/>
              <w:bottom w:val="single" w:sz="4" w:space="0" w:color="auto"/>
              <w:right w:val="single" w:sz="4" w:space="0" w:color="auto"/>
            </w:tcBorders>
            <w:vAlign w:val="center"/>
          </w:tcPr>
          <w:p w14:paraId="47A942D1" w14:textId="77777777" w:rsidR="006714FF" w:rsidRDefault="006714FF" w:rsidP="00B77C41">
            <w:pPr>
              <w:pStyle w:val="TCTableBody"/>
            </w:pPr>
          </w:p>
        </w:tc>
      </w:tr>
      <w:tr w:rsidR="006714FF" w14:paraId="134022D4" w14:textId="77777777" w:rsidTr="00B77C41">
        <w:trPr>
          <w:trHeight w:val="52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186F2BF" w14:textId="77777777" w:rsidR="006714FF" w:rsidRDefault="006714FF" w:rsidP="00B77C41">
            <w:pPr>
              <w:pStyle w:val="TCTableBody"/>
            </w:pPr>
            <w:r w:rsidRPr="57EE44F5">
              <w:t xml:space="preserve">Styrene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11B4CF9"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F64C026"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72C7963" w14:textId="77777777" w:rsidR="006714FF" w:rsidRDefault="006714FF" w:rsidP="00B77C41">
            <w:pPr>
              <w:pStyle w:val="TCTableBody"/>
              <w:jc w:val="right"/>
            </w:pPr>
            <w:r w:rsidRPr="57EE44F5">
              <w:t>0.018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039ABB2" w14:textId="77777777" w:rsidR="006714FF" w:rsidRDefault="006714FF" w:rsidP="00B77C41">
            <w:pPr>
              <w:pStyle w:val="TCTableBody"/>
              <w:jc w:val="right"/>
            </w:pPr>
            <w:r w:rsidRPr="57EE44F5">
              <w:t>0.070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F7CB89D" w14:textId="77777777" w:rsidR="006714FF" w:rsidRDefault="006714FF" w:rsidP="00B77C41">
            <w:pPr>
              <w:pStyle w:val="TCTableBody"/>
              <w:jc w:val="right"/>
            </w:pPr>
            <w:r w:rsidRPr="57EE44F5">
              <w:t>0.200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EC3168F" w14:textId="77777777" w:rsidR="006714FF" w:rsidRDefault="006714FF" w:rsidP="00B77C41">
            <w:pPr>
              <w:pStyle w:val="TCTableBody"/>
              <w:jc w:val="right"/>
            </w:pPr>
            <w:r w:rsidRPr="57EE44F5">
              <w:t>0.257</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D453647" w14:textId="77777777" w:rsidR="006714FF" w:rsidRDefault="006714FF" w:rsidP="00B77C41">
            <w:pPr>
              <w:pStyle w:val="TCTableBody"/>
              <w:jc w:val="right"/>
            </w:pPr>
            <w:r w:rsidRPr="57EE44F5">
              <w:t>0.405</w:t>
            </w:r>
          </w:p>
        </w:tc>
      </w:tr>
      <w:tr w:rsidR="006714FF" w14:paraId="2B139637" w14:textId="77777777" w:rsidTr="00B77C41">
        <w:trPr>
          <w:trHeight w:val="88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E84DB2F" w14:textId="77777777" w:rsidR="006714FF" w:rsidRDefault="006714FF" w:rsidP="00B77C41">
            <w:pPr>
              <w:pStyle w:val="TCTableBody"/>
            </w:pPr>
            <w:r w:rsidRPr="57EE44F5">
              <w:t xml:space="preserve">Benzene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9D96E71" w14:textId="77777777" w:rsidR="006714FF" w:rsidRPr="0070756B" w:rsidRDefault="006714FF" w:rsidP="00B77C41">
            <w:pPr>
              <w:pStyle w:val="TCTableBody"/>
              <w:rPr>
                <w:lang w:val="fr-FR"/>
              </w:rPr>
            </w:pPr>
            <w:r w:rsidRPr="0070756B">
              <w:rPr>
                <w:lang w:val="fr-FR"/>
              </w:rPr>
              <w:t xml:space="preserve">S-LUR </w:t>
            </w:r>
            <w:r w:rsidRPr="0070756B">
              <w:rPr>
                <w:lang w:val="fr-FR"/>
              </w:rPr>
              <w:br/>
              <w:t>+</w:t>
            </w:r>
            <w:proofErr w:type="spellStart"/>
            <w:r w:rsidRPr="0070756B">
              <w:rPr>
                <w:lang w:val="fr-FR"/>
              </w:rPr>
              <w:t>semi-local</w:t>
            </w:r>
            <w:proofErr w:type="spellEnd"/>
            <w:r w:rsidRPr="0070756B">
              <w:rPr>
                <w:lang w:val="fr-FR"/>
              </w:rPr>
              <w:t xml:space="preserve"> T-KS</w:t>
            </w:r>
            <w:r w:rsidRPr="0070756B">
              <w:rPr>
                <w:lang w:val="fr-FR"/>
              </w:rPr>
              <w:br/>
              <w:t xml:space="preserve"> +</w:t>
            </w:r>
            <w:proofErr w:type="spellStart"/>
            <w:r w:rsidRPr="0070756B">
              <w:rPr>
                <w:lang w:val="fr-FR"/>
              </w:rPr>
              <w:t>CAMx</w:t>
            </w:r>
            <w:proofErr w:type="spellEnd"/>
            <w:r w:rsidRPr="0070756B">
              <w:rPr>
                <w:lang w:val="fr-FR"/>
              </w:rPr>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56ED31F" w14:textId="77777777" w:rsidR="006714FF" w:rsidRDefault="006714FF" w:rsidP="00B77C41">
            <w:pPr>
              <w:pStyle w:val="TCTableBody"/>
              <w:rPr>
                <w:color w:val="000000" w:themeColor="text1"/>
              </w:rPr>
            </w:pPr>
            <w:r w:rsidRPr="57EE44F5">
              <w:t>Flat</w:t>
            </w:r>
            <w:r>
              <w:br/>
            </w:r>
            <w:r w:rsidRPr="57EE44F5">
              <w:t xml:space="preserve"> +</w:t>
            </w:r>
            <w:proofErr w:type="spellStart"/>
            <w:r w:rsidRPr="57EE44F5">
              <w:t>CAMx</w:t>
            </w:r>
            <w:proofErr w:type="spellEnd"/>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7A61F96" w14:textId="77777777" w:rsidR="006714FF" w:rsidRDefault="006714FF" w:rsidP="00B77C41">
            <w:pPr>
              <w:pStyle w:val="TCTableBody"/>
              <w:jc w:val="right"/>
            </w:pPr>
            <w:r w:rsidRPr="57EE44F5">
              <w:t>0.126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16705E" w14:textId="77777777" w:rsidR="006714FF" w:rsidRDefault="006714FF" w:rsidP="00B77C41">
            <w:pPr>
              <w:pStyle w:val="TCTableBody"/>
              <w:jc w:val="right"/>
            </w:pPr>
            <w:r w:rsidRPr="57EE44F5">
              <w:t>0.267</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6E1ACCE" w14:textId="77777777" w:rsidR="006714FF" w:rsidRDefault="006714FF" w:rsidP="00B77C41">
            <w:pPr>
              <w:pStyle w:val="TCTableBody"/>
              <w:jc w:val="right"/>
            </w:pPr>
            <w:r w:rsidRPr="57EE44F5">
              <w:t>0.271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AAF0878" w14:textId="77777777" w:rsidR="006714FF" w:rsidRDefault="006714FF" w:rsidP="00B77C41">
            <w:pPr>
              <w:pStyle w:val="TCTableBody"/>
              <w:jc w:val="right"/>
            </w:pPr>
            <w:r w:rsidRPr="57EE44F5">
              <w:t>0.331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7E4AED2" w14:textId="77777777" w:rsidR="006714FF" w:rsidRDefault="006714FF" w:rsidP="00B77C41">
            <w:pPr>
              <w:pStyle w:val="TCTableBody"/>
              <w:jc w:val="right"/>
            </w:pPr>
            <w:r w:rsidRPr="57EE44F5">
              <w:t>0.525</w:t>
            </w:r>
          </w:p>
        </w:tc>
      </w:tr>
      <w:tr w:rsidR="006714FF" w14:paraId="70108E2A" w14:textId="77777777" w:rsidTr="00B77C41">
        <w:trPr>
          <w:trHeight w:val="52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9769359" w14:textId="77777777" w:rsidR="006714FF" w:rsidRDefault="006714FF" w:rsidP="00B77C41">
            <w:pPr>
              <w:pStyle w:val="TCTableBody"/>
            </w:pPr>
            <w:r w:rsidRPr="57EE44F5">
              <w:t xml:space="preserve">Toluene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4FF8F3B"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B26925E"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1C9E203" w14:textId="77777777" w:rsidR="006714FF" w:rsidRDefault="006714FF" w:rsidP="00B77C41">
            <w:pPr>
              <w:pStyle w:val="TCTableBody"/>
              <w:jc w:val="right"/>
            </w:pPr>
            <w:r w:rsidRPr="57EE44F5">
              <w:t>0.086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8F059F8" w14:textId="77777777" w:rsidR="006714FF" w:rsidRDefault="006714FF" w:rsidP="00B77C41">
            <w:pPr>
              <w:pStyle w:val="TCTableBody"/>
              <w:jc w:val="right"/>
            </w:pPr>
            <w:r w:rsidRPr="57EE44F5">
              <w:t>0.130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7B84082" w14:textId="77777777" w:rsidR="006714FF" w:rsidRDefault="006714FF" w:rsidP="00B77C41">
            <w:pPr>
              <w:pStyle w:val="TCTableBody"/>
              <w:jc w:val="right"/>
            </w:pPr>
            <w:r w:rsidRPr="57EE44F5">
              <w:t>0.322</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28F84A8" w14:textId="77777777" w:rsidR="006714FF" w:rsidRDefault="006714FF" w:rsidP="00B77C41">
            <w:pPr>
              <w:pStyle w:val="TCTableBody"/>
              <w:jc w:val="right"/>
            </w:pPr>
            <w:r w:rsidRPr="57EE44F5">
              <w:t>0.350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6E0FB2C" w14:textId="77777777" w:rsidR="006714FF" w:rsidRDefault="006714FF" w:rsidP="00B77C41">
            <w:pPr>
              <w:pStyle w:val="TCTableBody"/>
              <w:jc w:val="right"/>
            </w:pPr>
            <w:r w:rsidRPr="57EE44F5">
              <w:t>0.506</w:t>
            </w:r>
          </w:p>
        </w:tc>
      </w:tr>
      <w:tr w:rsidR="006714FF" w14:paraId="3250EE40" w14:textId="77777777" w:rsidTr="00B77C41">
        <w:trPr>
          <w:trHeight w:val="52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62AD087" w14:textId="77777777" w:rsidR="006714FF" w:rsidRDefault="006714FF" w:rsidP="00B77C41">
            <w:pPr>
              <w:pStyle w:val="TCTableBody"/>
            </w:pPr>
            <w:r w:rsidRPr="57EE44F5">
              <w:t xml:space="preserve">Ethylbenzene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38E9AD7"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0D7151A"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6516EF9" w14:textId="77777777" w:rsidR="006714FF" w:rsidRDefault="006714FF" w:rsidP="00B77C41">
            <w:pPr>
              <w:pStyle w:val="TCTableBody"/>
              <w:jc w:val="right"/>
            </w:pPr>
            <w:r w:rsidRPr="57EE44F5">
              <w:t>-0.028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D1B08D8" w14:textId="77777777" w:rsidR="006714FF" w:rsidRDefault="006714FF" w:rsidP="00B77C41">
            <w:pPr>
              <w:pStyle w:val="TCTableBody"/>
              <w:jc w:val="right"/>
            </w:pPr>
            <w:r w:rsidRPr="57EE44F5">
              <w:t>0.039</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12F1DC3" w14:textId="77777777" w:rsidR="006714FF" w:rsidRDefault="006714FF" w:rsidP="00B77C41">
            <w:pPr>
              <w:pStyle w:val="TCTableBody"/>
              <w:jc w:val="right"/>
            </w:pPr>
            <w:r w:rsidRPr="57EE44F5">
              <w:t>0.136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7958CC5" w14:textId="77777777" w:rsidR="006714FF" w:rsidRDefault="006714FF" w:rsidP="00B77C41">
            <w:pPr>
              <w:pStyle w:val="TCTableBody"/>
              <w:jc w:val="right"/>
            </w:pPr>
            <w:r w:rsidRPr="57EE44F5">
              <w:t>0.142</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F462D9F" w14:textId="77777777" w:rsidR="006714FF" w:rsidRDefault="006714FF" w:rsidP="00B77C41">
            <w:pPr>
              <w:pStyle w:val="TCTableBody"/>
              <w:jc w:val="right"/>
            </w:pPr>
            <w:r w:rsidRPr="57EE44F5">
              <w:t>0.724</w:t>
            </w:r>
          </w:p>
        </w:tc>
      </w:tr>
      <w:tr w:rsidR="006714FF" w14:paraId="5EF9B790" w14:textId="77777777" w:rsidTr="00B77C41">
        <w:trPr>
          <w:trHeight w:val="525"/>
        </w:trPr>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5D0DDA5" w14:textId="77777777" w:rsidR="006714FF" w:rsidRDefault="006714FF" w:rsidP="00B77C41">
            <w:pPr>
              <w:pStyle w:val="TCTableBody"/>
            </w:pPr>
            <w:r w:rsidRPr="57EE44F5">
              <w:t xml:space="preserve">Xylenes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8D3FF53"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7F6DAB6"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4313D7F" w14:textId="77777777" w:rsidR="006714FF" w:rsidRDefault="006714FF" w:rsidP="00B77C41">
            <w:pPr>
              <w:pStyle w:val="TCTableBody"/>
              <w:jc w:val="right"/>
            </w:pPr>
            <w:r w:rsidRPr="57EE44F5">
              <w:t>0.059</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01138FC" w14:textId="77777777" w:rsidR="006714FF" w:rsidRDefault="006714FF" w:rsidP="00B77C41">
            <w:pPr>
              <w:pStyle w:val="TCTableBody"/>
              <w:jc w:val="right"/>
            </w:pPr>
            <w:r w:rsidRPr="57EE44F5">
              <w:t>0.183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FC3DB29" w14:textId="77777777" w:rsidR="006714FF" w:rsidRDefault="006714FF" w:rsidP="00B77C41">
            <w:pPr>
              <w:pStyle w:val="TCTableBody"/>
              <w:jc w:val="right"/>
            </w:pPr>
            <w:r w:rsidRPr="57EE44F5">
              <w:t>0.176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7BB95E7" w14:textId="77777777" w:rsidR="006714FF" w:rsidRDefault="006714FF" w:rsidP="00B77C41">
            <w:pPr>
              <w:pStyle w:val="TCTableBody"/>
              <w:jc w:val="right"/>
            </w:pPr>
            <w:r w:rsidRPr="57EE44F5">
              <w:t>0.177</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27288DF" w14:textId="77777777" w:rsidR="006714FF" w:rsidRDefault="006714FF" w:rsidP="00B77C41">
            <w:pPr>
              <w:pStyle w:val="TCTableBody"/>
              <w:jc w:val="right"/>
              <w:rPr>
                <w:color w:val="000000" w:themeColor="text1"/>
              </w:rPr>
            </w:pPr>
            <w:r w:rsidRPr="57EE44F5">
              <w:t>0.667</w:t>
            </w:r>
          </w:p>
        </w:tc>
      </w:tr>
    </w:tbl>
    <w:p w14:paraId="2D040660" w14:textId="77777777" w:rsidR="006714FF" w:rsidRDefault="006714FF" w:rsidP="006714FF">
      <w:pPr>
        <w:spacing w:after="0"/>
      </w:pPr>
    </w:p>
    <w:p w14:paraId="0E755C68" w14:textId="77777777" w:rsidR="006714FF" w:rsidRDefault="006714FF" w:rsidP="006714FF">
      <w:pPr>
        <w:pStyle w:val="VDTableTitle"/>
        <w:rPr>
          <w:b/>
          <w:bCs/>
        </w:rPr>
      </w:pPr>
    </w:p>
    <w:p w14:paraId="4766B8DA" w14:textId="77777777" w:rsidR="006714FF" w:rsidRDefault="006714FF" w:rsidP="006714FF">
      <w:pPr>
        <w:pStyle w:val="VDTableTitle"/>
        <w:rPr>
          <w:b/>
          <w:bCs/>
        </w:rPr>
      </w:pPr>
    </w:p>
    <w:p w14:paraId="4ACE7071" w14:textId="77777777" w:rsidR="006714FF" w:rsidRDefault="006714FF" w:rsidP="006714FF">
      <w:pPr>
        <w:pStyle w:val="VDTableTitle"/>
        <w:rPr>
          <w:b/>
          <w:bCs/>
        </w:rPr>
      </w:pPr>
    </w:p>
    <w:p w14:paraId="6CBC7272" w14:textId="77777777" w:rsidR="006714FF" w:rsidRDefault="006714FF" w:rsidP="006714FF">
      <w:pPr>
        <w:pStyle w:val="VDTableTitle"/>
      </w:pPr>
      <w:r w:rsidRPr="003A2F84">
        <w:rPr>
          <w:b/>
          <w:bCs/>
        </w:rPr>
        <w:lastRenderedPageBreak/>
        <w:t>Table S1</w:t>
      </w:r>
      <w:r>
        <w:rPr>
          <w:b/>
          <w:bCs/>
        </w:rPr>
        <w:t>6</w:t>
      </w:r>
      <w:r w:rsidRPr="003A2F84">
        <w:rPr>
          <w:b/>
          <w:bCs/>
        </w:rPr>
        <w:t>.</w:t>
      </w:r>
      <w:r w:rsidRPr="4C49152D">
        <w:t xml:space="preserve"> SBTEX composite method selections, observational interpolation using global offsets, and selected data fusion method Spearman R performance to estimate observed SBTEX inside of the </w:t>
      </w:r>
      <w:proofErr w:type="spellStart"/>
      <w:r w:rsidRPr="4C49152D">
        <w:t>CAMx</w:t>
      </w:r>
      <w:proofErr w:type="spellEnd"/>
      <w:r w:rsidRPr="4C49152D">
        <w:t xml:space="preserve">-modeled domain. Observational interpolation and selected data fusion methods were evaluated using the average radius cross-validation (RCV). Selected data fusion methods were further evaluated using leave-one-out cross-validation (LOOCV).  </w:t>
      </w:r>
      <w:r>
        <w:t xml:space="preserve">Performance was measured using </w:t>
      </w:r>
      <w:proofErr w:type="spellStart"/>
      <w:r>
        <w:t>VOC</w:t>
      </w:r>
      <w:r w:rsidRPr="008B5BF8">
        <w:rPr>
          <w:vertAlign w:val="subscript"/>
        </w:rPr>
        <w:t>median</w:t>
      </w:r>
      <w:proofErr w:type="spellEnd"/>
      <w:r>
        <w:rPr>
          <w:vertAlign w:val="subscript"/>
        </w:rPr>
        <w:t xml:space="preserve"> </w:t>
      </w:r>
      <w:r>
        <w:t>estimates.</w:t>
      </w:r>
    </w:p>
    <w:tbl>
      <w:tblPr>
        <w:tblW w:w="9355" w:type="dxa"/>
        <w:tblLayout w:type="fixed"/>
        <w:tblLook w:val="06A0" w:firstRow="1" w:lastRow="0" w:firstColumn="1" w:lastColumn="0" w:noHBand="1" w:noVBand="1"/>
      </w:tblPr>
      <w:tblGrid>
        <w:gridCol w:w="1440"/>
        <w:gridCol w:w="1435"/>
        <w:gridCol w:w="1440"/>
        <w:gridCol w:w="720"/>
        <w:gridCol w:w="990"/>
        <w:gridCol w:w="990"/>
        <w:gridCol w:w="1080"/>
        <w:gridCol w:w="1260"/>
      </w:tblGrid>
      <w:tr w:rsidR="006714FF" w14:paraId="2D4295F2" w14:textId="77777777" w:rsidTr="00B77C41">
        <w:trPr>
          <w:trHeight w:val="300"/>
        </w:trPr>
        <w:tc>
          <w:tcPr>
            <w:tcW w:w="14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47F5FA0" w14:textId="77777777" w:rsidR="006714FF" w:rsidRDefault="006714FF" w:rsidP="00B77C41">
            <w:pPr>
              <w:pStyle w:val="TCTableBody"/>
              <w:rPr>
                <w:color w:val="000000" w:themeColor="text1"/>
              </w:rPr>
            </w:pPr>
            <w:r w:rsidRPr="57EE44F5">
              <w:t xml:space="preserve">VOC </w:t>
            </w:r>
          </w:p>
        </w:tc>
        <w:tc>
          <w:tcPr>
            <w:tcW w:w="2875"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584394A" w14:textId="77777777" w:rsidR="006714FF" w:rsidRDefault="006714FF" w:rsidP="00B77C41">
            <w:pPr>
              <w:pStyle w:val="TCTableBody"/>
            </w:pPr>
            <w:r w:rsidRPr="57EE44F5">
              <w:t xml:space="preserve">Composite Method Selection </w:t>
            </w:r>
          </w:p>
        </w:tc>
        <w:tc>
          <w:tcPr>
            <w:tcW w:w="3780" w:type="dxa"/>
            <w:gridSpan w:val="4"/>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6C96C69D" w14:textId="77777777" w:rsidR="006714FF" w:rsidRDefault="006714FF" w:rsidP="00B77C41">
            <w:pPr>
              <w:pStyle w:val="TCTableBody"/>
            </w:pPr>
            <w:r w:rsidRPr="57EE44F5">
              <w:t>Average RCV Spearman R</w:t>
            </w:r>
          </w:p>
        </w:tc>
        <w:tc>
          <w:tcPr>
            <w:tcW w:w="1260"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6F4E6341" w14:textId="77777777" w:rsidR="006714FF" w:rsidRDefault="006714FF" w:rsidP="00B77C41">
            <w:pPr>
              <w:pStyle w:val="TCTableBody"/>
              <w:rPr>
                <w:color w:val="000000" w:themeColor="text1"/>
              </w:rPr>
            </w:pPr>
            <w:r w:rsidRPr="57EE44F5">
              <w:t>LOOCV Spearman R</w:t>
            </w:r>
          </w:p>
        </w:tc>
      </w:tr>
      <w:tr w:rsidR="006714FF" w14:paraId="006F2456" w14:textId="77777777" w:rsidTr="00B77C41">
        <w:trPr>
          <w:trHeight w:val="285"/>
        </w:trPr>
        <w:tc>
          <w:tcPr>
            <w:tcW w:w="1440" w:type="dxa"/>
            <w:vMerge/>
            <w:tcBorders>
              <w:left w:val="single" w:sz="4" w:space="0" w:color="auto"/>
              <w:right w:val="single" w:sz="4" w:space="0" w:color="auto"/>
            </w:tcBorders>
            <w:vAlign w:val="center"/>
          </w:tcPr>
          <w:p w14:paraId="6E7F3CF4" w14:textId="77777777" w:rsidR="006714FF" w:rsidRDefault="006714FF" w:rsidP="00B77C41">
            <w:pPr>
              <w:pStyle w:val="TCTableBody"/>
            </w:pPr>
          </w:p>
        </w:tc>
        <w:tc>
          <w:tcPr>
            <w:tcW w:w="2875" w:type="dxa"/>
            <w:gridSpan w:val="2"/>
            <w:vMerge/>
            <w:tcBorders>
              <w:left w:val="single" w:sz="4" w:space="0" w:color="auto"/>
              <w:right w:val="single" w:sz="4" w:space="0" w:color="auto"/>
            </w:tcBorders>
            <w:vAlign w:val="center"/>
          </w:tcPr>
          <w:p w14:paraId="225246E4" w14:textId="77777777" w:rsidR="006714FF" w:rsidRDefault="006714FF" w:rsidP="00B77C41">
            <w:pPr>
              <w:pStyle w:val="TCTableBody"/>
            </w:pPr>
          </w:p>
        </w:tc>
        <w:tc>
          <w:tcPr>
            <w:tcW w:w="270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976622F" w14:textId="77777777" w:rsidR="006714FF" w:rsidRDefault="006714FF" w:rsidP="00B77C41">
            <w:pPr>
              <w:pStyle w:val="TCTableBody"/>
            </w:pPr>
            <w:r w:rsidRPr="57EE44F5">
              <w:t xml:space="preserve">Observational Interpolation </w:t>
            </w:r>
          </w:p>
        </w:tc>
        <w:tc>
          <w:tcPr>
            <w:tcW w:w="1080" w:type="dxa"/>
            <w:vMerge w:val="restart"/>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DA1783E" w14:textId="77777777" w:rsidR="006714FF" w:rsidRDefault="006714FF" w:rsidP="00B77C41">
            <w:pPr>
              <w:pStyle w:val="TCTableBody"/>
            </w:pPr>
            <w:r w:rsidRPr="57EE44F5">
              <w:t xml:space="preserve">Composite Method </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68ED431" w14:textId="77777777" w:rsidR="006714FF" w:rsidRDefault="006714FF" w:rsidP="00B77C41">
            <w:pPr>
              <w:pStyle w:val="TCTableBody"/>
            </w:pPr>
            <w:r w:rsidRPr="57EE44F5">
              <w:t xml:space="preserve">Composite Method </w:t>
            </w:r>
          </w:p>
        </w:tc>
      </w:tr>
      <w:tr w:rsidR="006714FF" w14:paraId="22BD803B" w14:textId="77777777" w:rsidTr="00B77C41">
        <w:trPr>
          <w:trHeight w:val="780"/>
        </w:trPr>
        <w:tc>
          <w:tcPr>
            <w:tcW w:w="1440" w:type="dxa"/>
            <w:vMerge/>
            <w:tcBorders>
              <w:left w:val="single" w:sz="4" w:space="0" w:color="auto"/>
              <w:bottom w:val="single" w:sz="4" w:space="0" w:color="auto"/>
              <w:right w:val="single" w:sz="4" w:space="0" w:color="auto"/>
            </w:tcBorders>
            <w:vAlign w:val="center"/>
          </w:tcPr>
          <w:p w14:paraId="42D1A420" w14:textId="77777777" w:rsidR="006714FF" w:rsidRDefault="006714FF" w:rsidP="00B77C41">
            <w:pPr>
              <w:pStyle w:val="TCTableBody"/>
            </w:pPr>
          </w:p>
        </w:tc>
        <w:tc>
          <w:tcPr>
            <w:tcW w:w="1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F9231E5" w14:textId="77777777" w:rsidR="006714FF" w:rsidRDefault="006714FF" w:rsidP="00B77C41">
            <w:pPr>
              <w:pStyle w:val="TCTableBody"/>
            </w:pPr>
            <w:r w:rsidRPr="57EE44F5">
              <w:t xml:space="preserve">Selected Data Fusion Method Inside </w:t>
            </w:r>
            <w:proofErr w:type="spellStart"/>
            <w:r w:rsidRPr="57EE44F5">
              <w:t>CAMx</w:t>
            </w:r>
            <w:proofErr w:type="spellEnd"/>
            <w:r w:rsidRPr="57EE44F5">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691146E" w14:textId="77777777" w:rsidR="006714FF" w:rsidRDefault="006714FF" w:rsidP="00B77C41">
            <w:pPr>
              <w:pStyle w:val="TCTableBody"/>
            </w:pPr>
            <w:r w:rsidRPr="57EE44F5">
              <w:t xml:space="preserve">Selected Data Fusion Method Outside </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6C98BB7" w14:textId="77777777" w:rsidR="006714FF" w:rsidRDefault="006714FF" w:rsidP="00B77C41">
            <w:pPr>
              <w:pStyle w:val="TCTableBody"/>
              <w:rPr>
                <w:color w:val="000000" w:themeColor="text1"/>
                <w:sz w:val="22"/>
                <w:szCs w:val="22"/>
              </w:rPr>
            </w:pPr>
            <w:r w:rsidRPr="57EE44F5">
              <w:rPr>
                <w:sz w:val="22"/>
                <w:szCs w:val="22"/>
              </w:rPr>
              <w:t>Flat</w:t>
            </w:r>
          </w:p>
          <w:p w14:paraId="1D01B776" w14:textId="77777777" w:rsidR="006714FF" w:rsidRDefault="006714FF" w:rsidP="00B77C41">
            <w:pPr>
              <w:pStyle w:val="TCTableBody"/>
              <w:rPr>
                <w:color w:val="000000" w:themeColor="text1"/>
                <w:sz w:val="22"/>
                <w:szCs w:val="22"/>
              </w:rPr>
            </w:pPr>
            <w:r w:rsidRPr="57EE44F5">
              <w:rPr>
                <w:sz w:val="22"/>
                <w:szCs w:val="22"/>
              </w:rPr>
              <w:t>Global Offset</w:t>
            </w:r>
          </w:p>
        </w:tc>
        <w:tc>
          <w:tcPr>
            <w:tcW w:w="990" w:type="dxa"/>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5E7E462" w14:textId="77777777" w:rsidR="006714FF" w:rsidRDefault="006714FF" w:rsidP="00B77C41">
            <w:pPr>
              <w:pStyle w:val="TCTableBody"/>
              <w:rPr>
                <w:color w:val="000000" w:themeColor="text1"/>
                <w:sz w:val="22"/>
                <w:szCs w:val="22"/>
              </w:rPr>
            </w:pPr>
            <w:r w:rsidRPr="57EE44F5">
              <w:rPr>
                <w:sz w:val="22"/>
                <w:szCs w:val="22"/>
              </w:rPr>
              <w:t>Medium- Resolution Global Offset</w:t>
            </w:r>
          </w:p>
        </w:tc>
        <w:tc>
          <w:tcPr>
            <w:tcW w:w="990" w:type="dxa"/>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C317E7D" w14:textId="77777777" w:rsidR="006714FF" w:rsidRDefault="006714FF" w:rsidP="00B77C41">
            <w:pPr>
              <w:pStyle w:val="TCTableBody"/>
              <w:rPr>
                <w:color w:val="000000" w:themeColor="text1"/>
                <w:sz w:val="22"/>
                <w:szCs w:val="22"/>
              </w:rPr>
            </w:pPr>
            <w:r w:rsidRPr="57EE44F5">
              <w:rPr>
                <w:sz w:val="22"/>
                <w:szCs w:val="22"/>
              </w:rPr>
              <w:t>Fine- Resolution Global Offset</w:t>
            </w:r>
          </w:p>
        </w:tc>
        <w:tc>
          <w:tcPr>
            <w:tcW w:w="1080" w:type="dxa"/>
            <w:vMerge/>
            <w:tcBorders>
              <w:bottom w:val="single" w:sz="4" w:space="0" w:color="auto"/>
              <w:right w:val="single" w:sz="4" w:space="0" w:color="auto"/>
            </w:tcBorders>
            <w:vAlign w:val="center"/>
          </w:tcPr>
          <w:p w14:paraId="61CE30B0" w14:textId="77777777" w:rsidR="006714FF" w:rsidRDefault="006714FF" w:rsidP="00B77C41">
            <w:pPr>
              <w:pStyle w:val="TCTableBody"/>
            </w:pPr>
          </w:p>
        </w:tc>
        <w:tc>
          <w:tcPr>
            <w:tcW w:w="1260" w:type="dxa"/>
            <w:vMerge/>
            <w:tcBorders>
              <w:left w:val="single" w:sz="4" w:space="0" w:color="auto"/>
              <w:bottom w:val="single" w:sz="4" w:space="0" w:color="auto"/>
              <w:right w:val="single" w:sz="4" w:space="0" w:color="auto"/>
            </w:tcBorders>
            <w:vAlign w:val="center"/>
          </w:tcPr>
          <w:p w14:paraId="3E2EC161" w14:textId="77777777" w:rsidR="006714FF" w:rsidRDefault="006714FF" w:rsidP="00B77C41">
            <w:pPr>
              <w:pStyle w:val="TCTableBody"/>
            </w:pPr>
          </w:p>
        </w:tc>
      </w:tr>
      <w:tr w:rsidR="006714FF" w14:paraId="744B1722" w14:textId="77777777" w:rsidTr="00B77C41">
        <w:trPr>
          <w:trHeight w:val="525"/>
        </w:trPr>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AED10AD" w14:textId="77777777" w:rsidR="006714FF" w:rsidRDefault="006714FF" w:rsidP="00B77C41">
            <w:pPr>
              <w:pStyle w:val="TCTableBody"/>
            </w:pPr>
            <w:r w:rsidRPr="57EE44F5">
              <w:t xml:space="preserve">Styrene </w:t>
            </w:r>
          </w:p>
        </w:tc>
        <w:tc>
          <w:tcPr>
            <w:tcW w:w="1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3A5B45B"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704FC66"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55399C4" w14:textId="77777777" w:rsidR="006714FF" w:rsidRDefault="006714FF" w:rsidP="00B77C41">
            <w:pPr>
              <w:pStyle w:val="TCTableBody"/>
              <w:jc w:val="right"/>
            </w:pPr>
            <w:r w:rsidRPr="57EE44F5">
              <w:t>0.200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33EBD55" w14:textId="77777777" w:rsidR="006714FF" w:rsidRDefault="006714FF" w:rsidP="00B77C41">
            <w:pPr>
              <w:pStyle w:val="TCTableBody"/>
              <w:jc w:val="right"/>
            </w:pPr>
            <w:r w:rsidRPr="57EE44F5">
              <w:t>0.473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8F24A81" w14:textId="77777777" w:rsidR="006714FF" w:rsidRDefault="006714FF" w:rsidP="00B77C41">
            <w:pPr>
              <w:pStyle w:val="TCTableBody"/>
              <w:jc w:val="right"/>
            </w:pPr>
            <w:r w:rsidRPr="57EE44F5">
              <w:t>0.661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22134E6" w14:textId="77777777" w:rsidR="006714FF" w:rsidRDefault="006714FF" w:rsidP="00B77C41">
            <w:pPr>
              <w:pStyle w:val="TCTableBody"/>
              <w:jc w:val="right"/>
            </w:pPr>
            <w:r w:rsidRPr="57EE44F5">
              <w:t>0.670</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EF6FCBF" w14:textId="77777777" w:rsidR="006714FF" w:rsidRDefault="006714FF" w:rsidP="00B77C41">
            <w:pPr>
              <w:pStyle w:val="TCTableBody"/>
              <w:jc w:val="right"/>
            </w:pPr>
            <w:r w:rsidRPr="57EE44F5">
              <w:t>0.819</w:t>
            </w:r>
          </w:p>
        </w:tc>
      </w:tr>
      <w:tr w:rsidR="006714FF" w14:paraId="3A6478F8" w14:textId="77777777" w:rsidTr="00B77C41">
        <w:trPr>
          <w:trHeight w:val="780"/>
        </w:trPr>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FC36BD5" w14:textId="77777777" w:rsidR="006714FF" w:rsidRDefault="006714FF" w:rsidP="00B77C41">
            <w:pPr>
              <w:pStyle w:val="TCTableBody"/>
            </w:pPr>
            <w:r w:rsidRPr="57EE44F5">
              <w:t xml:space="preserve">Benzene </w:t>
            </w:r>
          </w:p>
        </w:tc>
        <w:tc>
          <w:tcPr>
            <w:tcW w:w="1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70CCD95" w14:textId="77777777" w:rsidR="006714FF" w:rsidRPr="0070756B" w:rsidRDefault="006714FF" w:rsidP="00B77C41">
            <w:pPr>
              <w:pStyle w:val="TCTableBody"/>
              <w:rPr>
                <w:lang w:val="fr-FR"/>
              </w:rPr>
            </w:pPr>
            <w:r w:rsidRPr="0070756B">
              <w:rPr>
                <w:lang w:val="fr-FR"/>
              </w:rPr>
              <w:t xml:space="preserve">S-LUR </w:t>
            </w:r>
            <w:r w:rsidRPr="0070756B">
              <w:rPr>
                <w:lang w:val="fr-FR"/>
              </w:rPr>
              <w:br/>
              <w:t>+</w:t>
            </w:r>
            <w:proofErr w:type="spellStart"/>
            <w:r w:rsidRPr="0070756B">
              <w:rPr>
                <w:lang w:val="fr-FR"/>
              </w:rPr>
              <w:t>semi-local</w:t>
            </w:r>
            <w:proofErr w:type="spellEnd"/>
            <w:r w:rsidRPr="0070756B">
              <w:rPr>
                <w:lang w:val="fr-FR"/>
              </w:rPr>
              <w:t xml:space="preserve"> T-KS</w:t>
            </w:r>
            <w:r w:rsidRPr="0070756B">
              <w:rPr>
                <w:lang w:val="fr-FR"/>
              </w:rPr>
              <w:br/>
              <w:t xml:space="preserve"> +</w:t>
            </w:r>
            <w:proofErr w:type="spellStart"/>
            <w:r w:rsidRPr="0070756B">
              <w:rPr>
                <w:lang w:val="fr-FR"/>
              </w:rPr>
              <w:t>CAMx</w:t>
            </w:r>
            <w:proofErr w:type="spellEnd"/>
            <w:r w:rsidRPr="0070756B">
              <w:rPr>
                <w:lang w:val="fr-FR"/>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3782B5" w14:textId="77777777" w:rsidR="006714FF" w:rsidRDefault="006714FF" w:rsidP="00B77C41">
            <w:pPr>
              <w:pStyle w:val="TCTableBody"/>
              <w:rPr>
                <w:color w:val="000000" w:themeColor="text1"/>
              </w:rPr>
            </w:pPr>
            <w:r w:rsidRPr="57EE44F5">
              <w:t xml:space="preserve">Flat  </w:t>
            </w:r>
          </w:p>
          <w:p w14:paraId="199E085D" w14:textId="77777777" w:rsidR="006714FF" w:rsidRDefault="006714FF" w:rsidP="00B77C41">
            <w:pPr>
              <w:pStyle w:val="TCTableBody"/>
              <w:rPr>
                <w:color w:val="000000" w:themeColor="text1"/>
              </w:rPr>
            </w:pPr>
            <w:r w:rsidRPr="57EE44F5">
              <w:t>+</w:t>
            </w:r>
            <w:proofErr w:type="spellStart"/>
            <w:r w:rsidRPr="57EE44F5">
              <w:t>CAMx</w:t>
            </w:r>
            <w:proofErr w:type="spellEnd"/>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EB38A83" w14:textId="77777777" w:rsidR="006714FF" w:rsidRDefault="006714FF" w:rsidP="00B77C41">
            <w:pPr>
              <w:pStyle w:val="TCTableBody"/>
              <w:jc w:val="right"/>
            </w:pPr>
            <w:r w:rsidRPr="57EE44F5">
              <w:t>0.325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8D59C4F" w14:textId="77777777" w:rsidR="006714FF" w:rsidRDefault="006714FF" w:rsidP="00B77C41">
            <w:pPr>
              <w:pStyle w:val="TCTableBody"/>
              <w:jc w:val="right"/>
            </w:pPr>
            <w:r w:rsidRPr="57EE44F5">
              <w:t>0.388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5DA3893" w14:textId="77777777" w:rsidR="006714FF" w:rsidRDefault="006714FF" w:rsidP="00B77C41">
            <w:pPr>
              <w:pStyle w:val="TCTableBody"/>
              <w:jc w:val="right"/>
            </w:pPr>
            <w:r w:rsidRPr="57EE44F5">
              <w:t>0.400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FB929E2" w14:textId="77777777" w:rsidR="006714FF" w:rsidRDefault="006714FF" w:rsidP="00B77C41">
            <w:pPr>
              <w:pStyle w:val="TCTableBody"/>
              <w:jc w:val="right"/>
            </w:pPr>
            <w:r w:rsidRPr="57EE44F5">
              <w:t>0.612</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D888BB5" w14:textId="77777777" w:rsidR="006714FF" w:rsidRDefault="006714FF" w:rsidP="00B77C41">
            <w:pPr>
              <w:pStyle w:val="TCTableBody"/>
              <w:jc w:val="right"/>
            </w:pPr>
            <w:r w:rsidRPr="57EE44F5">
              <w:t>0.826</w:t>
            </w:r>
          </w:p>
        </w:tc>
      </w:tr>
      <w:tr w:rsidR="006714FF" w14:paraId="4D00B82D" w14:textId="77777777" w:rsidTr="00B77C41">
        <w:trPr>
          <w:trHeight w:val="525"/>
        </w:trPr>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B81903F" w14:textId="77777777" w:rsidR="006714FF" w:rsidRDefault="006714FF" w:rsidP="00B77C41">
            <w:pPr>
              <w:pStyle w:val="TCTableBody"/>
            </w:pPr>
            <w:r w:rsidRPr="57EE44F5">
              <w:t xml:space="preserve">Toluene </w:t>
            </w:r>
          </w:p>
        </w:tc>
        <w:tc>
          <w:tcPr>
            <w:tcW w:w="1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48785AB"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E1FE796"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9041FB5" w14:textId="77777777" w:rsidR="006714FF" w:rsidRDefault="006714FF" w:rsidP="00B77C41">
            <w:pPr>
              <w:pStyle w:val="TCTableBody"/>
              <w:jc w:val="right"/>
            </w:pPr>
            <w:r w:rsidRPr="57EE44F5">
              <w:t>0.219</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E416821" w14:textId="77777777" w:rsidR="006714FF" w:rsidRDefault="006714FF" w:rsidP="00B77C41">
            <w:pPr>
              <w:pStyle w:val="TCTableBody"/>
              <w:jc w:val="right"/>
            </w:pPr>
            <w:r w:rsidRPr="57EE44F5">
              <w:t>0.278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E4479C1" w14:textId="77777777" w:rsidR="006714FF" w:rsidRDefault="006714FF" w:rsidP="00B77C41">
            <w:pPr>
              <w:pStyle w:val="TCTableBody"/>
              <w:jc w:val="right"/>
            </w:pPr>
            <w:r w:rsidRPr="57EE44F5">
              <w:t>0.579</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3FFAAB1" w14:textId="77777777" w:rsidR="006714FF" w:rsidRDefault="006714FF" w:rsidP="00B77C41">
            <w:pPr>
              <w:pStyle w:val="TCTableBody"/>
              <w:jc w:val="right"/>
            </w:pPr>
            <w:r w:rsidRPr="57EE44F5">
              <w:t>0.661</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2443060" w14:textId="77777777" w:rsidR="006714FF" w:rsidRDefault="006714FF" w:rsidP="00B77C41">
            <w:pPr>
              <w:pStyle w:val="TCTableBody"/>
              <w:jc w:val="right"/>
            </w:pPr>
            <w:r w:rsidRPr="57EE44F5">
              <w:t>0.793</w:t>
            </w:r>
          </w:p>
        </w:tc>
      </w:tr>
      <w:tr w:rsidR="006714FF" w14:paraId="507986C5" w14:textId="77777777" w:rsidTr="00B77C41">
        <w:trPr>
          <w:trHeight w:val="525"/>
        </w:trPr>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FA6865E" w14:textId="77777777" w:rsidR="006714FF" w:rsidRDefault="006714FF" w:rsidP="00B77C41">
            <w:pPr>
              <w:pStyle w:val="TCTableBody"/>
            </w:pPr>
            <w:r w:rsidRPr="57EE44F5">
              <w:t xml:space="preserve">Ethylbenzene </w:t>
            </w:r>
          </w:p>
        </w:tc>
        <w:tc>
          <w:tcPr>
            <w:tcW w:w="1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27D8CD5"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5908233"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3DFA88E" w14:textId="77777777" w:rsidR="006714FF" w:rsidRDefault="006714FF" w:rsidP="00B77C41">
            <w:pPr>
              <w:pStyle w:val="TCTableBody"/>
              <w:jc w:val="right"/>
            </w:pPr>
            <w:r w:rsidRPr="57EE44F5">
              <w:t>0.107</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6523B1C" w14:textId="77777777" w:rsidR="006714FF" w:rsidRDefault="006714FF" w:rsidP="00B77C41">
            <w:pPr>
              <w:pStyle w:val="TCTableBody"/>
              <w:jc w:val="right"/>
            </w:pPr>
            <w:r w:rsidRPr="57EE44F5">
              <w:t>0.233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B26DBF" w14:textId="77777777" w:rsidR="006714FF" w:rsidRDefault="006714FF" w:rsidP="00B77C41">
            <w:pPr>
              <w:pStyle w:val="TCTableBody"/>
              <w:jc w:val="right"/>
            </w:pPr>
            <w:r w:rsidRPr="57EE44F5">
              <w:t>0.651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7292AA6" w14:textId="77777777" w:rsidR="006714FF" w:rsidRDefault="006714FF" w:rsidP="00B77C41">
            <w:pPr>
              <w:pStyle w:val="TCTableBody"/>
              <w:jc w:val="right"/>
            </w:pPr>
            <w:r w:rsidRPr="57EE44F5">
              <w:t>0.695</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1562295" w14:textId="77777777" w:rsidR="006714FF" w:rsidRDefault="006714FF" w:rsidP="00B77C41">
            <w:pPr>
              <w:pStyle w:val="TCTableBody"/>
              <w:jc w:val="right"/>
            </w:pPr>
            <w:r w:rsidRPr="57EE44F5">
              <w:t>0.825</w:t>
            </w:r>
          </w:p>
        </w:tc>
      </w:tr>
      <w:tr w:rsidR="006714FF" w14:paraId="5C629B0D" w14:textId="77777777" w:rsidTr="00B77C41">
        <w:trPr>
          <w:trHeight w:val="525"/>
        </w:trPr>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13408D5" w14:textId="77777777" w:rsidR="006714FF" w:rsidRDefault="006714FF" w:rsidP="00B77C41">
            <w:pPr>
              <w:pStyle w:val="TCTableBody"/>
            </w:pPr>
            <w:r w:rsidRPr="57EE44F5">
              <w:t xml:space="preserve">Xylenes </w:t>
            </w:r>
          </w:p>
        </w:tc>
        <w:tc>
          <w:tcPr>
            <w:tcW w:w="1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443C858"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769A033" w14:textId="77777777" w:rsidR="006714FF" w:rsidRDefault="006714FF" w:rsidP="00B77C41">
            <w:pPr>
              <w:pStyle w:val="TCTableBody"/>
            </w:pPr>
            <w:r w:rsidRPr="57EE44F5">
              <w:t xml:space="preserve">Local S/T-KS </w:t>
            </w:r>
            <w:r>
              <w:br/>
            </w:r>
            <w:r w:rsidRPr="57EE44F5">
              <w:t>+</w:t>
            </w:r>
            <w:proofErr w:type="spellStart"/>
            <w:r w:rsidRPr="57EE44F5">
              <w:t>CAMx</w:t>
            </w:r>
            <w:proofErr w:type="spellEnd"/>
            <w:r w:rsidRPr="57EE44F5">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A33A244" w14:textId="77777777" w:rsidR="006714FF" w:rsidRDefault="006714FF" w:rsidP="00B77C41">
            <w:pPr>
              <w:pStyle w:val="TCTableBody"/>
              <w:jc w:val="right"/>
            </w:pPr>
            <w:r w:rsidRPr="57EE44F5">
              <w:t>0.177</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9E4C718" w14:textId="77777777" w:rsidR="006714FF" w:rsidRDefault="006714FF" w:rsidP="00B77C41">
            <w:pPr>
              <w:pStyle w:val="TCTableBody"/>
              <w:jc w:val="right"/>
            </w:pPr>
            <w:r w:rsidRPr="57EE44F5">
              <w:t>0.359</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8B6CCFE" w14:textId="77777777" w:rsidR="006714FF" w:rsidRDefault="006714FF" w:rsidP="00B77C41">
            <w:pPr>
              <w:pStyle w:val="TCTableBody"/>
              <w:jc w:val="right"/>
            </w:pPr>
            <w:r w:rsidRPr="57EE44F5">
              <w:t>0.607</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7E30E0D" w14:textId="77777777" w:rsidR="006714FF" w:rsidRDefault="006714FF" w:rsidP="00B77C41">
            <w:pPr>
              <w:pStyle w:val="TCTableBody"/>
              <w:jc w:val="right"/>
            </w:pPr>
            <w:r w:rsidRPr="57EE44F5">
              <w:t>0.647</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C9F0A7F" w14:textId="77777777" w:rsidR="006714FF" w:rsidRDefault="006714FF" w:rsidP="00B77C41">
            <w:pPr>
              <w:pStyle w:val="TCTableBody"/>
              <w:jc w:val="right"/>
              <w:rPr>
                <w:color w:val="000000" w:themeColor="text1"/>
              </w:rPr>
            </w:pPr>
            <w:r w:rsidRPr="57EE44F5">
              <w:t>0.793</w:t>
            </w:r>
          </w:p>
        </w:tc>
      </w:tr>
    </w:tbl>
    <w:p w14:paraId="4DE337A9" w14:textId="77777777" w:rsidR="006714FF" w:rsidRPr="0034394B" w:rsidRDefault="006714FF" w:rsidP="006714FF">
      <w:pPr>
        <w:spacing w:after="0"/>
        <w:rPr>
          <w:sz w:val="22"/>
          <w:szCs w:val="22"/>
        </w:rPr>
      </w:pPr>
    </w:p>
    <w:p w14:paraId="20DB247D" w14:textId="77777777" w:rsidR="006714FF" w:rsidRPr="003A2F84" w:rsidRDefault="006714FF" w:rsidP="006714FF">
      <w:pPr>
        <w:pStyle w:val="TESupportingInformation"/>
        <w:rPr>
          <w:b/>
          <w:bCs/>
        </w:rPr>
      </w:pPr>
      <w:r w:rsidRPr="003A2F84">
        <w:rPr>
          <w:b/>
          <w:bCs/>
        </w:rPr>
        <w:t>S1</w:t>
      </w:r>
      <w:r>
        <w:rPr>
          <w:b/>
          <w:bCs/>
        </w:rPr>
        <w:t>2</w:t>
      </w:r>
      <w:r w:rsidRPr="003A2F84">
        <w:rPr>
          <w:b/>
          <w:bCs/>
        </w:rPr>
        <w:t xml:space="preserve">. Composite Method </w:t>
      </w:r>
      <w:proofErr w:type="spellStart"/>
      <w:r w:rsidRPr="003A2F84">
        <w:rPr>
          <w:b/>
          <w:bCs/>
        </w:rPr>
        <w:t>logVOC</w:t>
      </w:r>
      <w:r w:rsidRPr="003F327D">
        <w:rPr>
          <w:b/>
          <w:bCs/>
          <w:vertAlign w:val="subscript"/>
        </w:rPr>
        <w:t>mean</w:t>
      </w:r>
      <w:proofErr w:type="spellEnd"/>
      <w:r w:rsidRPr="003A2F84">
        <w:rPr>
          <w:b/>
          <w:bCs/>
        </w:rPr>
        <w:t xml:space="preserve"> Estimates near the </w:t>
      </w:r>
      <w:proofErr w:type="spellStart"/>
      <w:r w:rsidRPr="003A2F84">
        <w:rPr>
          <w:b/>
          <w:bCs/>
        </w:rPr>
        <w:t>CAMx</w:t>
      </w:r>
      <w:proofErr w:type="spellEnd"/>
      <w:r w:rsidRPr="003A2F84">
        <w:rPr>
          <w:b/>
          <w:bCs/>
        </w:rPr>
        <w:t>-modeled Domain</w:t>
      </w:r>
    </w:p>
    <w:p w14:paraId="12139DF0" w14:textId="77777777" w:rsidR="006714FF" w:rsidRPr="003A2F84" w:rsidRDefault="006714FF" w:rsidP="006714FF">
      <w:pPr>
        <w:pStyle w:val="TESupportingInformation"/>
      </w:pPr>
      <w:r w:rsidRPr="003A2F84">
        <w:t>Figure S</w:t>
      </w:r>
      <w:r>
        <w:t>40</w:t>
      </w:r>
      <w:r w:rsidRPr="003A2F84">
        <w:t xml:space="preserve"> shows </w:t>
      </w:r>
      <w:proofErr w:type="spellStart"/>
      <w:r w:rsidRPr="003A2F84">
        <w:t>logVOC</w:t>
      </w:r>
      <w:r w:rsidRPr="003F327D">
        <w:rPr>
          <w:vertAlign w:val="subscript"/>
        </w:rPr>
        <w:t>mean</w:t>
      </w:r>
      <w:proofErr w:type="spellEnd"/>
      <w:r w:rsidRPr="003A2F84">
        <w:t xml:space="preserve"> (where </w:t>
      </w:r>
      <w:proofErr w:type="spellStart"/>
      <w:r w:rsidRPr="003A2F84">
        <w:t>logVOC</w:t>
      </w:r>
      <w:r w:rsidRPr="003F327D">
        <w:rPr>
          <w:vertAlign w:val="subscript"/>
        </w:rPr>
        <w:t>mean</w:t>
      </w:r>
      <w:proofErr w:type="spellEnd"/>
      <w:r w:rsidRPr="003A2F84">
        <w:t xml:space="preserve"> = </w:t>
      </w:r>
      <w:proofErr w:type="spellStart"/>
      <w:r w:rsidRPr="003A2F84">
        <w:t>logVOC</w:t>
      </w:r>
      <w:r w:rsidRPr="003F327D">
        <w:rPr>
          <w:vertAlign w:val="subscript"/>
        </w:rPr>
        <w:t>median</w:t>
      </w:r>
      <w:proofErr w:type="spellEnd"/>
      <w:r w:rsidRPr="003A2F84">
        <w:t xml:space="preserve">) estimates and estimation variance near the </w:t>
      </w:r>
      <w:proofErr w:type="spellStart"/>
      <w:r w:rsidRPr="003A2F84">
        <w:t>CAMx</w:t>
      </w:r>
      <w:proofErr w:type="spellEnd"/>
      <w:r w:rsidRPr="003A2F84">
        <w:t xml:space="preserve">-modeled region on August 4th, 2012. The </w:t>
      </w:r>
      <w:proofErr w:type="spellStart"/>
      <w:r w:rsidRPr="003A2F84">
        <w:t>logVOC</w:t>
      </w:r>
      <w:r w:rsidRPr="003F327D">
        <w:rPr>
          <w:vertAlign w:val="subscript"/>
        </w:rPr>
        <w:t>mean</w:t>
      </w:r>
      <w:proofErr w:type="spellEnd"/>
      <w:r w:rsidRPr="003A2F84">
        <w:t xml:space="preserve"> estimates showed </w:t>
      </w:r>
      <w:r w:rsidRPr="003A2F84">
        <w:lastRenderedPageBreak/>
        <w:t xml:space="preserve">the same spatial distribution of high and low estimates as the </w:t>
      </w:r>
      <w:proofErr w:type="spellStart"/>
      <w:r w:rsidRPr="003A2F84">
        <w:t>VOC</w:t>
      </w:r>
      <w:r w:rsidRPr="003F327D">
        <w:rPr>
          <w:vertAlign w:val="subscript"/>
        </w:rPr>
        <w:t>median</w:t>
      </w:r>
      <w:proofErr w:type="spellEnd"/>
      <w:r w:rsidRPr="003A2F84">
        <w:t xml:space="preserve"> plots (because a monotonic natural logarithm was used between them) but demonstrated more variability between estimated values (Figure S</w:t>
      </w:r>
      <w:r>
        <w:t>40</w:t>
      </w:r>
      <w:r w:rsidRPr="003A2F84">
        <w:t>). Figure S</w:t>
      </w:r>
      <w:r>
        <w:t>40</w:t>
      </w:r>
      <w:r w:rsidRPr="003A2F84">
        <w:t xml:space="preserve"> demonstrates that, when close to a monitored location, observed measurements drove </w:t>
      </w:r>
      <w:proofErr w:type="spellStart"/>
      <w:r w:rsidRPr="003A2F84">
        <w:t>logVOC</w:t>
      </w:r>
      <w:r w:rsidRPr="003F327D">
        <w:rPr>
          <w:vertAlign w:val="subscript"/>
        </w:rPr>
        <w:t>mean</w:t>
      </w:r>
      <w:proofErr w:type="spellEnd"/>
      <w:r w:rsidRPr="003A2F84">
        <w:t xml:space="preserve"> estimates, but CAMP-corrected </w:t>
      </w:r>
      <w:proofErr w:type="spellStart"/>
      <w:r w:rsidRPr="003A2F84">
        <w:t>CAMx</w:t>
      </w:r>
      <w:proofErr w:type="spellEnd"/>
      <w:r w:rsidRPr="003A2F84">
        <w:t xml:space="preserve"> drove </w:t>
      </w:r>
      <w:proofErr w:type="spellStart"/>
      <w:r w:rsidRPr="003A2F84">
        <w:t>logVOC</w:t>
      </w:r>
      <w:r w:rsidRPr="003F327D">
        <w:rPr>
          <w:vertAlign w:val="subscript"/>
        </w:rPr>
        <w:t>mean</w:t>
      </w:r>
      <w:proofErr w:type="spellEnd"/>
      <w:r w:rsidRPr="003A2F84">
        <w:t xml:space="preserve"> estimates far from monitoring stations. Monitoring station measurements improved estimates in highly polluted and populated urban centers, like Houston and Beaumont, Texas, and Baton Rouge, Louisiana (Figure S</w:t>
      </w:r>
      <w:r>
        <w:t>40</w:t>
      </w:r>
      <w:r w:rsidRPr="003A2F84">
        <w:t>). Figure S</w:t>
      </w:r>
      <w:r>
        <w:t>40</w:t>
      </w:r>
      <w:r w:rsidRPr="003A2F84">
        <w:t xml:space="preserve"> also demonstrates that observational data was useful in improving differences between low-measured values, like in Dallas, Texas. </w:t>
      </w:r>
    </w:p>
    <w:p w14:paraId="159EC174" w14:textId="77777777" w:rsidR="006714FF" w:rsidRPr="003A2F84" w:rsidRDefault="006714FF" w:rsidP="006714FF">
      <w:pPr>
        <w:pStyle w:val="TESupportingInformation"/>
      </w:pPr>
      <w:r w:rsidRPr="003A2F84">
        <w:t xml:space="preserve">The estimated plumes outside the </w:t>
      </w:r>
      <w:proofErr w:type="spellStart"/>
      <w:r w:rsidRPr="003A2F84">
        <w:t>CAMx</w:t>
      </w:r>
      <w:proofErr w:type="spellEnd"/>
      <w:r w:rsidRPr="003A2F84">
        <w:t>-modeled domain were driven by temporal information, from historic monitoring data, within the BME framework (Figure S</w:t>
      </w:r>
      <w:r>
        <w:t>40</w:t>
      </w:r>
      <w:r w:rsidRPr="003A2F84">
        <w:t xml:space="preserve">). However, the exact value of this estimated plume is uncertain because the corresponding estimation SD was also higher in the same areas, therefore, the plumes outside the </w:t>
      </w:r>
      <w:proofErr w:type="spellStart"/>
      <w:r w:rsidRPr="003A2F84">
        <w:t>CAMx</w:t>
      </w:r>
      <w:proofErr w:type="spellEnd"/>
      <w:r w:rsidRPr="003A2F84">
        <w:t>-modeled domain could be considered artifacts (Figure S</w:t>
      </w:r>
      <w:r>
        <w:t>40</w:t>
      </w:r>
      <w:r w:rsidRPr="003A2F84">
        <w:t xml:space="preserve">). </w:t>
      </w:r>
    </w:p>
    <w:p w14:paraId="06703AA3" w14:textId="77777777" w:rsidR="006714FF" w:rsidRPr="00246CD6" w:rsidRDefault="006714FF" w:rsidP="006714FF">
      <w:pPr>
        <w:pStyle w:val="TESupportingInformation"/>
      </w:pPr>
      <w:r w:rsidRPr="003A2F84">
        <w:t xml:space="preserve">Generally, the inclusion of </w:t>
      </w:r>
      <w:proofErr w:type="spellStart"/>
      <w:r w:rsidRPr="003A2F84">
        <w:t>CAMx</w:t>
      </w:r>
      <w:proofErr w:type="spellEnd"/>
      <w:r w:rsidRPr="003A2F84">
        <w:t xml:space="preserve"> lowered </w:t>
      </w:r>
      <w:proofErr w:type="spellStart"/>
      <w:r w:rsidRPr="003A2F84">
        <w:t>logVOC</w:t>
      </w:r>
      <w:r w:rsidRPr="003F327D">
        <w:rPr>
          <w:vertAlign w:val="subscript"/>
        </w:rPr>
        <w:t>mean</w:t>
      </w:r>
      <w:proofErr w:type="spellEnd"/>
      <w:r w:rsidRPr="003A2F84">
        <w:t xml:space="preserve"> estimation variance 2- to 4-fold moving inside the </w:t>
      </w:r>
      <w:proofErr w:type="spellStart"/>
      <w:r w:rsidRPr="003A2F84">
        <w:t>CAMx</w:t>
      </w:r>
      <w:proofErr w:type="spellEnd"/>
      <w:r w:rsidRPr="003A2F84">
        <w:t xml:space="preserve">-modeled region and compared to the transition between where </w:t>
      </w:r>
      <w:proofErr w:type="spellStart"/>
      <w:r w:rsidRPr="003A2F84">
        <w:t>CAMx</w:t>
      </w:r>
      <w:proofErr w:type="spellEnd"/>
      <w:r w:rsidRPr="003A2F84">
        <w:t xml:space="preserve"> was or was not directly modeled (Figure S</w:t>
      </w:r>
      <w:r>
        <w:t>40</w:t>
      </w:r>
      <w:r w:rsidRPr="003A2F84">
        <w:t xml:space="preserve">). This is because, when data fusion was used, estimates could draw information from exact measurements from observational data; LUR and/or KS; NEI-reported emissions, missing NEI emissions through HAPI, chemical reactions, transport through meteorology from </w:t>
      </w:r>
      <w:proofErr w:type="spellStart"/>
      <w:r w:rsidRPr="003A2F84">
        <w:t>CAMx</w:t>
      </w:r>
      <w:proofErr w:type="spellEnd"/>
      <w:r w:rsidRPr="003A2F84">
        <w:t xml:space="preserve">; and adjustment for the </w:t>
      </w:r>
      <w:proofErr w:type="spellStart"/>
      <w:r w:rsidRPr="003A2F84">
        <w:t>CAMx</w:t>
      </w:r>
      <w:proofErr w:type="spellEnd"/>
      <w:r w:rsidRPr="003A2F84">
        <w:t xml:space="preserve"> underestimation of low values and overestimation of high values through CAMP corrections. Interestingly, estimation variance inside of the </w:t>
      </w:r>
      <w:proofErr w:type="spellStart"/>
      <w:r w:rsidRPr="003A2F84">
        <w:t>CAMx</w:t>
      </w:r>
      <w:proofErr w:type="spellEnd"/>
      <w:r w:rsidRPr="003A2F84">
        <w:t xml:space="preserve"> domain varied, due to proximity to observational data and CAMP-corrected </w:t>
      </w:r>
      <w:proofErr w:type="spellStart"/>
      <w:r w:rsidRPr="003A2F84">
        <w:t>CAMx</w:t>
      </w:r>
      <w:proofErr w:type="spellEnd"/>
      <w:r w:rsidRPr="003A2F84">
        <w:t xml:space="preserve"> estimation variance calculated from the λ</w:t>
      </w:r>
      <w:r w:rsidRPr="003F327D">
        <w:rPr>
          <w:vertAlign w:val="subscript"/>
        </w:rPr>
        <w:t>2</w:t>
      </w:r>
      <w:r w:rsidRPr="003A2F84">
        <w:t xml:space="preserve"> curve CAMP correction curve (Figure S</w:t>
      </w:r>
      <w:r>
        <w:t>40</w:t>
      </w:r>
      <w:r w:rsidRPr="003A2F84">
        <w:t>).</w:t>
      </w:r>
    </w:p>
    <w:p w14:paraId="1A863B3C" w14:textId="77777777" w:rsidR="006714FF" w:rsidRDefault="006714FF" w:rsidP="006714FF">
      <w:pPr>
        <w:spacing w:after="0" w:line="259" w:lineRule="auto"/>
      </w:pPr>
      <w:r>
        <w:rPr>
          <w:noProof/>
        </w:rPr>
        <w:lastRenderedPageBreak/>
        <w:drawing>
          <wp:inline distT="0" distB="0" distL="0" distR="0" wp14:anchorId="546A2357" wp14:editId="620B0DE4">
            <wp:extent cx="1846730" cy="1371600"/>
            <wp:effectExtent l="0" t="0" r="0" b="0"/>
            <wp:docPr id="1850335968" name="Picture 185033596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335968" name="Picture 1850335968" descr="A map of the united states&#10;&#10;Description automatically generated"/>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1846730" cy="1371600"/>
                    </a:xfrm>
                    <a:prstGeom prst="rect">
                      <a:avLst/>
                    </a:prstGeom>
                  </pic:spPr>
                </pic:pic>
              </a:graphicData>
            </a:graphic>
          </wp:inline>
        </w:drawing>
      </w:r>
      <w:r>
        <w:rPr>
          <w:noProof/>
        </w:rPr>
        <w:drawing>
          <wp:inline distT="0" distB="0" distL="0" distR="0" wp14:anchorId="0E6076B0" wp14:editId="5D20D8E7">
            <wp:extent cx="1828800" cy="1371600"/>
            <wp:effectExtent l="0" t="0" r="0" b="0"/>
            <wp:docPr id="275903041" name="Picture 27590304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03041" name="Picture 275903041" descr="A map of the united states&#10;&#10;Description automatically generated"/>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br/>
      </w:r>
      <w:r>
        <w:rPr>
          <w:noProof/>
        </w:rPr>
        <w:drawing>
          <wp:inline distT="0" distB="0" distL="0" distR="0" wp14:anchorId="525CA5C3" wp14:editId="502DFBD2">
            <wp:extent cx="1828800" cy="1371600"/>
            <wp:effectExtent l="0" t="0" r="0" b="0"/>
            <wp:docPr id="387063009" name="Picture 38706300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63009" name="Picture 387063009" descr="A map of the united states&#10;&#10;Description automatically generated"/>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64E62DA8" wp14:editId="0F228255">
            <wp:extent cx="1828800" cy="1371600"/>
            <wp:effectExtent l="0" t="0" r="0" b="0"/>
            <wp:docPr id="575742859" name="Picture 57574285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42859" name="Picture 575742859" descr="A map of the united states&#10;&#10;Description automatically generated"/>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2A9B333B" w14:textId="77777777" w:rsidR="006714FF" w:rsidRDefault="006714FF" w:rsidP="006714FF">
      <w:pPr>
        <w:spacing w:after="0" w:line="259" w:lineRule="auto"/>
      </w:pPr>
      <w:r>
        <w:rPr>
          <w:noProof/>
        </w:rPr>
        <w:drawing>
          <wp:inline distT="0" distB="0" distL="0" distR="0" wp14:anchorId="58D1B44D" wp14:editId="39EE9E97">
            <wp:extent cx="1828800" cy="1371600"/>
            <wp:effectExtent l="0" t="0" r="0" b="0"/>
            <wp:docPr id="1619304043" name="Picture 1619304043"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04043" name="Picture 1619304043" descr="A map of the united states&#10;&#10;Description automatically generated"/>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6F5DA48A" wp14:editId="1246EB0A">
            <wp:extent cx="1844168" cy="1371600"/>
            <wp:effectExtent l="0" t="0" r="0" b="0"/>
            <wp:docPr id="1800201818" name="Picture 180020181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01818" name="Picture 1800201818" descr="A map of the united states&#10;&#10;Description automatically generated"/>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844168" cy="1371600"/>
                    </a:xfrm>
                    <a:prstGeom prst="rect">
                      <a:avLst/>
                    </a:prstGeom>
                  </pic:spPr>
                </pic:pic>
              </a:graphicData>
            </a:graphic>
          </wp:inline>
        </w:drawing>
      </w:r>
    </w:p>
    <w:p w14:paraId="1F092E62" w14:textId="77777777" w:rsidR="006714FF" w:rsidRDefault="006714FF" w:rsidP="006714FF">
      <w:pPr>
        <w:spacing w:after="0" w:line="259" w:lineRule="auto"/>
      </w:pPr>
      <w:r>
        <w:rPr>
          <w:noProof/>
        </w:rPr>
        <w:drawing>
          <wp:inline distT="0" distB="0" distL="0" distR="0" wp14:anchorId="60FDDA71" wp14:editId="45B38C7D">
            <wp:extent cx="1846730" cy="1371600"/>
            <wp:effectExtent l="0" t="0" r="0" b="0"/>
            <wp:docPr id="782842910" name="Picture 782842910"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42910" name="Picture 782842910" descr="A map of the united states&#10;&#10;Description automatically generated"/>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1846730" cy="1371600"/>
                    </a:xfrm>
                    <a:prstGeom prst="rect">
                      <a:avLst/>
                    </a:prstGeom>
                  </pic:spPr>
                </pic:pic>
              </a:graphicData>
            </a:graphic>
          </wp:inline>
        </w:drawing>
      </w:r>
      <w:r>
        <w:rPr>
          <w:noProof/>
        </w:rPr>
        <w:drawing>
          <wp:inline distT="0" distB="0" distL="0" distR="0" wp14:anchorId="1979BCEA" wp14:editId="1421778C">
            <wp:extent cx="1828800" cy="1371600"/>
            <wp:effectExtent l="0" t="0" r="0" b="0"/>
            <wp:docPr id="388431919" name="Picture 38843191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31919" name="Picture 388431919" descr="A map of the united states&#10;&#10;Description automatically generated"/>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p w14:paraId="3E45382C" w14:textId="77777777" w:rsidR="006714FF" w:rsidRDefault="006714FF" w:rsidP="006714FF">
      <w:pPr>
        <w:spacing w:after="0" w:line="259" w:lineRule="auto"/>
      </w:pPr>
      <w:r>
        <w:rPr>
          <w:noProof/>
        </w:rPr>
        <w:drawing>
          <wp:inline distT="0" distB="0" distL="0" distR="0" wp14:anchorId="391FDDA1" wp14:editId="62F3EB0F">
            <wp:extent cx="1828800" cy="1371600"/>
            <wp:effectExtent l="0" t="0" r="0" b="0"/>
            <wp:docPr id="860196156" name="Picture 86019615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96156" name="Picture 860196156" descr="A map of the united states&#10;&#10;Description automatically generated"/>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r>
        <w:rPr>
          <w:noProof/>
        </w:rPr>
        <w:drawing>
          <wp:inline distT="0" distB="0" distL="0" distR="0" wp14:anchorId="38AC355C" wp14:editId="428D76F1">
            <wp:extent cx="1844168" cy="1371600"/>
            <wp:effectExtent l="0" t="0" r="0" b="0"/>
            <wp:docPr id="1599899728" name="Picture 159989972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99728" name="Picture 1599899728" descr="A map of the united states&#10;&#10;Description automatically generated"/>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1844168" cy="1371600"/>
                    </a:xfrm>
                    <a:prstGeom prst="rect">
                      <a:avLst/>
                    </a:prstGeom>
                  </pic:spPr>
                </pic:pic>
              </a:graphicData>
            </a:graphic>
          </wp:inline>
        </w:drawing>
      </w:r>
      <w:r>
        <w:br/>
      </w:r>
    </w:p>
    <w:p w14:paraId="0088D045" w14:textId="77777777" w:rsidR="006714FF" w:rsidRPr="003A2F84" w:rsidRDefault="006714FF" w:rsidP="006714FF">
      <w:pPr>
        <w:pStyle w:val="VAFigureCaption"/>
      </w:pPr>
      <w:r w:rsidRPr="003A2F84">
        <w:rPr>
          <w:b/>
          <w:bCs/>
        </w:rPr>
        <w:t>Figure S</w:t>
      </w:r>
      <w:r>
        <w:rPr>
          <w:b/>
          <w:bCs/>
        </w:rPr>
        <w:t>40</w:t>
      </w:r>
      <w:r w:rsidRPr="003A2F84">
        <w:rPr>
          <w:b/>
          <w:bCs/>
        </w:rPr>
        <w:t>.</w:t>
      </w:r>
      <w:r w:rsidRPr="003A2F84">
        <w:t xml:space="preserve"> SBTEX estimates and estimation variance near the modeled </w:t>
      </w:r>
      <w:proofErr w:type="spellStart"/>
      <w:r w:rsidRPr="003A2F84">
        <w:t>CAMx</w:t>
      </w:r>
      <w:proofErr w:type="spellEnd"/>
      <w:r w:rsidRPr="003A2F84">
        <w:t xml:space="preserve"> region on August 4th, 2012. From top to bottom, row 1: styrene; row 2: benzene; row 3: toluene, row 4: ethylbenzene; row 5: xylenes. Left column: </w:t>
      </w:r>
      <w:proofErr w:type="spellStart"/>
      <w:r w:rsidRPr="003A2F84">
        <w:t>logVOC</w:t>
      </w:r>
      <w:r w:rsidRPr="003F327D">
        <w:rPr>
          <w:vertAlign w:val="subscript"/>
        </w:rPr>
        <w:t>mean</w:t>
      </w:r>
      <w:proofErr w:type="spellEnd"/>
      <w:r w:rsidRPr="003A2F84">
        <w:t xml:space="preserve"> estimates; right column: </w:t>
      </w:r>
      <w:proofErr w:type="spellStart"/>
      <w:r w:rsidRPr="003A2F84">
        <w:t>logVOC</w:t>
      </w:r>
      <w:r w:rsidRPr="003F327D">
        <w:rPr>
          <w:vertAlign w:val="subscript"/>
        </w:rPr>
        <w:t>variance</w:t>
      </w:r>
      <w:proofErr w:type="spellEnd"/>
      <w:r w:rsidRPr="003A2F84">
        <w:t>.</w:t>
      </w:r>
    </w:p>
    <w:p w14:paraId="1BAAAA34" w14:textId="77777777" w:rsidR="006714FF" w:rsidRPr="003A2F84" w:rsidRDefault="006714FF" w:rsidP="006714FF">
      <w:pPr>
        <w:pStyle w:val="TESupportingInformation"/>
        <w:rPr>
          <w:b/>
          <w:bCs/>
        </w:rPr>
      </w:pPr>
      <w:r w:rsidRPr="003A2F84">
        <w:rPr>
          <w:b/>
          <w:bCs/>
        </w:rPr>
        <w:lastRenderedPageBreak/>
        <w:t>S1</w:t>
      </w:r>
      <w:r>
        <w:rPr>
          <w:b/>
          <w:bCs/>
        </w:rPr>
        <w:t>3</w:t>
      </w:r>
      <w:r w:rsidRPr="003A2F84">
        <w:rPr>
          <w:b/>
          <w:bCs/>
        </w:rPr>
        <w:t>. Composite Method Estimates in the Gulf States</w:t>
      </w:r>
    </w:p>
    <w:p w14:paraId="7D505D23" w14:textId="77777777" w:rsidR="006714FF" w:rsidRPr="003A2F84" w:rsidRDefault="006714FF" w:rsidP="006714FF">
      <w:pPr>
        <w:pStyle w:val="VAFigureCaption"/>
      </w:pPr>
      <w:r w:rsidRPr="003A2F84">
        <w:t xml:space="preserve">Full Gulf </w:t>
      </w:r>
      <w:proofErr w:type="spellStart"/>
      <w:r w:rsidRPr="003A2F84">
        <w:t>logVOC</w:t>
      </w:r>
      <w:r w:rsidRPr="003F327D">
        <w:rPr>
          <w:vertAlign w:val="subscript"/>
        </w:rPr>
        <w:t>mean</w:t>
      </w:r>
      <w:proofErr w:type="spellEnd"/>
      <w:r w:rsidRPr="003A2F84">
        <w:t xml:space="preserve">, </w:t>
      </w:r>
      <w:proofErr w:type="spellStart"/>
      <w:r w:rsidRPr="003A2F84">
        <w:t>VOC</w:t>
      </w:r>
      <w:r w:rsidRPr="003F327D">
        <w:rPr>
          <w:vertAlign w:val="subscript"/>
        </w:rPr>
        <w:t>median</w:t>
      </w:r>
      <w:proofErr w:type="spellEnd"/>
      <w:r w:rsidRPr="003A2F84">
        <w:t xml:space="preserve">, and </w:t>
      </w:r>
      <w:proofErr w:type="spellStart"/>
      <w:r w:rsidRPr="003A2F84">
        <w:t>VOC</w:t>
      </w:r>
      <w:r w:rsidRPr="003F327D">
        <w:rPr>
          <w:vertAlign w:val="subscript"/>
        </w:rPr>
        <w:t>mean</w:t>
      </w:r>
      <w:proofErr w:type="spellEnd"/>
      <w:r w:rsidRPr="003A2F84">
        <w:t xml:space="preserve"> </w:t>
      </w:r>
      <w:proofErr w:type="gramStart"/>
      <w:r w:rsidRPr="003A2F84">
        <w:t>estimates</w:t>
      </w:r>
      <w:proofErr w:type="gramEnd"/>
      <w:r w:rsidRPr="003A2F84">
        <w:t xml:space="preserve"> and estimation variance were mapped using composite methods on August 4th, 2012. Figure S</w:t>
      </w:r>
      <w:r>
        <w:t>41</w:t>
      </w:r>
      <w:r w:rsidRPr="003A2F84">
        <w:t xml:space="preserve"> (styrene), Figure S4</w:t>
      </w:r>
      <w:r>
        <w:t>2</w:t>
      </w:r>
      <w:r w:rsidRPr="003A2F84">
        <w:t xml:space="preserve"> (benzene), Figure S4</w:t>
      </w:r>
      <w:r>
        <w:t>3</w:t>
      </w:r>
      <w:r w:rsidRPr="003A2F84">
        <w:t xml:space="preserve"> (toluene), Figure S4</w:t>
      </w:r>
      <w:r>
        <w:t>4</w:t>
      </w:r>
      <w:r w:rsidRPr="003A2F84">
        <w:t xml:space="preserve"> (ethylbenzene), and Figure S4</w:t>
      </w:r>
      <w:r>
        <w:t>5</w:t>
      </w:r>
      <w:r w:rsidRPr="003A2F84">
        <w:t xml:space="preserve"> (xylenes) demonstrated the resulting estimates using composite methods. </w:t>
      </w:r>
    </w:p>
    <w:p w14:paraId="0F1201AA" w14:textId="77777777" w:rsidR="006714FF" w:rsidRPr="003A2F84" w:rsidRDefault="006714FF" w:rsidP="006714FF">
      <w:pPr>
        <w:pStyle w:val="VAFigureCaption"/>
      </w:pPr>
      <w:r w:rsidRPr="003A2F84">
        <w:rPr>
          <w:noProof/>
        </w:rPr>
        <w:drawing>
          <wp:inline distT="0" distB="0" distL="0" distR="0" wp14:anchorId="1449FBA7" wp14:editId="4818C2E2">
            <wp:extent cx="1967113" cy="1463040"/>
            <wp:effectExtent l="0" t="0" r="0" b="0"/>
            <wp:docPr id="841781029" name="Picture 84178102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81029" name="Picture 841781029" descr="A map of the united states&#10;&#10;Description automatically generated"/>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668DD6A8" wp14:editId="78F92EF1">
            <wp:extent cx="1950720" cy="1463040"/>
            <wp:effectExtent l="0" t="0" r="0" b="0"/>
            <wp:docPr id="555794685" name="Picture 55579468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94685" name="Picture 555794685" descr="A map of the united states&#10;&#10;Description automatically generated"/>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0867B533" wp14:editId="0A8AC166">
            <wp:extent cx="1967113" cy="1463040"/>
            <wp:effectExtent l="0" t="0" r="0" b="0"/>
            <wp:docPr id="626025648" name="Picture 62602564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025648" name="Picture 626025648" descr="A map of the united states&#10;&#10;Description automatically generated"/>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291C693B" wp14:editId="082A24A0">
            <wp:extent cx="1950720" cy="1463040"/>
            <wp:effectExtent l="0" t="0" r="0" b="0"/>
            <wp:docPr id="1784479745" name="Picture 178447974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79745" name="Picture 1784479745" descr="A map of the united states&#10;&#10;Description automatically generated"/>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3EA8346B" wp14:editId="53CBB4F0">
            <wp:extent cx="1950720" cy="1463040"/>
            <wp:effectExtent l="0" t="0" r="0" b="0"/>
            <wp:docPr id="36582011" name="Picture 3658201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2011" name="Picture 36582011" descr="A map of the united states&#10;&#10;Description automatically generated"/>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689BDD53" wp14:editId="48E93879">
            <wp:extent cx="1950720" cy="1463040"/>
            <wp:effectExtent l="0" t="0" r="0" b="0"/>
            <wp:docPr id="1532711311" name="Picture 153271131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11311" name="Picture 1532711311" descr="A map of the united states&#10;&#10;Description automatically generated"/>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40D68EE1" w14:textId="77777777" w:rsidR="006714FF" w:rsidRPr="003A2F84" w:rsidRDefault="006714FF" w:rsidP="006714FF">
      <w:pPr>
        <w:pStyle w:val="VAFigureCaption"/>
      </w:pPr>
      <w:r w:rsidRPr="003A2F84">
        <w:rPr>
          <w:b/>
          <w:bCs/>
        </w:rPr>
        <w:t>Figure S</w:t>
      </w:r>
      <w:r>
        <w:rPr>
          <w:b/>
          <w:bCs/>
        </w:rPr>
        <w:t>41</w:t>
      </w:r>
      <w:r w:rsidRPr="003A2F84">
        <w:rPr>
          <w:b/>
          <w:bCs/>
        </w:rPr>
        <w:t>.</w:t>
      </w:r>
      <w:r w:rsidRPr="003A2F84">
        <w:t xml:space="preserve"> Styrene and log-styrene estimates and estimation variance across Gulf States on August 4th, 2012. Top row: estimated styrene; bottom row: styrene estimation variance. Left column: </w:t>
      </w:r>
      <w:proofErr w:type="spellStart"/>
      <w:r w:rsidRPr="003A2F84">
        <w:t>logVOC</w:t>
      </w:r>
      <w:r w:rsidRPr="003F327D">
        <w:rPr>
          <w:vertAlign w:val="subscript"/>
        </w:rPr>
        <w:t>mean</w:t>
      </w:r>
      <w:proofErr w:type="spellEnd"/>
      <w:r w:rsidRPr="003A2F84">
        <w:t xml:space="preserve">; center column: </w:t>
      </w:r>
      <w:proofErr w:type="spellStart"/>
      <w:r w:rsidRPr="003A2F84">
        <w:t>VOC</w:t>
      </w:r>
      <w:r w:rsidRPr="003F327D">
        <w:rPr>
          <w:vertAlign w:val="subscript"/>
        </w:rPr>
        <w:t>median</w:t>
      </w:r>
      <w:proofErr w:type="spellEnd"/>
      <w:r w:rsidRPr="003A2F84">
        <w:t xml:space="preserve">; center column: </w:t>
      </w:r>
      <w:proofErr w:type="spellStart"/>
      <w:r w:rsidRPr="003A2F84">
        <w:t>VOC</w:t>
      </w:r>
      <w:r w:rsidRPr="003F327D">
        <w:rPr>
          <w:vertAlign w:val="subscript"/>
        </w:rPr>
        <w:t>mean</w:t>
      </w:r>
      <w:proofErr w:type="spellEnd"/>
      <w:r w:rsidRPr="003A2F84">
        <w:t>.</w:t>
      </w:r>
    </w:p>
    <w:p w14:paraId="02342974" w14:textId="77777777" w:rsidR="006714FF" w:rsidRPr="003A2F84" w:rsidRDefault="006714FF" w:rsidP="006714FF">
      <w:pPr>
        <w:pStyle w:val="VAFigureCaption"/>
      </w:pPr>
    </w:p>
    <w:p w14:paraId="26270735" w14:textId="77777777" w:rsidR="006714FF" w:rsidRPr="003A2F84" w:rsidRDefault="006714FF" w:rsidP="006714FF">
      <w:pPr>
        <w:pStyle w:val="VAFigureCaption"/>
      </w:pPr>
      <w:r w:rsidRPr="003A2F84">
        <w:rPr>
          <w:noProof/>
        </w:rPr>
        <w:lastRenderedPageBreak/>
        <w:drawing>
          <wp:inline distT="0" distB="0" distL="0" distR="0" wp14:anchorId="4EDB4840" wp14:editId="094B53F6">
            <wp:extent cx="1950720" cy="1463040"/>
            <wp:effectExtent l="0" t="0" r="0" b="0"/>
            <wp:docPr id="632311919" name="Picture 63231191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11919" name="Picture 632311919" descr="A map of the united states&#10;&#10;Description automatically generated"/>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4F450286" wp14:editId="44F56157">
            <wp:extent cx="1950720" cy="1463040"/>
            <wp:effectExtent l="0" t="0" r="0" b="0"/>
            <wp:docPr id="1081821908" name="Picture 108182190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21908" name="Picture 1081821908" descr="A map of the united states&#10;&#10;Description automatically generated"/>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08C8B456" wp14:editId="14A42611">
            <wp:extent cx="1967113" cy="1463040"/>
            <wp:effectExtent l="0" t="0" r="0" b="0"/>
            <wp:docPr id="366050657" name="Picture 366050657"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50657" name="Picture 366050657" descr="A map of the united states&#10;&#10;Description automatically generated"/>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1C3D0D05" wp14:editId="78551D62">
            <wp:extent cx="1950720" cy="1463040"/>
            <wp:effectExtent l="0" t="0" r="0" b="0"/>
            <wp:docPr id="334736600" name="Picture 334736600"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36600" name="Picture 334736600" descr="A map of the united states&#10;&#10;Description automatically generated"/>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637D5DE9" wp14:editId="7455362E">
            <wp:extent cx="1950720" cy="1463040"/>
            <wp:effectExtent l="0" t="0" r="0" b="0"/>
            <wp:docPr id="531032135" name="Picture 53103213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032135" name="Picture 531032135" descr="A map of the united states&#10;&#10;Description automatically generated"/>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2429775F" wp14:editId="040C6D0A">
            <wp:extent cx="1950720" cy="1463040"/>
            <wp:effectExtent l="0" t="0" r="0" b="0"/>
            <wp:docPr id="1655623887" name="Picture 1655623887"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23887" name="Picture 1655623887" descr="A map of the united states&#10;&#10;Description automatically generated"/>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424C3B59" w14:textId="46C65AFF" w:rsidR="006714FF" w:rsidRDefault="006714FF" w:rsidP="006714FF">
      <w:pPr>
        <w:pStyle w:val="VAFigureCaption"/>
      </w:pPr>
      <w:r w:rsidRPr="003A2F84">
        <w:rPr>
          <w:b/>
          <w:bCs/>
        </w:rPr>
        <w:t>Figure S4</w:t>
      </w:r>
      <w:r>
        <w:rPr>
          <w:b/>
          <w:bCs/>
        </w:rPr>
        <w:t>2</w:t>
      </w:r>
      <w:r w:rsidRPr="003A2F84">
        <w:rPr>
          <w:b/>
          <w:bCs/>
        </w:rPr>
        <w:t>.</w:t>
      </w:r>
      <w:r w:rsidRPr="003A2F84">
        <w:t xml:space="preserve"> Benzene and log-benzene estimates and estimation variance across Gulf States on August 4th, 2012. Top row: estimated benzene; bottom row: benzene estimation variance. </w:t>
      </w:r>
      <w:r w:rsidR="003F327D" w:rsidRPr="003A2F84">
        <w:t xml:space="preserve">Left column: </w:t>
      </w:r>
      <w:proofErr w:type="spellStart"/>
      <w:r w:rsidR="003F327D" w:rsidRPr="003A2F84">
        <w:t>logVOC</w:t>
      </w:r>
      <w:r w:rsidR="003F327D" w:rsidRPr="0043732D">
        <w:rPr>
          <w:vertAlign w:val="subscript"/>
        </w:rPr>
        <w:t>mean</w:t>
      </w:r>
      <w:proofErr w:type="spellEnd"/>
      <w:r w:rsidR="003F327D" w:rsidRPr="003A2F84">
        <w:t xml:space="preserve">; center column: </w:t>
      </w:r>
      <w:proofErr w:type="spellStart"/>
      <w:r w:rsidR="003F327D" w:rsidRPr="003A2F84">
        <w:t>VOC</w:t>
      </w:r>
      <w:r w:rsidR="003F327D" w:rsidRPr="0043732D">
        <w:rPr>
          <w:vertAlign w:val="subscript"/>
        </w:rPr>
        <w:t>median</w:t>
      </w:r>
      <w:proofErr w:type="spellEnd"/>
      <w:r w:rsidR="003F327D" w:rsidRPr="003A2F84">
        <w:t xml:space="preserve">; center column: </w:t>
      </w:r>
      <w:proofErr w:type="spellStart"/>
      <w:r w:rsidR="003F327D" w:rsidRPr="003A2F84">
        <w:t>VOC</w:t>
      </w:r>
      <w:r w:rsidR="003F327D" w:rsidRPr="0043732D">
        <w:rPr>
          <w:vertAlign w:val="subscript"/>
        </w:rPr>
        <w:t>mean</w:t>
      </w:r>
      <w:proofErr w:type="spellEnd"/>
      <w:r w:rsidR="003F327D" w:rsidRPr="003A2F84">
        <w:t>.</w:t>
      </w:r>
    </w:p>
    <w:p w14:paraId="018D8D91" w14:textId="77777777" w:rsidR="006714FF" w:rsidRDefault="006714FF" w:rsidP="006714FF"/>
    <w:p w14:paraId="2E7CAB0D" w14:textId="77777777" w:rsidR="006714FF" w:rsidRDefault="006714FF" w:rsidP="006714FF"/>
    <w:p w14:paraId="7FBACE1D" w14:textId="77777777" w:rsidR="006714FF" w:rsidRPr="005D115D" w:rsidRDefault="006714FF" w:rsidP="006714FF"/>
    <w:p w14:paraId="3C822350" w14:textId="77777777" w:rsidR="006714FF" w:rsidRPr="003A2F84" w:rsidRDefault="006714FF" w:rsidP="006714FF">
      <w:pPr>
        <w:pStyle w:val="VAFigureCaption"/>
      </w:pPr>
      <w:r w:rsidRPr="003A2F84">
        <w:rPr>
          <w:noProof/>
        </w:rPr>
        <w:lastRenderedPageBreak/>
        <w:drawing>
          <wp:inline distT="0" distB="0" distL="0" distR="0" wp14:anchorId="40969E49" wp14:editId="3AB33D81">
            <wp:extent cx="1950720" cy="1463040"/>
            <wp:effectExtent l="0" t="0" r="0" b="0"/>
            <wp:docPr id="432340949" name="Picture 432340949"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40949" name="Picture 432340949" descr="A map of the world&#10;&#10;Description automatically generated"/>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45978B9C" wp14:editId="36963066">
            <wp:extent cx="1967113" cy="1463040"/>
            <wp:effectExtent l="0" t="0" r="0" b="0"/>
            <wp:docPr id="2086881678" name="Picture 208688167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881678" name="Picture 2086881678" descr="A map of the united states&#10;&#10;Description automatically generated"/>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14ED8C55" wp14:editId="3ACB8901">
            <wp:extent cx="1950720" cy="1463040"/>
            <wp:effectExtent l="0" t="0" r="0" b="0"/>
            <wp:docPr id="1292396698" name="Picture 1292396698"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96698" name="Picture 1292396698" descr="A map of the united states&#10;&#10;Description automatically generated"/>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7B9ADEF4" wp14:editId="2D53BDF0">
            <wp:extent cx="1967113" cy="1463040"/>
            <wp:effectExtent l="0" t="0" r="0" b="0"/>
            <wp:docPr id="891544343" name="Picture 891544343" descr="A map of the temperature of the temperature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44343" name="Picture 891544343" descr="A map of the temperature of the temperature of the united states&#10;&#10;Description automatically generated"/>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5AED5B26" wp14:editId="00AA5A1C">
            <wp:extent cx="1950720" cy="1463040"/>
            <wp:effectExtent l="0" t="0" r="0" b="0"/>
            <wp:docPr id="1563134082" name="Picture 156313408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4082" name="Picture 1563134082" descr="A map of the united states&#10;&#10;Description automatically generated"/>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3691034E" wp14:editId="224FA74F">
            <wp:extent cx="1950720" cy="1463040"/>
            <wp:effectExtent l="0" t="0" r="0" b="0"/>
            <wp:docPr id="2081686115" name="Picture 208168611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86115" name="Picture 2081686115" descr="A map of the united states&#10;&#10;Description automatically generated"/>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67917E2A" w14:textId="429DD50F" w:rsidR="006714FF" w:rsidRDefault="006714FF" w:rsidP="006714FF">
      <w:pPr>
        <w:pStyle w:val="VAFigureCaption"/>
      </w:pPr>
      <w:r w:rsidRPr="003A2F84">
        <w:rPr>
          <w:b/>
          <w:bCs/>
        </w:rPr>
        <w:t>Figure S4</w:t>
      </w:r>
      <w:r>
        <w:rPr>
          <w:b/>
          <w:bCs/>
        </w:rPr>
        <w:t>3</w:t>
      </w:r>
      <w:r w:rsidRPr="003A2F84">
        <w:rPr>
          <w:b/>
          <w:bCs/>
        </w:rPr>
        <w:t>.</w:t>
      </w:r>
      <w:r w:rsidRPr="003A2F84">
        <w:t xml:space="preserve"> Toluene and log-toluene estimates and estimation variance across Gulf States on August 4th, 2012. Top row: estimated toluene; bottom row: toluene estimation variance. </w:t>
      </w:r>
      <w:r w:rsidR="003F327D" w:rsidRPr="003A2F84">
        <w:t xml:space="preserve">Left column: </w:t>
      </w:r>
      <w:proofErr w:type="spellStart"/>
      <w:r w:rsidR="003F327D" w:rsidRPr="003A2F84">
        <w:t>logVOC</w:t>
      </w:r>
      <w:r w:rsidR="003F327D" w:rsidRPr="0043732D">
        <w:rPr>
          <w:vertAlign w:val="subscript"/>
        </w:rPr>
        <w:t>mean</w:t>
      </w:r>
      <w:proofErr w:type="spellEnd"/>
      <w:r w:rsidR="003F327D" w:rsidRPr="003A2F84">
        <w:t xml:space="preserve">; center column: </w:t>
      </w:r>
      <w:proofErr w:type="spellStart"/>
      <w:r w:rsidR="003F327D" w:rsidRPr="003A2F84">
        <w:t>VOC</w:t>
      </w:r>
      <w:r w:rsidR="003F327D" w:rsidRPr="0043732D">
        <w:rPr>
          <w:vertAlign w:val="subscript"/>
        </w:rPr>
        <w:t>median</w:t>
      </w:r>
      <w:proofErr w:type="spellEnd"/>
      <w:r w:rsidR="003F327D" w:rsidRPr="003A2F84">
        <w:t xml:space="preserve">; center column: </w:t>
      </w:r>
      <w:proofErr w:type="spellStart"/>
      <w:r w:rsidR="003F327D" w:rsidRPr="003A2F84">
        <w:t>VOC</w:t>
      </w:r>
      <w:r w:rsidR="003F327D" w:rsidRPr="0043732D">
        <w:rPr>
          <w:vertAlign w:val="subscript"/>
        </w:rPr>
        <w:t>mean</w:t>
      </w:r>
      <w:proofErr w:type="spellEnd"/>
      <w:r w:rsidR="003F327D" w:rsidRPr="003A2F84">
        <w:t>.</w:t>
      </w:r>
    </w:p>
    <w:p w14:paraId="53A203BF" w14:textId="77777777" w:rsidR="006714FF" w:rsidRDefault="006714FF" w:rsidP="006714FF"/>
    <w:p w14:paraId="0976A536" w14:textId="77777777" w:rsidR="006714FF" w:rsidRDefault="006714FF" w:rsidP="006714FF"/>
    <w:p w14:paraId="27ACAE88" w14:textId="77777777" w:rsidR="006714FF" w:rsidRPr="005D115D" w:rsidRDefault="006714FF" w:rsidP="006714FF"/>
    <w:p w14:paraId="26B06DCD" w14:textId="3C038AEC" w:rsidR="006714FF" w:rsidRDefault="006714FF" w:rsidP="006714FF">
      <w:pPr>
        <w:pStyle w:val="VAFigureCaption"/>
      </w:pPr>
      <w:r w:rsidRPr="003A2F84">
        <w:rPr>
          <w:noProof/>
        </w:rPr>
        <w:lastRenderedPageBreak/>
        <w:drawing>
          <wp:inline distT="0" distB="0" distL="0" distR="0" wp14:anchorId="39E85FE7" wp14:editId="64D251F2">
            <wp:extent cx="1950720" cy="1463040"/>
            <wp:effectExtent l="0" t="0" r="0" b="0"/>
            <wp:docPr id="1996206274" name="Picture 199620627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06274" name="Picture 1996206274" descr="A map of the united states&#10;&#10;Description automatically generated"/>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6BC4CBDF" wp14:editId="739EAADB">
            <wp:extent cx="1967113" cy="1463040"/>
            <wp:effectExtent l="0" t="0" r="0" b="0"/>
            <wp:docPr id="1816784090" name="Picture 1816784090"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84090" name="Picture 1816784090" descr="A map of the united states&#10;&#10;Description automatically generated"/>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3B6A0F66" wp14:editId="6EDD9F08">
            <wp:extent cx="1950720" cy="1463040"/>
            <wp:effectExtent l="0" t="0" r="0" b="0"/>
            <wp:docPr id="273317127" name="Picture 273317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472AF416" wp14:editId="290D9855">
            <wp:extent cx="1967113" cy="1463040"/>
            <wp:effectExtent l="0" t="0" r="0" b="0"/>
            <wp:docPr id="1687136989" name="Picture 1687136989" descr="A map of the temperature of the su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136989" name="Picture 1687136989" descr="A map of the temperature of the sun&#10;&#10;Description automatically generated with medium confidence"/>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77B949CF" wp14:editId="0999C9A0">
            <wp:extent cx="1967113" cy="1463040"/>
            <wp:effectExtent l="0" t="0" r="0" b="0"/>
            <wp:docPr id="1262766224" name="Picture 126276622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66224" name="Picture 1262766224" descr="A map of the united states&#10;&#10;Description automatically generated"/>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41F5C8AB" wp14:editId="6BD8C34F">
            <wp:extent cx="1967113" cy="1463040"/>
            <wp:effectExtent l="0" t="0" r="0" b="0"/>
            <wp:docPr id="1487896113" name="Picture 1487896113"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96113" name="Picture 1487896113" descr="A map of the united states&#10;&#10;Description automatically generated"/>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b/>
          <w:bCs/>
        </w:rPr>
        <w:t>Figure S4</w:t>
      </w:r>
      <w:r>
        <w:rPr>
          <w:b/>
          <w:bCs/>
        </w:rPr>
        <w:t>4</w:t>
      </w:r>
      <w:r w:rsidRPr="003A2F84">
        <w:rPr>
          <w:b/>
          <w:bCs/>
        </w:rPr>
        <w:t>.</w:t>
      </w:r>
      <w:r w:rsidRPr="003A2F84">
        <w:t xml:space="preserve"> Ethylbenzene and log-ethylbenzene estimates and estimation variance across Gulf States on August 4th, 2012. Top row: estimated ethylbenzene; bottom row: ethylbenzene estimation variance. </w:t>
      </w:r>
      <w:r w:rsidR="003F327D" w:rsidRPr="003A2F84">
        <w:t xml:space="preserve">Left column: </w:t>
      </w:r>
      <w:proofErr w:type="spellStart"/>
      <w:r w:rsidR="003F327D" w:rsidRPr="003A2F84">
        <w:t>logVOC</w:t>
      </w:r>
      <w:r w:rsidR="003F327D" w:rsidRPr="0043732D">
        <w:rPr>
          <w:vertAlign w:val="subscript"/>
        </w:rPr>
        <w:t>mean</w:t>
      </w:r>
      <w:proofErr w:type="spellEnd"/>
      <w:r w:rsidR="003F327D" w:rsidRPr="003A2F84">
        <w:t xml:space="preserve">; center column: </w:t>
      </w:r>
      <w:proofErr w:type="spellStart"/>
      <w:r w:rsidR="003F327D" w:rsidRPr="003A2F84">
        <w:t>VOC</w:t>
      </w:r>
      <w:r w:rsidR="003F327D" w:rsidRPr="0043732D">
        <w:rPr>
          <w:vertAlign w:val="subscript"/>
        </w:rPr>
        <w:t>median</w:t>
      </w:r>
      <w:proofErr w:type="spellEnd"/>
      <w:r w:rsidR="003F327D" w:rsidRPr="003A2F84">
        <w:t xml:space="preserve">; center column: </w:t>
      </w:r>
      <w:proofErr w:type="spellStart"/>
      <w:r w:rsidR="003F327D" w:rsidRPr="003A2F84">
        <w:t>VOC</w:t>
      </w:r>
      <w:r w:rsidR="003F327D" w:rsidRPr="0043732D">
        <w:rPr>
          <w:vertAlign w:val="subscript"/>
        </w:rPr>
        <w:t>mean</w:t>
      </w:r>
      <w:proofErr w:type="spellEnd"/>
      <w:r w:rsidR="003F327D" w:rsidRPr="003A2F84">
        <w:t>.</w:t>
      </w:r>
    </w:p>
    <w:p w14:paraId="59711582" w14:textId="77777777" w:rsidR="006714FF" w:rsidRDefault="006714FF" w:rsidP="006714FF"/>
    <w:p w14:paraId="6252F35E" w14:textId="77777777" w:rsidR="006714FF" w:rsidRDefault="006714FF" w:rsidP="006714FF"/>
    <w:p w14:paraId="234F4081" w14:textId="77777777" w:rsidR="006714FF" w:rsidRPr="005D115D" w:rsidRDefault="006714FF" w:rsidP="006714FF"/>
    <w:p w14:paraId="326A6929" w14:textId="77777777" w:rsidR="006714FF" w:rsidRPr="003A2F84" w:rsidRDefault="006714FF" w:rsidP="006714FF">
      <w:pPr>
        <w:pStyle w:val="VAFigureCaption"/>
      </w:pPr>
      <w:r w:rsidRPr="003A2F84">
        <w:rPr>
          <w:noProof/>
        </w:rPr>
        <w:lastRenderedPageBreak/>
        <w:drawing>
          <wp:inline distT="0" distB="0" distL="0" distR="0" wp14:anchorId="269DF6B4" wp14:editId="75C992C6">
            <wp:extent cx="1950720" cy="1463040"/>
            <wp:effectExtent l="0" t="0" r="0" b="0"/>
            <wp:docPr id="1219754362" name="Picture 121975436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54362" name="Picture 1219754362" descr="A map of the united states&#10;&#10;Description automatically generated"/>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5847C6DC" wp14:editId="5110B77B">
            <wp:extent cx="1950720" cy="1463040"/>
            <wp:effectExtent l="0" t="0" r="0" b="0"/>
            <wp:docPr id="1730226526" name="Picture 173022652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26526" name="Picture 1730226526" descr="A map of the united states&#10;&#10;Description automatically generated"/>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52292D4F" wp14:editId="095BC5C6">
            <wp:extent cx="1950720" cy="1463040"/>
            <wp:effectExtent l="0" t="0" r="0" b="0"/>
            <wp:docPr id="628013271" name="Picture 62801327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13271" name="Picture 628013271" descr="A map of the united states&#10;&#10;Description automatically generated"/>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1A2854E6" wp14:editId="20BEF979">
            <wp:extent cx="1967113" cy="1463040"/>
            <wp:effectExtent l="0" t="0" r="0" b="0"/>
            <wp:docPr id="1102523541" name="Picture 1102523541" descr="A map of the heat of the countr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523541" name="Picture 1102523541" descr="A map of the heat of the country&#10;&#10;Description automatically generated with medium confidence"/>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1967113" cy="1463040"/>
                    </a:xfrm>
                    <a:prstGeom prst="rect">
                      <a:avLst/>
                    </a:prstGeom>
                  </pic:spPr>
                </pic:pic>
              </a:graphicData>
            </a:graphic>
          </wp:inline>
        </w:drawing>
      </w:r>
      <w:r w:rsidRPr="003A2F84">
        <w:rPr>
          <w:noProof/>
        </w:rPr>
        <w:drawing>
          <wp:inline distT="0" distB="0" distL="0" distR="0" wp14:anchorId="7BB5C43B" wp14:editId="597567CE">
            <wp:extent cx="1950720" cy="1463040"/>
            <wp:effectExtent l="0" t="0" r="0" b="0"/>
            <wp:docPr id="220376176" name="Picture 22037617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76176" name="Picture 220376176" descr="A map of the united states&#10;&#10;Description automatically generated"/>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r w:rsidRPr="003A2F84">
        <w:rPr>
          <w:noProof/>
        </w:rPr>
        <w:drawing>
          <wp:inline distT="0" distB="0" distL="0" distR="0" wp14:anchorId="41604768" wp14:editId="081C234E">
            <wp:extent cx="1950720" cy="1463040"/>
            <wp:effectExtent l="0" t="0" r="0" b="0"/>
            <wp:docPr id="1987191632" name="Picture 198719163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91632" name="Picture 1987191632" descr="A map of the united states&#10;&#10;Description automatically generated"/>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1950720" cy="1463040"/>
                    </a:xfrm>
                    <a:prstGeom prst="rect">
                      <a:avLst/>
                    </a:prstGeom>
                  </pic:spPr>
                </pic:pic>
              </a:graphicData>
            </a:graphic>
          </wp:inline>
        </w:drawing>
      </w:r>
    </w:p>
    <w:p w14:paraId="37510AA2" w14:textId="6EF55DD7" w:rsidR="006714FF" w:rsidRPr="003A2F84" w:rsidRDefault="006714FF" w:rsidP="006714FF">
      <w:pPr>
        <w:pStyle w:val="VAFigureCaption"/>
      </w:pPr>
      <w:r w:rsidRPr="003A2F84">
        <w:rPr>
          <w:b/>
          <w:bCs/>
        </w:rPr>
        <w:t>Figure S4</w:t>
      </w:r>
      <w:r>
        <w:rPr>
          <w:b/>
          <w:bCs/>
        </w:rPr>
        <w:t>5</w:t>
      </w:r>
      <w:r w:rsidRPr="003A2F84">
        <w:rPr>
          <w:b/>
          <w:bCs/>
        </w:rPr>
        <w:t>.</w:t>
      </w:r>
      <w:r w:rsidRPr="003A2F84">
        <w:t xml:space="preserve"> Xylenes and log-xylenes estimates and estimation variance across Gulf States on August 4th, 2012. Top row: estimated xylenes; bottom row: xylenes estimation variance. </w:t>
      </w:r>
      <w:r w:rsidR="003F327D" w:rsidRPr="003A2F84">
        <w:t xml:space="preserve">Left column: </w:t>
      </w:r>
      <w:proofErr w:type="spellStart"/>
      <w:r w:rsidR="003F327D" w:rsidRPr="003A2F84">
        <w:t>logVOC</w:t>
      </w:r>
      <w:r w:rsidR="003F327D" w:rsidRPr="0043732D">
        <w:rPr>
          <w:vertAlign w:val="subscript"/>
        </w:rPr>
        <w:t>mean</w:t>
      </w:r>
      <w:proofErr w:type="spellEnd"/>
      <w:r w:rsidR="003F327D" w:rsidRPr="003A2F84">
        <w:t xml:space="preserve">; center column: </w:t>
      </w:r>
      <w:proofErr w:type="spellStart"/>
      <w:r w:rsidR="003F327D" w:rsidRPr="003A2F84">
        <w:t>VOC</w:t>
      </w:r>
      <w:r w:rsidR="003F327D" w:rsidRPr="0043732D">
        <w:rPr>
          <w:vertAlign w:val="subscript"/>
        </w:rPr>
        <w:t>median</w:t>
      </w:r>
      <w:proofErr w:type="spellEnd"/>
      <w:r w:rsidR="003F327D" w:rsidRPr="003A2F84">
        <w:t xml:space="preserve">; center column: </w:t>
      </w:r>
      <w:proofErr w:type="spellStart"/>
      <w:r w:rsidR="003F327D" w:rsidRPr="003A2F84">
        <w:t>VOC</w:t>
      </w:r>
      <w:r w:rsidR="003F327D" w:rsidRPr="0043732D">
        <w:rPr>
          <w:vertAlign w:val="subscript"/>
        </w:rPr>
        <w:t>mean</w:t>
      </w:r>
      <w:proofErr w:type="spellEnd"/>
      <w:r w:rsidR="003F327D" w:rsidRPr="003A2F84">
        <w:t>.</w:t>
      </w:r>
    </w:p>
    <w:p w14:paraId="3B11C04B" w14:textId="77777777" w:rsidR="006714FF" w:rsidRPr="003A2F84" w:rsidRDefault="006714FF" w:rsidP="006714FF">
      <w:pPr>
        <w:pStyle w:val="TESupportingInformation"/>
      </w:pPr>
      <w:r w:rsidRPr="003A2F84">
        <w:t>Figures S</w:t>
      </w:r>
      <w:r>
        <w:t>41</w:t>
      </w:r>
      <w:r w:rsidRPr="003A2F84">
        <w:t>-S4</w:t>
      </w:r>
      <w:r>
        <w:t>5</w:t>
      </w:r>
      <w:r w:rsidRPr="003A2F84">
        <w:t xml:space="preserve"> demonstrate that </w:t>
      </w:r>
      <w:proofErr w:type="spellStart"/>
      <w:r w:rsidRPr="003A2F84">
        <w:t>logVOC</w:t>
      </w:r>
      <w:r w:rsidRPr="003F327D">
        <w:rPr>
          <w:vertAlign w:val="subscript"/>
        </w:rPr>
        <w:t>mean</w:t>
      </w:r>
      <w:proofErr w:type="spellEnd"/>
      <w:r w:rsidRPr="003A2F84">
        <w:t xml:space="preserve"> and </w:t>
      </w:r>
      <w:proofErr w:type="spellStart"/>
      <w:r w:rsidRPr="003A2F84">
        <w:t>VOC</w:t>
      </w:r>
      <w:r w:rsidRPr="003F327D">
        <w:rPr>
          <w:vertAlign w:val="subscript"/>
        </w:rPr>
        <w:t>median</w:t>
      </w:r>
      <w:proofErr w:type="spellEnd"/>
      <w:r w:rsidRPr="003A2F84">
        <w:t xml:space="preserve"> estimates blended well inside and outside the </w:t>
      </w:r>
      <w:proofErr w:type="spellStart"/>
      <w:r w:rsidRPr="003A2F84">
        <w:t>CAMx</w:t>
      </w:r>
      <w:proofErr w:type="spellEnd"/>
      <w:r w:rsidRPr="003A2F84">
        <w:t xml:space="preserve"> region, with little </w:t>
      </w:r>
      <w:proofErr w:type="spellStart"/>
      <w:r w:rsidRPr="003A2F84">
        <w:t>CAMx</w:t>
      </w:r>
      <w:proofErr w:type="spellEnd"/>
      <w:r w:rsidRPr="003A2F84">
        <w:t xml:space="preserve"> transition visible. The transition area distinguishing the inside and outside of </w:t>
      </w:r>
      <w:proofErr w:type="spellStart"/>
      <w:r w:rsidRPr="003A2F84">
        <w:t>CAMx</w:t>
      </w:r>
      <w:proofErr w:type="spellEnd"/>
      <w:r w:rsidRPr="003A2F84">
        <w:t xml:space="preserve"> region because more visible when estimation variance was considered for </w:t>
      </w:r>
      <w:proofErr w:type="spellStart"/>
      <w:r w:rsidRPr="003A2F84">
        <w:t>VOC</w:t>
      </w:r>
      <w:r w:rsidRPr="003F327D">
        <w:rPr>
          <w:vertAlign w:val="subscript"/>
        </w:rPr>
        <w:t>mean</w:t>
      </w:r>
      <w:proofErr w:type="spellEnd"/>
      <w:r w:rsidRPr="003A2F84">
        <w:t xml:space="preserve"> estimates. Large areas of high estimated concentrations appeared in Western Texas and Florida, where there is little monitoring data (Figures S</w:t>
      </w:r>
      <w:r>
        <w:t>41</w:t>
      </w:r>
      <w:r w:rsidRPr="003A2F84">
        <w:t>-S4</w:t>
      </w:r>
      <w:r>
        <w:t>5</w:t>
      </w:r>
      <w:r w:rsidRPr="003A2F84">
        <w:t xml:space="preserve">). These areas of high estimated SBTEX are likely attributed to high historic observational data and global offsets. Importantly, estimates immediately outside of the </w:t>
      </w:r>
      <w:proofErr w:type="spellStart"/>
      <w:r w:rsidRPr="003A2F84">
        <w:t>CAMx</w:t>
      </w:r>
      <w:proofErr w:type="spellEnd"/>
      <w:r w:rsidRPr="003A2F84">
        <w:t xml:space="preserve">-modeled region, unless very close to a monitoring station, have very high estimation variance, or uncertainty relative to inside </w:t>
      </w:r>
      <w:proofErr w:type="spellStart"/>
      <w:r w:rsidRPr="003A2F84">
        <w:t>CAMx</w:t>
      </w:r>
      <w:proofErr w:type="spellEnd"/>
      <w:r w:rsidRPr="003A2F84">
        <w:t xml:space="preserve"> (Figures S</w:t>
      </w:r>
      <w:r>
        <w:t>41</w:t>
      </w:r>
      <w:r w:rsidRPr="003A2F84">
        <w:t>-S4</w:t>
      </w:r>
      <w:r>
        <w:t>5</w:t>
      </w:r>
      <w:r w:rsidRPr="003A2F84">
        <w:t>). Therefore, the estimated plumes in Western Texas and Florida should not be assumed accurate for exposure analyses.</w:t>
      </w:r>
    </w:p>
    <w:p w14:paraId="330AD61D" w14:textId="77777777" w:rsidR="006714FF" w:rsidRPr="003A2F84" w:rsidRDefault="006714FF" w:rsidP="006714FF">
      <w:pPr>
        <w:pStyle w:val="TESupportingInformation"/>
        <w:rPr>
          <w:b/>
          <w:bCs/>
        </w:rPr>
      </w:pPr>
      <w:r w:rsidRPr="003A2F84">
        <w:rPr>
          <w:b/>
          <w:bCs/>
        </w:rPr>
        <w:lastRenderedPageBreak/>
        <w:t>S1</w:t>
      </w:r>
      <w:r>
        <w:rPr>
          <w:b/>
          <w:bCs/>
        </w:rPr>
        <w:t>4</w:t>
      </w:r>
      <w:r w:rsidRPr="003A2F84">
        <w:rPr>
          <w:b/>
          <w:bCs/>
        </w:rPr>
        <w:t xml:space="preserve">. Comparison of Composite Method and </w:t>
      </w:r>
      <w:proofErr w:type="spellStart"/>
      <w:r w:rsidRPr="003A2F84">
        <w:rPr>
          <w:b/>
          <w:bCs/>
        </w:rPr>
        <w:t>CAMx</w:t>
      </w:r>
      <w:proofErr w:type="spellEnd"/>
      <w:r w:rsidRPr="003A2F84">
        <w:rPr>
          <w:b/>
          <w:bCs/>
        </w:rPr>
        <w:t xml:space="preserve"> Model Estimates </w:t>
      </w:r>
    </w:p>
    <w:p w14:paraId="41C4DA58" w14:textId="054B2709" w:rsidR="006714FF" w:rsidRPr="003A2F84" w:rsidRDefault="006714FF" w:rsidP="006714FF">
      <w:pPr>
        <w:pStyle w:val="TESupportingInformation"/>
      </w:pPr>
      <w:r w:rsidRPr="003A2F84">
        <w:t xml:space="preserve">Differences between SBTEX estimates calculated using </w:t>
      </w:r>
      <w:proofErr w:type="spellStart"/>
      <w:r w:rsidRPr="003A2F84">
        <w:t>CAMx</w:t>
      </w:r>
      <w:proofErr w:type="spellEnd"/>
      <w:r w:rsidRPr="003A2F84">
        <w:t xml:space="preserve"> alone and BME data fusion were calculated for Houston, TX. Houston was selected for this assessment because it was an urban area located within the geographic region of the </w:t>
      </w:r>
      <w:proofErr w:type="spellStart"/>
      <w:r w:rsidRPr="003A2F84">
        <w:t>CAMx</w:t>
      </w:r>
      <w:proofErr w:type="spellEnd"/>
      <w:r w:rsidRPr="003A2F84">
        <w:t xml:space="preserve"> model, and it had complicated SBTEX emissions, a dense monitoring network, and the highest population among </w:t>
      </w:r>
      <w:proofErr w:type="spellStart"/>
      <w:r w:rsidRPr="003A2F84">
        <w:t>CAMx</w:t>
      </w:r>
      <w:proofErr w:type="spellEnd"/>
      <w:r w:rsidRPr="003A2F84">
        <w:t>-modeled cities from 2011-2012.</w:t>
      </w:r>
      <w:r w:rsidRPr="003A2F84">
        <w:rPr>
          <w:highlight w:val="yellow"/>
        </w:rPr>
        <w:fldChar w:fldCharType="begin"/>
      </w:r>
      <w:r w:rsidR="00231C44">
        <w:rPr>
          <w:highlight w:val="yellow"/>
        </w:rPr>
        <w:instrText xml:space="preserve"> ADDIN ZOTERO_ITEM CSL_CITATION {"citationID":"OMzC9G3P","properties":{"formattedCitation":"\\super 3,16\\uc0\\u8211{}18\\nosupersub{}","plainCitation":"3,16–18","noteIndex":0},"citationItems":[{"id":593,"uris":["http://zotero.org/users/9885460/items/FPBXNX2E"],"itemData":{"id":593,"type":"article-journal","abstract":"Background: There is increasing concern regarding the potential adverse health effects of air pollution, particularly hazardous air pollutants (HAPs). However, quantifying exposure to these pollutants is problematic.\nObjective: Our goal was to explore the utility of kriging, a spatial interpolation method, for exposure assessment in epidemiologic studies of HAPs. We used benzene as an example and compared census tract-level kriged predictions to estimates obtained from the 1999 U.S. EPA National Air Toxics Assessment (NATA), Assessment System for Population Exposure Nationwide (ASPEN) model.\nMethods: Kriged predictions were generated for 649 census tracts in Harris County, Texas using estimates of annual benzene air concentrations from 17 monitoring sites operating in Harris and surrounding counties from 1998 to 2000. Year 1999 ASPEN modeled estimates were also obtained for each census tract. Spearman rank correlation analyses were performed on the modeled and kriged benzene levels. Weighted kappa statistics were computed to assess agreement between discretized kriged and modeled estimates of ambient air levels of benzene.\nResults: There was modest correlation between the predicted and modeled values across census tracts. Overall, 56.2%, 40.7%, 31.5% and 28.2% of census tracts were classified as having ‘low’, ‘medium-low’, ‘medium-high’ and ‘high’ ambient air levels of benzene, respectively, comparing predicted and modeled benzene levels. The weighted kappa statistic was 0.26 (95% confidence interval (CI) = 0.20, 0.31), indicating poor agreement between the two methods.\nConclusions: There was a lack of concordance between predicted and modeled ambient air levels of benzene. Applying methods of spatial interpolation for assessing exposure to ambient air pollutants in health effect studies is hindered by the placement and number of existing stationary monitors collecting HAP data. Routine monitoring needs to be expanded if we are to use these data to better assess environmental health risks in the future.","container-title":"Environmental Health","DOI":"10.1186/1476-069X-10-21","ISSN":"1476-069X","issue":"1","journalAbbreviation":"Environ Health","language":"en","page":"21","source":"DOI.org (Crossref)","title":"Kriged and modeled ambient air levels of benzene in an urban environment: an exposure assessment study","title-short":"Kriged and modeled ambient air levels of benzene in an urban environment","volume":"10","author":[{"family":"Whitworth","given":"Kristina W"},{"family":"Symanski","given":"Elaine"},{"family":"Lai","given":"Dejian"},{"family":"Coker","given":"Ann L"}],"issued":{"date-parts":[["2011",12]]}}},{"id":1047,"uris":["http://zotero.org/users/9885460/items/MSKGSY3H"],"itemData":{"id":1047,"type":"article-journal","container-title":"Environmental Monitoring and Assessment","DOI":"10.1007/s10661-006-9320-8","ISSN":"0167-6369, 1573-2959","issue":"1-3","journalAbbreviation":"Environ Monit Assess","language":"en","page":"369-379","source":"DOI.org (Crossref)","title":"Spatial Analysis of Volatile Organic Compounds from a Community-Based Air Toxics Monitoring Network in Deer Park, Texas, USA","volume":"128","author":[{"family":"Smith","given":"Luther A."},{"family":"Stock","given":"Thomas H."},{"family":"Chung","given":"Kuenja C."},{"family":"Mukerjee","given":"Shaibal"},{"family":"Liao","given":"Xiaojuan L."},{"family":"Stallings","given":"Casson"},{"family":"Afshar","given":"Masoud"}],"issued":{"date-parts":[["2007",5]]}}},{"id":537,"uris":["http://zotero.org/users/9885460/items/HCMM6HSN"],"itemData":{"id":537,"type":"article-journal","abstract":"Styrene, benzene, toluene, ethylbenzene, and xylenes (SBTEX) are established neurotoxicants. SBTEX contains hazardous air pollutants (HAPs) that are released from the petrochemical industry, combustion process, transport emission, and solvent usage sources. Although several SBTEX toxic assessment studies have been conducted, they have mainly relied on ambient measurements to estimate exposure and limit their scope to specific locations and observational periods. To overcome these spatiotemporal limitations, an air quality modeling system over the US Gulf region was created, predicting the spatially and temporally enhanced SBTEX modeling concentrations from May to September 2012. Due to the incompleteness of SBTEX in the official US Environmental Protection Agency (EPA) National Emission Inventory (NEI), the Hazardous Air Pollutions Imputation (HAPI) program was used to identify and estimate the missing HAP emissions. The improved emission data were processed to generate the chemically speciated hourly gridded emission inputs for the Comprehensive Air Quality Model with Extensions (CAMx) chemical transport model to simulate the SBTEX concentrations over the Gulf modeling region. SBTEX pollutants were modeled using the Reactive Tracer feature in CAMx that accounts for their chemical and physical processes in the atmosphere. The data show that the major SBTEX emissions in this region are contributed by mobile emissions (45 %), wildfire (30 %), and industry (26 %). Most SBTEX emissions are emitted during daytime hours (local time 14:00–17:00), and the emission rate in the model domain is about 20–40 t h−1, which is about 4 times higher than that in the nighttime (local time 24:00–04:00, about 4–10 t h−1). High concentrations of SBTEX (above 1 ppb) occurred near the cities close to the I-10 interstate highway (Houston, Beaumont, Lake Charles, Lafayette, Baton Rouge, New Orleans, and Mobile) and other metropolitan cities (Shreveport and Dallas). High styrene concentrations were co-located with industrial sources, which contribute the most to the styrene emissions. The HAPI program successfully estimated missing emissions of styrene from the chemical industry. The change increased total styrene emissions by 22 %, resulting in maximum ambient concentrations increasing from 0.035 to 1.75 ppb across the model domain. The predicted SBTEX concentrations with imputed emissions present good agreement with observational data, with a correlation coefficient (R) of 0.75 (0.46 to 0.77 for individual SBTEX species) and a normalized mean bias (NMB) of −5.6 % (−24.9 % to 32.1 % for the individual SBTEX species), suggesting their value for supporting any SBTEX-related human health studies in the Gulf region. The SBTEX data were published at Zenodo (https://doi.org/10.5281/zenodo.7967541) (Wang et al., 2023), and the HAPI tool was also published at Zenodo (https://doi.org/10.5281/zenodo.7987106) (Wang and Baek, 2023).","container-title":"Earth System Science Data","DOI":"10.5194/essd-15-5261-2023","ISSN":"1866-3508","issue":"11","language":"English","note":"publisher: Copernicus GmbH","page":"5261-5279","source":"Copernicus Online Journals","title":"Spatiotemporally resolved emissions and concentrations of styrene, benzene, toluene, ethylbenzene, and xylenes (SBTEX) in the US Gulf region","volume":"15","author":[{"family":"Wang","given":"Chi-Tsan"},{"family":"Baek","given":"Bok H."},{"family":"Vizuete","given":"William"},{"family":"Engel","given":"Lawrence S."},{"family":"Xing","given":"Jia"},{"family":"Green","given":"Jaime"},{"family":"Serre","given":"Marc"},{"family":"Strott","given":"Richard"},{"family":"Bowden","given":"Jared"},{"family":"Woo","given":"Jung-Hun"}],"issued":{"date-parts":[["2023",11,28]]}}},{"id":1342,"uris":["http://zotero.org/users/9885460/items/2MRLV4JB"],"itemData":{"id":1342,"type":"webpage","abstract":"This page features Vintage 2019 population estimates totals.","container-title":"Census.gov","note":"section: Government","title":"City and Town Population Totals: 2010-2019","title-short":"City and Town Population Totals","URL":"https://www.census.gov/data/tables/time-series/demo/popest/2010s-total-cities-and-towns.html","author":[{"family":"Bureau","given":"US Census"}],"accessed":{"date-parts":[["2024",1,26]]}}}],"schema":"https://github.com/citation-style-language/schema/raw/master/csl-citation.json"} </w:instrText>
      </w:r>
      <w:r w:rsidRPr="003A2F84">
        <w:rPr>
          <w:highlight w:val="yellow"/>
        </w:rPr>
        <w:fldChar w:fldCharType="separate"/>
      </w:r>
      <w:r w:rsidR="000658B0" w:rsidRPr="000658B0">
        <w:rPr>
          <w:rFonts w:cs="Times"/>
          <w:vertAlign w:val="superscript"/>
        </w:rPr>
        <w:t>3,16–18</w:t>
      </w:r>
      <w:r w:rsidRPr="003A2F84">
        <w:rPr>
          <w:highlight w:val="yellow"/>
        </w:rPr>
        <w:fldChar w:fldCharType="end"/>
      </w:r>
      <w:r w:rsidRPr="003A2F84">
        <w:t xml:space="preserve"> Figure S4</w:t>
      </w:r>
      <w:r>
        <w:t>6</w:t>
      </w:r>
      <w:r w:rsidRPr="003A2F84">
        <w:t xml:space="preserve"> shows estimation differences in Houston on three representative days from 2011 to 2012.</w:t>
      </w:r>
    </w:p>
    <w:p w14:paraId="37F94A92" w14:textId="77777777" w:rsidR="006714FF" w:rsidRPr="003A2F84" w:rsidRDefault="006714FF" w:rsidP="006714FF">
      <w:pPr>
        <w:pStyle w:val="TESupportingInformation"/>
      </w:pPr>
    </w:p>
    <w:p w14:paraId="71AE8C64" w14:textId="77777777" w:rsidR="006714FF" w:rsidRDefault="006714FF" w:rsidP="006714FF">
      <w:pPr>
        <w:spacing w:after="0" w:line="276" w:lineRule="auto"/>
        <w:rPr>
          <w:rFonts w:ascii="Times New Roman" w:hAnsi="Times New Roman"/>
          <w:color w:val="000000" w:themeColor="text1"/>
          <w:sz w:val="22"/>
          <w:szCs w:val="22"/>
        </w:rPr>
      </w:pPr>
    </w:p>
    <w:p w14:paraId="504CD1DC" w14:textId="77777777" w:rsidR="006714FF" w:rsidRDefault="006714FF" w:rsidP="006714FF">
      <w:pPr>
        <w:spacing w:after="0" w:line="276" w:lineRule="auto"/>
        <w:rPr>
          <w:rFonts w:ascii="Times New Roman" w:hAnsi="Times New Roman"/>
          <w:color w:val="000000" w:themeColor="text1"/>
          <w:sz w:val="22"/>
          <w:szCs w:val="22"/>
        </w:rPr>
      </w:pPr>
    </w:p>
    <w:p w14:paraId="2E1BD6BD" w14:textId="77777777" w:rsidR="006714FF" w:rsidRDefault="006714FF" w:rsidP="006714FF">
      <w:pPr>
        <w:spacing w:after="0" w:line="276" w:lineRule="auto"/>
        <w:rPr>
          <w:rFonts w:ascii="Times New Roman" w:hAnsi="Times New Roman"/>
          <w:color w:val="000000" w:themeColor="text1"/>
          <w:sz w:val="22"/>
          <w:szCs w:val="22"/>
        </w:rPr>
      </w:pPr>
    </w:p>
    <w:p w14:paraId="7D09E720" w14:textId="77777777" w:rsidR="006714FF" w:rsidRDefault="006714FF" w:rsidP="006714FF">
      <w:pPr>
        <w:spacing w:after="0" w:line="276" w:lineRule="auto"/>
        <w:rPr>
          <w:rFonts w:ascii="Times New Roman" w:hAnsi="Times New Roman"/>
          <w:color w:val="000000" w:themeColor="text1"/>
          <w:sz w:val="22"/>
          <w:szCs w:val="22"/>
        </w:rPr>
      </w:pPr>
    </w:p>
    <w:p w14:paraId="7FF4A7FD" w14:textId="77777777" w:rsidR="006714FF" w:rsidRDefault="006714FF" w:rsidP="006714FF">
      <w:pPr>
        <w:spacing w:after="0" w:line="276" w:lineRule="auto"/>
        <w:rPr>
          <w:rFonts w:ascii="Times New Roman" w:hAnsi="Times New Roman"/>
          <w:color w:val="000000" w:themeColor="text1"/>
          <w:sz w:val="22"/>
          <w:szCs w:val="22"/>
        </w:rPr>
      </w:pPr>
    </w:p>
    <w:p w14:paraId="67DD8E5E" w14:textId="77777777" w:rsidR="006714FF" w:rsidRDefault="006714FF" w:rsidP="006714FF">
      <w:pPr>
        <w:spacing w:after="0" w:line="276" w:lineRule="auto"/>
        <w:rPr>
          <w:rFonts w:ascii="Times New Roman" w:hAnsi="Times New Roman"/>
          <w:color w:val="000000" w:themeColor="text1"/>
          <w:sz w:val="22"/>
          <w:szCs w:val="22"/>
        </w:rPr>
      </w:pPr>
    </w:p>
    <w:p w14:paraId="39AB96EC" w14:textId="77777777" w:rsidR="006714FF" w:rsidRDefault="006714FF" w:rsidP="006714FF">
      <w:pPr>
        <w:spacing w:after="0" w:line="276" w:lineRule="auto"/>
        <w:rPr>
          <w:rFonts w:ascii="Times New Roman" w:hAnsi="Times New Roman"/>
          <w:color w:val="000000" w:themeColor="text1"/>
          <w:sz w:val="22"/>
          <w:szCs w:val="22"/>
        </w:rPr>
      </w:pPr>
    </w:p>
    <w:p w14:paraId="06C9AF5C" w14:textId="77777777" w:rsidR="006714FF" w:rsidRDefault="006714FF" w:rsidP="006714FF">
      <w:pPr>
        <w:spacing w:after="0" w:line="276" w:lineRule="auto"/>
        <w:rPr>
          <w:rFonts w:ascii="Times New Roman" w:hAnsi="Times New Roman"/>
          <w:color w:val="000000" w:themeColor="text1"/>
          <w:sz w:val="22"/>
          <w:szCs w:val="22"/>
        </w:rPr>
      </w:pPr>
    </w:p>
    <w:p w14:paraId="025904D0" w14:textId="77777777" w:rsidR="006714FF" w:rsidRDefault="006714FF" w:rsidP="006714FF">
      <w:pPr>
        <w:spacing w:after="0" w:line="276" w:lineRule="auto"/>
        <w:rPr>
          <w:rFonts w:ascii="Times New Roman" w:hAnsi="Times New Roman"/>
          <w:color w:val="000000" w:themeColor="text1"/>
          <w:sz w:val="22"/>
          <w:szCs w:val="22"/>
        </w:rPr>
      </w:pPr>
    </w:p>
    <w:p w14:paraId="2C1A4F5E" w14:textId="77777777" w:rsidR="006714FF" w:rsidRDefault="006714FF" w:rsidP="006714FF">
      <w:pPr>
        <w:spacing w:after="0" w:line="276" w:lineRule="auto"/>
        <w:rPr>
          <w:rFonts w:ascii="Times New Roman" w:hAnsi="Times New Roman"/>
          <w:color w:val="000000" w:themeColor="text1"/>
          <w:sz w:val="22"/>
          <w:szCs w:val="22"/>
        </w:rPr>
      </w:pPr>
    </w:p>
    <w:p w14:paraId="08639EA6" w14:textId="77777777" w:rsidR="006714FF" w:rsidRDefault="006714FF" w:rsidP="006714FF">
      <w:pPr>
        <w:spacing w:after="0" w:line="276" w:lineRule="auto"/>
        <w:rPr>
          <w:rFonts w:ascii="Times New Roman" w:hAnsi="Times New Roman"/>
          <w:color w:val="000000" w:themeColor="text1"/>
          <w:sz w:val="22"/>
          <w:szCs w:val="22"/>
        </w:rPr>
      </w:pPr>
    </w:p>
    <w:p w14:paraId="70C9F415" w14:textId="77777777" w:rsidR="006714FF" w:rsidRDefault="006714FF" w:rsidP="006714FF">
      <w:pPr>
        <w:spacing w:after="0" w:line="276" w:lineRule="auto"/>
        <w:rPr>
          <w:rFonts w:ascii="Times New Roman" w:hAnsi="Times New Roman"/>
          <w:color w:val="000000" w:themeColor="text1"/>
          <w:sz w:val="22"/>
          <w:szCs w:val="22"/>
        </w:rPr>
      </w:pPr>
    </w:p>
    <w:p w14:paraId="0EA5C929" w14:textId="77777777" w:rsidR="006714FF" w:rsidRDefault="006714FF" w:rsidP="006714FF">
      <w:pPr>
        <w:spacing w:after="0" w:line="276" w:lineRule="auto"/>
        <w:rPr>
          <w:rFonts w:ascii="Times New Roman" w:hAnsi="Times New Roman"/>
          <w:color w:val="000000" w:themeColor="text1"/>
          <w:sz w:val="22"/>
          <w:szCs w:val="22"/>
        </w:rPr>
      </w:pPr>
    </w:p>
    <w:p w14:paraId="0922E35E" w14:textId="77777777" w:rsidR="006714FF" w:rsidRDefault="006714FF" w:rsidP="006714FF">
      <w:pPr>
        <w:spacing w:after="0" w:line="276" w:lineRule="auto"/>
        <w:rPr>
          <w:rFonts w:ascii="Times New Roman" w:hAnsi="Times New Roman"/>
          <w:color w:val="000000" w:themeColor="text1"/>
          <w:sz w:val="22"/>
          <w:szCs w:val="22"/>
        </w:rPr>
      </w:pPr>
    </w:p>
    <w:p w14:paraId="1A794CD7" w14:textId="77777777" w:rsidR="006714FF" w:rsidRDefault="006714FF" w:rsidP="006714FF">
      <w:pPr>
        <w:spacing w:after="0" w:line="276" w:lineRule="auto"/>
        <w:rPr>
          <w:rFonts w:ascii="Calibri" w:eastAsia="Calibri" w:hAnsi="Calibri" w:cs="Calibri"/>
          <w:color w:val="000000" w:themeColor="text1"/>
          <w:sz w:val="22"/>
          <w:szCs w:val="22"/>
        </w:rPr>
      </w:pPr>
      <w:r>
        <w:rPr>
          <w:noProof/>
        </w:rPr>
        <w:lastRenderedPageBreak/>
        <w:drawing>
          <wp:inline distT="0" distB="0" distL="0" distR="0" wp14:anchorId="0C63750D" wp14:editId="3A83162B">
            <wp:extent cx="1943100" cy="1457325"/>
            <wp:effectExtent l="0" t="0" r="0" b="0"/>
            <wp:docPr id="615596924" name="Picture 615596924" descr="A green and red chart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6924" name="Picture 615596924" descr="A green and red chart with black dots&#10;&#10;Description automatically generated"/>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11E3DA46" wp14:editId="51F63740">
            <wp:extent cx="1943100" cy="1457325"/>
            <wp:effectExtent l="0" t="0" r="0" b="0"/>
            <wp:docPr id="876007195" name="Picture 876007195" descr="A green and red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07195" name="Picture 876007195" descr="A green and red map&#10;&#10;Description automatically generated with medium confidence"/>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515724A1" wp14:editId="6DB284F6">
            <wp:extent cx="1943100" cy="1457325"/>
            <wp:effectExtent l="0" t="0" r="0" b="0"/>
            <wp:docPr id="647721151" name="Picture 647721151" descr="A green and yellow map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721151" name="Picture 647721151" descr="A green and yellow map with black dots&#10;&#10;Description automatically generated"/>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03A93DEF" wp14:editId="74A3D517">
            <wp:extent cx="1943100" cy="1457325"/>
            <wp:effectExtent l="0" t="0" r="0" b="0"/>
            <wp:docPr id="183748650" name="Picture 183748650"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8650" name="Picture 183748650" descr="A screen shot of a graph&#10;&#10;Description automatically generated"/>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02ECC3A6" wp14:editId="4C32B9C8">
            <wp:extent cx="1943100" cy="1457325"/>
            <wp:effectExtent l="0" t="0" r="0" b="0"/>
            <wp:docPr id="2049675610" name="Picture 2049675610"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75610" name="Picture 2049675610" descr="A screen shot of a graph&#10;&#10;Description automatically generated"/>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23146E96" wp14:editId="510E132F">
            <wp:extent cx="1962150" cy="1457325"/>
            <wp:effectExtent l="0" t="0" r="0" b="0"/>
            <wp:docPr id="1506479892" name="Picture 1506479892"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79892" name="Picture 1506479892" descr="A screen shot of a graph&#10;&#10;Description automatically generated"/>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1962150" cy="1457325"/>
                    </a:xfrm>
                    <a:prstGeom prst="rect">
                      <a:avLst/>
                    </a:prstGeom>
                  </pic:spPr>
                </pic:pic>
              </a:graphicData>
            </a:graphic>
          </wp:inline>
        </w:drawing>
      </w:r>
      <w:r>
        <w:rPr>
          <w:noProof/>
        </w:rPr>
        <w:drawing>
          <wp:inline distT="0" distB="0" distL="0" distR="0" wp14:anchorId="66F81870" wp14:editId="2402D0A3">
            <wp:extent cx="1943100" cy="1457325"/>
            <wp:effectExtent l="0" t="0" r="0" b="0"/>
            <wp:docPr id="443081984" name="Picture 443081984" descr="A blue and green map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81984" name="Picture 443081984" descr="A blue and green map with black dots&#10;&#10;Description automatically generated"/>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488FFAE4" wp14:editId="1B0AB989">
            <wp:extent cx="1943100" cy="1457325"/>
            <wp:effectExtent l="0" t="0" r="0" b="0"/>
            <wp:docPr id="1299433822" name="Picture 1299433822" descr="A colorful map of a shi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433822" name="Picture 1299433822" descr="A colorful map of a ship&#10;&#10;Description automatically generated with medium confidence"/>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41C64067" wp14:editId="057C78B7">
            <wp:extent cx="1943100" cy="1457325"/>
            <wp:effectExtent l="0" t="0" r="0" b="0"/>
            <wp:docPr id="1155142061" name="Picture 1155142061" descr="A green and blue chart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42061" name="Picture 1155142061" descr="A green and blue chart with black dots&#10;&#10;Description automatically generated"/>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6A494D11" wp14:editId="132FC3F3">
            <wp:extent cx="1943100" cy="1457325"/>
            <wp:effectExtent l="0" t="0" r="0" b="0"/>
            <wp:docPr id="738442614" name="Picture 738442614"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42614" name="Picture 738442614" descr="A screen shot of a chart&#10;&#10;Description automatically generated"/>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41463F0D" wp14:editId="2A7CEEFC">
            <wp:extent cx="1943100" cy="1457325"/>
            <wp:effectExtent l="0" t="0" r="0" b="0"/>
            <wp:docPr id="638015226" name="Picture 638015226" descr="A colorful map of a number of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15226" name="Picture 638015226" descr="A colorful map of a number of points&#10;&#10;Description automatically generated with medium confidence"/>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3ECE407C" wp14:editId="15E90BBF">
            <wp:extent cx="1943100" cy="1457325"/>
            <wp:effectExtent l="0" t="0" r="0" b="0"/>
            <wp:docPr id="2143262632" name="Picture 2143262632" descr="A screen 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62632" name="Picture 2143262632" descr="A screen shot of a map&#10;&#10;Description automatically generated"/>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765FFDA6" wp14:editId="28745BD4">
            <wp:extent cx="1962150" cy="1457325"/>
            <wp:effectExtent l="0" t="0" r="0" b="0"/>
            <wp:docPr id="192317072" name="Picture 192317072"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7072" name="Picture 192317072" descr="A screen shot of a graph&#10;&#10;Description automatically generated"/>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1962150" cy="1457325"/>
                    </a:xfrm>
                    <a:prstGeom prst="rect">
                      <a:avLst/>
                    </a:prstGeom>
                  </pic:spPr>
                </pic:pic>
              </a:graphicData>
            </a:graphic>
          </wp:inline>
        </w:drawing>
      </w:r>
      <w:r>
        <w:rPr>
          <w:noProof/>
        </w:rPr>
        <w:drawing>
          <wp:inline distT="0" distB="0" distL="0" distR="0" wp14:anchorId="290A14D2" wp14:editId="12F3ABC2">
            <wp:extent cx="1943100" cy="1457325"/>
            <wp:effectExtent l="0" t="0" r="0" b="0"/>
            <wp:docPr id="339132355" name="Picture 339132355" descr="A green and blue chart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2355" name="Picture 339132355" descr="A green and blue chart with black dots&#10;&#10;Description automatically generated"/>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r>
        <w:rPr>
          <w:noProof/>
        </w:rPr>
        <w:drawing>
          <wp:inline distT="0" distB="0" distL="0" distR="0" wp14:anchorId="21564092" wp14:editId="2910FFDA">
            <wp:extent cx="1943100" cy="1457325"/>
            <wp:effectExtent l="0" t="0" r="0" b="0"/>
            <wp:docPr id="721885157" name="Picture 721885157"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85157" name="Picture 721885157" descr="A screen shot of a graph&#10;&#10;Description automatically generated"/>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1943100" cy="1457325"/>
                    </a:xfrm>
                    <a:prstGeom prst="rect">
                      <a:avLst/>
                    </a:prstGeom>
                  </pic:spPr>
                </pic:pic>
              </a:graphicData>
            </a:graphic>
          </wp:inline>
        </w:drawing>
      </w:r>
    </w:p>
    <w:p w14:paraId="3A8596B8" w14:textId="77777777" w:rsidR="006714FF" w:rsidRPr="003A2F84" w:rsidRDefault="006714FF" w:rsidP="006714FF">
      <w:pPr>
        <w:pStyle w:val="TESupportingInformation"/>
      </w:pPr>
      <w:r w:rsidRPr="003A2F84">
        <w:rPr>
          <w:b/>
          <w:bCs/>
        </w:rPr>
        <w:t>Figure S4</w:t>
      </w:r>
      <w:r>
        <w:rPr>
          <w:b/>
          <w:bCs/>
        </w:rPr>
        <w:t>6</w:t>
      </w:r>
      <w:r w:rsidRPr="003A2F84">
        <w:rPr>
          <w:b/>
          <w:bCs/>
        </w:rPr>
        <w:t>.</w:t>
      </w:r>
      <w:r w:rsidRPr="003A2F84">
        <w:t xml:space="preserve"> Differences between </w:t>
      </w:r>
      <w:proofErr w:type="spellStart"/>
      <w:r w:rsidRPr="003A2F84">
        <w:t>CAMx</w:t>
      </w:r>
      <w:proofErr w:type="spellEnd"/>
      <w:r w:rsidRPr="003A2F84">
        <w:t xml:space="preserve"> and median BME data fusion estimates in Houston, TX, on three dates between 2011 and 2012. Green coloring represents very little difference, cooler </w:t>
      </w:r>
      <w:r w:rsidRPr="003A2F84">
        <w:lastRenderedPageBreak/>
        <w:t xml:space="preserve">colors represent higher estimates using BME data fusion, and warmer colors represent higher estimates using </w:t>
      </w:r>
      <w:proofErr w:type="spellStart"/>
      <w:r w:rsidRPr="003A2F84">
        <w:t>CAMx</w:t>
      </w:r>
      <w:proofErr w:type="spellEnd"/>
      <w:r w:rsidRPr="003A2F84">
        <w:t xml:space="preserve"> alone. From top to bottom, row 1: styrene; row 2: benzene; row 3: toluene, row 4: ethylbenzene; row 5: xylenes. Left column: differences (ppb) on May 10th, 2011; Center column: differences on January 17th, 2012; Right column: differences on August 4th, 2012.</w:t>
      </w:r>
    </w:p>
    <w:p w14:paraId="31F3D6AE" w14:textId="2F4A6472" w:rsidR="006714FF" w:rsidRDefault="006714FF" w:rsidP="006714FF">
      <w:pPr>
        <w:pStyle w:val="TESupportingInformation"/>
      </w:pPr>
      <w:r w:rsidRPr="003A2F84">
        <w:t>Figure S</w:t>
      </w:r>
      <w:r>
        <w:t>46</w:t>
      </w:r>
      <w:r w:rsidRPr="003A2F84">
        <w:t xml:space="preserve"> demonstrates that BME data fusion methods augment </w:t>
      </w:r>
      <w:proofErr w:type="spellStart"/>
      <w:r w:rsidRPr="003A2F84">
        <w:t>CAMx</w:t>
      </w:r>
      <w:proofErr w:type="spellEnd"/>
      <w:r w:rsidRPr="003A2F84">
        <w:t xml:space="preserve"> per pollutant and day. Interestingly, styrene difference plots demonstrated the most consistent pattern over the three days, which may result from most styrene emissions deriving from stationary, and consistent, point sources.</w:t>
      </w:r>
      <w:r w:rsidRPr="00075F96">
        <w:rPr>
          <w:vertAlign w:val="superscript"/>
        </w:rPr>
        <w:fldChar w:fldCharType="begin"/>
      </w:r>
      <w:r w:rsidR="00231C44">
        <w:rPr>
          <w:vertAlign w:val="superscript"/>
        </w:rPr>
        <w:instrText xml:space="preserve"> ADDIN ZOTERO_ITEM CSL_CITATION {"citationID":"LL6BEX7F","properties":{"formattedCitation":"\\super 16\\nosupersub{}","plainCitation":"16","noteIndex":0},"citationItems":[{"id":537,"uris":["http://zotero.org/users/9885460/items/HCMM6HSN"],"itemData":{"id":537,"type":"article-journal","abstract":"Styrene, benzene, toluene, ethylbenzene, and xylenes (SBTEX) are established neurotoxicants. SBTEX contains hazardous air pollutants (HAPs) that are released from the petrochemical industry, combustion process, transport emission, and solvent usage sources. Although several SBTEX toxic assessment studies have been conducted, they have mainly relied on ambient measurements to estimate exposure and limit their scope to specific locations and observational periods. To overcome these spatiotemporal limitations, an air quality modeling system over the US Gulf region was created, predicting the spatially and temporally enhanced SBTEX modeling concentrations from May to September 2012. Due to the incompleteness of SBTEX in the official US Environmental Protection Agency (EPA) National Emission Inventory (NEI), the Hazardous Air Pollutions Imputation (HAPI) program was used to identify and estimate the missing HAP emissions. The improved emission data were processed to generate the chemically speciated hourly gridded emission inputs for the Comprehensive Air Quality Model with Extensions (CAMx) chemical transport model to simulate the SBTEX concentrations over the Gulf modeling region. SBTEX pollutants were modeled using the Reactive Tracer feature in CAMx that accounts for their chemical and physical processes in the atmosphere. The data show that the major SBTEX emissions in this region are contributed by mobile emissions (45 %), wildfire (30 %), and industry (26 %). Most SBTEX emissions are emitted during daytime hours (local time 14:00–17:00), and the emission rate in the model domain is about 20–40 t h−1, which is about 4 times higher than that in the nighttime (local time 24:00–04:00, about 4–10 t h−1). High concentrations of SBTEX (above 1 ppb) occurred near the cities close to the I-10 interstate highway (Houston, Beaumont, Lake Charles, Lafayette, Baton Rouge, New Orleans, and Mobile) and other metropolitan cities (Shreveport and Dallas). High styrene concentrations were co-located with industrial sources, which contribute the most to the styrene emissions. The HAPI program successfully estimated missing emissions of styrene from the chemical industry. The change increased total styrene emissions by 22 %, resulting in maximum ambient concentrations increasing from 0.035 to 1.75 ppb across the model domain. The predicted SBTEX concentrations with imputed emissions present good agreement with observational data, with a correlation coefficient (R) of 0.75 (0.46 to 0.77 for individual SBTEX species) and a normalized mean bias (NMB) of −5.6 % (−24.9 % to 32.1 % for the individual SBTEX species), suggesting their value for supporting any SBTEX-related human health studies in the Gulf region. The SBTEX data were published at Zenodo (https://doi.org/10.5281/zenodo.7967541) (Wang et al., 2023), and the HAPI tool was also published at Zenodo (https://doi.org/10.5281/zenodo.7987106) (Wang and Baek, 2023).","container-title":"Earth System Science Data","DOI":"10.5194/essd-15-5261-2023","ISSN":"1866-3508","issue":"11","language":"English","note":"publisher: Copernicus GmbH","page":"5261-5279","source":"Copernicus Online Journals","title":"Spatiotemporally resolved emissions and concentrations of styrene, benzene, toluene, ethylbenzene, and xylenes (SBTEX) in the US Gulf region","volume":"15","author":[{"family":"Wang","given":"Chi-Tsan"},{"family":"Baek","given":"Bok H."},{"family":"Vizuete","given":"William"},{"family":"Engel","given":"Lawrence S."},{"family":"Xing","given":"Jia"},{"family":"Green","given":"Jaime"},{"family":"Serre","given":"Marc"},{"family":"Strott","given":"Richard"},{"family":"Bowden","given":"Jared"},{"family":"Woo","given":"Jung-Hun"}],"issued":{"date-parts":[["2023",11,28]]}}}],"schema":"https://github.com/citation-style-language/schema/raw/master/csl-citation.json"} </w:instrText>
      </w:r>
      <w:r w:rsidRPr="00075F96">
        <w:rPr>
          <w:vertAlign w:val="superscript"/>
        </w:rPr>
        <w:fldChar w:fldCharType="separate"/>
      </w:r>
      <w:r w:rsidR="000658B0" w:rsidRPr="000658B0">
        <w:rPr>
          <w:rFonts w:cs="Times"/>
          <w:vertAlign w:val="superscript"/>
        </w:rPr>
        <w:t>16</w:t>
      </w:r>
      <w:r w:rsidRPr="00075F96">
        <w:rPr>
          <w:vertAlign w:val="superscript"/>
        </w:rPr>
        <w:fldChar w:fldCharType="end"/>
      </w:r>
      <w:r w:rsidRPr="003A2F84">
        <w:t xml:space="preserve"> In some cases, BME estimates were like </w:t>
      </w:r>
      <w:proofErr w:type="spellStart"/>
      <w:r w:rsidRPr="003A2F84">
        <w:t>CAMx</w:t>
      </w:r>
      <w:proofErr w:type="spellEnd"/>
      <w:r w:rsidRPr="003A2F84">
        <w:t xml:space="preserve"> estimates, with only slight changes occurring in the proximity of monitoring stations, such as xylenes on May 10th, 2011, or toluene on August 4th, 2012 (Figure S4</w:t>
      </w:r>
      <w:r>
        <w:t>6</w:t>
      </w:r>
      <w:r w:rsidRPr="003A2F84">
        <w:t>). In other cases, BME raised and lowered estimates near and far away from monitoring stations, such as toluene on January 17th, 2012, or benzene on May 10th, 2012 (Figure S4</w:t>
      </w:r>
      <w:r>
        <w:t>6</w:t>
      </w:r>
      <w:r w:rsidRPr="003A2F84">
        <w:t xml:space="preserve">). </w:t>
      </w:r>
    </w:p>
    <w:p w14:paraId="727F8FC6" w14:textId="1647D2C9" w:rsidR="006714FF" w:rsidRDefault="006714FF" w:rsidP="006714FF">
      <w:pPr>
        <w:pStyle w:val="TESupportingInformation"/>
      </w:pPr>
      <w:r w:rsidRPr="699CB12C">
        <w:t xml:space="preserve">When far from monitoring stations, data fusion-derived estimates were driven by CAMP-corrected </w:t>
      </w:r>
      <w:proofErr w:type="spellStart"/>
      <w:r w:rsidRPr="699CB12C">
        <w:t>CAMx</w:t>
      </w:r>
      <w:proofErr w:type="spellEnd"/>
      <w:r w:rsidRPr="699CB12C">
        <w:t>, which was previously limited by unreported emissions data and difficulty distinguishing exposure classification (or always predicting low concentrations) away from SBTEX sources</w:t>
      </w:r>
      <w:r>
        <w:t>.</w:t>
      </w:r>
      <w:r>
        <w:fldChar w:fldCharType="begin"/>
      </w:r>
      <w:r w:rsidR="00231C44">
        <w:instrText xml:space="preserve"> ADDIN ZOTERO_ITEM CSL_CITATION {"citationID":"SLEvavow","properties":{"formattedCitation":"\\super 16\\nosupersub{}","plainCitation":"16","noteIndex":0},"citationItems":[{"id":537,"uris":["http://zotero.org/users/9885460/items/HCMM6HSN"],"itemData":{"id":537,"type":"article-journal","abstract":"Styrene, benzene, toluene, ethylbenzene, and xylenes (SBTEX) are established neurotoxicants. SBTEX contains hazardous air pollutants (HAPs) that are released from the petrochemical industry, combustion process, transport emission, and solvent usage sources. Although several SBTEX toxic assessment studies have been conducted, they have mainly relied on ambient measurements to estimate exposure and limit their scope to specific locations and observational periods. To overcome these spatiotemporal limitations, an air quality modeling system over the US Gulf region was created, predicting the spatially and temporally enhanced SBTEX modeling concentrations from May to September 2012. Due to the incompleteness of SBTEX in the official US Environmental Protection Agency (EPA) National Emission Inventory (NEI), the Hazardous Air Pollutions Imputation (HAPI) program was used to identify and estimate the missing HAP emissions. The improved emission data were processed to generate the chemically speciated hourly gridded emission inputs for the Comprehensive Air Quality Model with Extensions (CAMx) chemical transport model to simulate the SBTEX concentrations over the Gulf modeling region. SBTEX pollutants were modeled using the Reactive Tracer feature in CAMx that accounts for their chemical and physical processes in the atmosphere. The data show that the major SBTEX emissions in this region are contributed by mobile emissions (45 %), wildfire (30 %), and industry (26 %). Most SBTEX emissions are emitted during daytime hours (local time 14:00–17:00), and the emission rate in the model domain is about 20–40 t h−1, which is about 4 times higher than that in the nighttime (local time 24:00–04:00, about 4–10 t h−1). High concentrations of SBTEX (above 1 ppb) occurred near the cities close to the I-10 interstate highway (Houston, Beaumont, Lake Charles, Lafayette, Baton Rouge, New Orleans, and Mobile) and other metropolitan cities (Shreveport and Dallas). High styrene concentrations were co-located with industrial sources, which contribute the most to the styrene emissions. The HAPI program successfully estimated missing emissions of styrene from the chemical industry. The change increased total styrene emissions by 22 %, resulting in maximum ambient concentrations increasing from 0.035 to 1.75 ppb across the model domain. The predicted SBTEX concentrations with imputed emissions present good agreement with observational data, with a correlation coefficient (R) of 0.75 (0.46 to 0.77 for individual SBTEX species) and a normalized mean bias (NMB) of −5.6 % (−24.9 % to 32.1 % for the individual SBTEX species), suggesting their value for supporting any SBTEX-related human health studies in the Gulf region. The SBTEX data were published at Zenodo (https://doi.org/10.5281/zenodo.7967541) (Wang et al., 2023), and the HAPI tool was also published at Zenodo (https://doi.org/10.5281/zenodo.7987106) (Wang and Baek, 2023).","container-title":"Earth System Science Data","DOI":"10.5194/essd-15-5261-2023","ISSN":"1866-3508","issue":"11","language":"English","note":"publisher: Copernicus GmbH","page":"5261-5279","source":"Copernicus Online Journals","title":"Spatiotemporally resolved emissions and concentrations of styrene, benzene, toluene, ethylbenzene, and xylenes (SBTEX) in the US Gulf region","volume":"15","author":[{"family":"Wang","given":"Chi-Tsan"},{"family":"Baek","given":"Bok H."},{"family":"Vizuete","given":"William"},{"family":"Engel","given":"Lawrence S."},{"family":"Xing","given":"Jia"},{"family":"Green","given":"Jaime"},{"family":"Serre","given":"Marc"},{"family":"Strott","given":"Richard"},{"family":"Bowden","given":"Jared"},{"family":"Woo","given":"Jung-Hun"}],"issued":{"date-parts":[["2023",11,28]]}}}],"schema":"https://github.com/citation-style-language/schema/raw/master/csl-citation.json"} </w:instrText>
      </w:r>
      <w:r>
        <w:fldChar w:fldCharType="separate"/>
      </w:r>
      <w:r w:rsidR="000658B0" w:rsidRPr="000658B0">
        <w:rPr>
          <w:rFonts w:cs="Times"/>
          <w:vertAlign w:val="superscript"/>
        </w:rPr>
        <w:t>16</w:t>
      </w:r>
      <w:r>
        <w:fldChar w:fldCharType="end"/>
      </w:r>
      <w:r>
        <w:t xml:space="preserve"> </w:t>
      </w:r>
      <w:r w:rsidRPr="003A2F84">
        <w:t xml:space="preserve">SBTEX CAMP curves showed </w:t>
      </w:r>
      <w:proofErr w:type="spellStart"/>
      <w:r w:rsidRPr="003A2F84">
        <w:t>CAMx</w:t>
      </w:r>
      <w:proofErr w:type="spellEnd"/>
      <w:r w:rsidRPr="003A2F84">
        <w:t xml:space="preserve"> underestimated low values where </w:t>
      </w:r>
      <w:proofErr w:type="spellStart"/>
      <w:r w:rsidRPr="003A2F84">
        <w:t>CAMx</w:t>
      </w:r>
      <w:proofErr w:type="spellEnd"/>
      <w:r w:rsidRPr="003A2F84">
        <w:t xml:space="preserve"> predicted low (</w:t>
      </w:r>
      <w:r w:rsidRPr="00075F96">
        <w:rPr>
          <w:i/>
          <w:iCs/>
        </w:rPr>
        <w:t xml:space="preserve">i.e., </w:t>
      </w:r>
      <w:r w:rsidRPr="003A2F84">
        <w:t>λ</w:t>
      </w:r>
      <w:r w:rsidRPr="003F327D">
        <w:rPr>
          <w:vertAlign w:val="subscript"/>
        </w:rPr>
        <w:t>1</w:t>
      </w:r>
      <w:r w:rsidRPr="003A2F84">
        <w:t xml:space="preserve"> curve above the one-to-one line) and overestimated high values where </w:t>
      </w:r>
      <w:proofErr w:type="spellStart"/>
      <w:r w:rsidRPr="003A2F84">
        <w:t>CAMx</w:t>
      </w:r>
      <w:proofErr w:type="spellEnd"/>
      <w:r w:rsidRPr="003A2F84">
        <w:t xml:space="preserve"> predicted high (</w:t>
      </w:r>
      <w:r w:rsidRPr="00075F96">
        <w:rPr>
          <w:i/>
          <w:iCs/>
        </w:rPr>
        <w:t>i.e.,</w:t>
      </w:r>
      <w:r w:rsidRPr="003A2F84">
        <w:t xml:space="preserve"> λ</w:t>
      </w:r>
      <w:r w:rsidRPr="003F327D">
        <w:rPr>
          <w:vertAlign w:val="subscript"/>
        </w:rPr>
        <w:t>1</w:t>
      </w:r>
      <w:r w:rsidRPr="003A2F84">
        <w:t xml:space="preserve"> curve below the one-to-one line), which was addressed using the CAMP correction framework. The CAMP-correction of </w:t>
      </w:r>
      <w:proofErr w:type="spellStart"/>
      <w:r w:rsidRPr="003A2F84">
        <w:t>CAMx</w:t>
      </w:r>
      <w:proofErr w:type="spellEnd"/>
      <w:r w:rsidRPr="003A2F84">
        <w:t xml:space="preserve">, especially correction for underestimated low values when </w:t>
      </w:r>
      <w:proofErr w:type="spellStart"/>
      <w:r w:rsidRPr="003A2F84">
        <w:t>CAMx</w:t>
      </w:r>
      <w:proofErr w:type="spellEnd"/>
      <w:r w:rsidRPr="003A2F84">
        <w:t xml:space="preserve"> predicted low, covered a much larger geographic region than high-concentration-predicted areas, impacting exposure estimates for many participants (Figure S4</w:t>
      </w:r>
      <w:r>
        <w:t>6</w:t>
      </w:r>
      <w:r w:rsidRPr="003A2F84">
        <w:t xml:space="preserve">).  </w:t>
      </w:r>
    </w:p>
    <w:p w14:paraId="22BB9279" w14:textId="77777777" w:rsidR="006714FF" w:rsidRPr="0041625A" w:rsidRDefault="006714FF" w:rsidP="006714FF">
      <w:pPr>
        <w:pStyle w:val="TESupportingInformation"/>
      </w:pPr>
      <w:r w:rsidRPr="699CB12C">
        <w:lastRenderedPageBreak/>
        <w:t xml:space="preserve">Finally, within the </w:t>
      </w:r>
      <w:proofErr w:type="spellStart"/>
      <w:r w:rsidRPr="699CB12C">
        <w:t>CAMx</w:t>
      </w:r>
      <w:proofErr w:type="spellEnd"/>
      <w:r w:rsidRPr="699CB12C">
        <w:t xml:space="preserve">-modeled </w:t>
      </w:r>
      <w:r>
        <w:t>domain</w:t>
      </w:r>
      <w:r w:rsidRPr="699CB12C">
        <w:t xml:space="preserve">, there </w:t>
      </w:r>
      <w:r>
        <w:t>were</w:t>
      </w:r>
      <w:r w:rsidRPr="699CB12C">
        <w:t xml:space="preserve"> areas where the global offset (whether KS or LUR) raised SBTEX estimates, suggesting that trends in observational data were higher than </w:t>
      </w:r>
      <w:proofErr w:type="spellStart"/>
      <w:r>
        <w:t>CAMx</w:t>
      </w:r>
      <w:proofErr w:type="spellEnd"/>
      <w:r>
        <w:t xml:space="preserve"> predictions</w:t>
      </w:r>
      <w:r w:rsidRPr="699CB12C">
        <w:t xml:space="preserve"> and played a role in spatial estimation (Figure </w:t>
      </w:r>
      <w:r>
        <w:t>S46</w:t>
      </w:r>
      <w:r w:rsidRPr="699CB12C">
        <w:t>).</w:t>
      </w:r>
    </w:p>
    <w:p w14:paraId="10EEE308" w14:textId="77777777" w:rsidR="006714FF" w:rsidRPr="003A2F84" w:rsidRDefault="006714FF" w:rsidP="006714FF">
      <w:pPr>
        <w:pStyle w:val="TESupportingInformation"/>
      </w:pPr>
      <w:r w:rsidRPr="003A2F84">
        <w:t xml:space="preserve">Wang et al. (2023) noted that two industrial sites near Houston still largely underestimated toluene after integrating HAPI in </w:t>
      </w:r>
      <w:proofErr w:type="spellStart"/>
      <w:r w:rsidRPr="003A2F84">
        <w:t>CAMx</w:t>
      </w:r>
      <w:proofErr w:type="spellEnd"/>
      <w:r w:rsidRPr="003A2F84">
        <w:t xml:space="preserve">, including site ID 482011015, located at approximately 29.76 degrees latitude and –95.08 degrees longitude. Using monitoring data, BME informed estimated concentrations near site ID 482011015, which was useful for addressing incomplete NEI emissions. BME difference plots suggested that the incorporation of measured SBTEX observations when using BME data fusion alters estimate granularity near monitoring stations, but also regional estimates from CAMP correction of the </w:t>
      </w:r>
      <w:proofErr w:type="spellStart"/>
      <w:r w:rsidRPr="003A2F84">
        <w:t>CAMx</w:t>
      </w:r>
      <w:proofErr w:type="spellEnd"/>
      <w:r w:rsidRPr="003A2F84">
        <w:t xml:space="preserve"> (Figure S4</w:t>
      </w:r>
      <w:r>
        <w:t>6</w:t>
      </w:r>
      <w:r w:rsidRPr="003A2F84">
        <w:t xml:space="preserve">). </w:t>
      </w:r>
    </w:p>
    <w:p w14:paraId="378870CA" w14:textId="77777777" w:rsidR="006714FF" w:rsidRPr="003A2F84" w:rsidRDefault="006714FF" w:rsidP="006714FF">
      <w:pPr>
        <w:pStyle w:val="TESupportingInformation"/>
        <w:rPr>
          <w:b/>
          <w:bCs/>
        </w:rPr>
      </w:pPr>
      <w:r w:rsidRPr="003A2F84">
        <w:rPr>
          <w:b/>
          <w:bCs/>
        </w:rPr>
        <w:t>S1</w:t>
      </w:r>
      <w:r>
        <w:rPr>
          <w:b/>
          <w:bCs/>
        </w:rPr>
        <w:t>5</w:t>
      </w:r>
      <w:r w:rsidRPr="003A2F84">
        <w:rPr>
          <w:b/>
          <w:bCs/>
        </w:rPr>
        <w:t xml:space="preserve">. </w:t>
      </w:r>
      <w:proofErr w:type="spellStart"/>
      <w:r w:rsidRPr="003A2F84">
        <w:rPr>
          <w:b/>
          <w:bCs/>
        </w:rPr>
        <w:t>GuLF</w:t>
      </w:r>
      <w:proofErr w:type="spellEnd"/>
      <w:r w:rsidRPr="003A2F84">
        <w:rPr>
          <w:b/>
          <w:bCs/>
        </w:rPr>
        <w:t xml:space="preserve"> Study </w:t>
      </w:r>
      <w:r>
        <w:rPr>
          <w:b/>
          <w:bCs/>
        </w:rPr>
        <w:t xml:space="preserve">Cancer and </w:t>
      </w:r>
      <w:r w:rsidRPr="003A2F84">
        <w:rPr>
          <w:b/>
          <w:bCs/>
        </w:rPr>
        <w:t xml:space="preserve">Noncancer Risk and Exposure Estimates Discussion </w:t>
      </w:r>
    </w:p>
    <w:p w14:paraId="085BC8C8" w14:textId="7A8CDDA1" w:rsidR="006714FF" w:rsidRPr="003A2F84" w:rsidRDefault="006714FF" w:rsidP="006714FF">
      <w:pPr>
        <w:pStyle w:val="TESupportingInformation"/>
        <w:rPr>
          <w:rFonts w:eastAsia="Aptos"/>
        </w:rPr>
      </w:pPr>
      <w:r w:rsidRPr="003A2F84">
        <w:t>Assuming a residence occupancy period (ROP) of 33 years, hazard quotients for toxic risks of SBTEX were calculated using Iris minimal risk level (MRL) and reference concentration (</w:t>
      </w:r>
      <w:proofErr w:type="spellStart"/>
      <w:r w:rsidRPr="003A2F84">
        <w:t>RfC</w:t>
      </w:r>
      <w:proofErr w:type="spellEnd"/>
      <w:r w:rsidRPr="003A2F84">
        <w:t>) values.</w:t>
      </w:r>
      <w:r w:rsidRPr="00075F96">
        <w:rPr>
          <w:vertAlign w:val="superscript"/>
        </w:rPr>
        <w:fldChar w:fldCharType="begin"/>
      </w:r>
      <w:r w:rsidR="00EE2448">
        <w:rPr>
          <w:vertAlign w:val="superscript"/>
        </w:rPr>
        <w:instrText xml:space="preserve"> ADDIN ZOTERO_ITEM CSL_CITATION {"citationID":"8RNA7ix4","properties":{"formattedCitation":"\\super 19\\uc0\\u8211{}23\\nosupersub{}","plainCitation":"19–23","noteIndex":0},"citationItems":[{"id":2224,"uris":["http://zotero.org/users/9885460/items/U8QDEFQ5"],"itemData":{"id":2224,"type":"document","publisher":"US Department of Health and Human Services","title":"TOXICOLOGICAL PROFILE FOR  STYRENE","URL":"https://www.atsdr.cdc.gov/toxprofiles/tp53.pdf","author":[{"family":"Agency for Toxic Substances and Disease Registry","given":""}],"accessed":{"date-parts":[["2024",1,17]]},"issued":{"date-parts":[["2010"]]}}},{"id":2223,"uris":["http://zotero.org/users/9885460/items/QGQCZQLZ"],"itemData":{"id":2223,"type":"document","publisher":"US Department of Health and Human Services","title":"TOXICOLOGICAL PROFILE FOR   BENZENE","URL":"https://www.atsdr.cdc.gov/toxprofiles/tp3.pdf","author":[{"family":"Agency for Toxic Substances and Disease Registry","given":""}],"accessed":{"date-parts":[["2024",1,17]]},"issued":{"date-parts":[["2007"]]}}},{"id":2225,"uris":["http://zotero.org/users/9885460/items/88FRF3VW"],"itemData":{"id":2225,"type":"document","publisher":"US Department of Health and Human Services","title":"TOXICOLOGICAL PROFILE FOR  TOLUENE","URL":"https://www.atsdr.cdc.gov/toxprofiles/tp56.pdf","author":[{"family":"Agency for Toxic Substances and Disease Registry","given":""}],"accessed":{"date-parts":[["2024",1,17]]},"issued":{"date-parts":[["2017"]]}}},{"id":2227,"uris":["http://zotero.org/users/9885460/items/RWEQFQNC"],"itemData":{"id":2227,"type":"document","publisher":"US Department of Health and Human Services","title":"TOXICOLOGICAL PROFILE FOR  ETHYLBENZENE","URL":"https://www.atsdr.cdc.gov/toxprofiles/tp110.pdf","author":[{"family":"Agency for Toxic Substances and Disease Registry","given":""}],"accessed":{"date-parts":[["2024",1,17]]},"issued":{"date-parts":[["2010"]]}}},{"id":2226,"uris":["http://zotero.org/users/9885460/items/TAXS4GEF"],"itemData":{"id":2226,"type":"document","publisher":"US Department of Health and Human Services","title":"TOXICOLOGICAL PROFILE FOR   XYLENE","URL":"https://www.atsdr.cdc.gov/toxprofiles/tp71.pdf","author":[{"family":"Agency for Toxic Substances and Disease Registry","given":""}],"accessed":{"date-parts":[["2024",1,17]]},"issued":{"date-parts":[["2007"]]}}}],"schema":"https://github.com/citation-style-language/schema/raw/master/csl-citation.json"} </w:instrText>
      </w:r>
      <w:r w:rsidRPr="00075F96">
        <w:rPr>
          <w:vertAlign w:val="superscript"/>
        </w:rPr>
        <w:fldChar w:fldCharType="separate"/>
      </w:r>
      <w:r w:rsidR="000658B0" w:rsidRPr="000658B0">
        <w:rPr>
          <w:rFonts w:cs="Times"/>
          <w:vertAlign w:val="superscript"/>
        </w:rPr>
        <w:t>19–23</w:t>
      </w:r>
      <w:r w:rsidRPr="00075F96">
        <w:rPr>
          <w:vertAlign w:val="superscript"/>
        </w:rPr>
        <w:fldChar w:fldCharType="end"/>
      </w:r>
      <w:r w:rsidRPr="003A2F84">
        <w:t xml:space="preserve"> Hazard quotients for daily SBTEX exposures at all percentiles were less than one, suggesting the potential noncancer (MRL or </w:t>
      </w:r>
      <w:proofErr w:type="spellStart"/>
      <w:r w:rsidRPr="003A2F84">
        <w:t>RfC</w:t>
      </w:r>
      <w:proofErr w:type="spellEnd"/>
      <w:r w:rsidRPr="003A2F84">
        <w:t xml:space="preserve">) health guidelines for SBTEX were not exceeded. </w:t>
      </w:r>
      <w:r w:rsidRPr="003A2F84">
        <w:rPr>
          <w:rFonts w:eastAsia="Aptos"/>
        </w:rPr>
        <w:t xml:space="preserve"> </w:t>
      </w:r>
    </w:p>
    <w:p w14:paraId="44325A80" w14:textId="389A4A3E" w:rsidR="006714FF" w:rsidRDefault="006714FF" w:rsidP="006714FF">
      <w:pPr>
        <w:pStyle w:val="TESupportingInformation"/>
      </w:pPr>
      <w:r w:rsidRPr="002A32AA">
        <w:rPr>
          <w:color w:val="000000" w:themeColor="text1"/>
        </w:rPr>
        <w:t>Excess cancer risk for benzene (an EPA-known human carcinogen) and for ethylbenzene (a California-known human carcino</w:t>
      </w:r>
      <w:r w:rsidRPr="002A32AA">
        <w:t xml:space="preserve">gen) </w:t>
      </w:r>
      <w:r w:rsidRPr="002A32AA">
        <w:rPr>
          <w:color w:val="000000" w:themeColor="text1"/>
        </w:rPr>
        <w:t>was estimated for each daily percentile exposure estimate made in this study using the upper benzene inhalation unit risk (IUR) from Iris and ethylbenzene IUR from the California Office of Environmental Health Hazard Assessment</w:t>
      </w:r>
      <w:r w:rsidRPr="002A32AA">
        <w:rPr>
          <w:color w:val="000000" w:themeColor="text1"/>
        </w:rPr>
        <w:fldChar w:fldCharType="begin"/>
      </w:r>
      <w:r w:rsidR="00EE2448">
        <w:rPr>
          <w:color w:val="000000" w:themeColor="text1"/>
        </w:rPr>
        <w:instrText xml:space="preserve"> ADDIN ZOTERO_ITEM CSL_CITATION {"citationID":"NAUdqvbN","properties":{"formattedCitation":"\\super 20,24\\nosupersub{}","plainCitation":"20,24","noteIndex":0},"citationItems":[{"id":2223,"uris":["http://zotero.org/users/9885460/items/QGQCZQLZ"],"itemData":{"id":2223,"type":"document","publisher":"US Department of Health and Human Services","title":"TOXICOLOGICAL PROFILE FOR   BENZENE","URL":"https://www.atsdr.cdc.gov/toxprofiles/tp3.pdf","author":[{"family":"Agency for Toxic Substances and Disease Registry","given":""}],"accessed":{"date-parts":[["2024",1,17]]},"issued":{"date-parts":[["2007"]]}}},{"id":2238,"uris":["http://zotero.org/users/9885460/items/ADRWL8D3"],"itemData":{"id":2238,"type":"webpage","container-title":"OEHHA","genre":"Text","language":"en","title":"Ethylbenzene","URL":"https://oehha.ca.gov/chemicals/ethylbenzene","author":[{"family":"California Office of Environmental Health Hazard Assessment","given":""}],"accessed":{"date-parts":[["2024",4,25]]},"issued":{"date-parts":[["2024"]]}}}],"schema":"https://github.com/citation-style-language/schema/raw/master/csl-citation.json"} </w:instrText>
      </w:r>
      <w:r w:rsidRPr="002A32AA">
        <w:rPr>
          <w:color w:val="000000" w:themeColor="text1"/>
        </w:rPr>
        <w:fldChar w:fldCharType="separate"/>
      </w:r>
      <w:r w:rsidR="000658B0" w:rsidRPr="000658B0">
        <w:rPr>
          <w:rFonts w:cs="Times"/>
          <w:vertAlign w:val="superscript"/>
        </w:rPr>
        <w:t>20,24</w:t>
      </w:r>
      <w:r w:rsidRPr="002A32AA">
        <w:rPr>
          <w:color w:val="000000" w:themeColor="text1"/>
        </w:rPr>
        <w:fldChar w:fldCharType="end"/>
      </w:r>
      <w:r w:rsidRPr="002A32AA">
        <w:rPr>
          <w:color w:val="000000" w:themeColor="text1"/>
        </w:rPr>
        <w:t>. Assuming a residence occupancy period of 33 years and averaging time of 78 years, the corresponding daily concentration to exceed a one-in-a-million risk of cancer, an EPA-established public health-protective level</w:t>
      </w:r>
      <w:r w:rsidRPr="002A32AA">
        <w:rPr>
          <w:color w:val="000000" w:themeColor="text1"/>
        </w:rPr>
        <w:fldChar w:fldCharType="begin"/>
      </w:r>
      <w:r w:rsidR="00602E20">
        <w:rPr>
          <w:color w:val="000000" w:themeColor="text1"/>
        </w:rPr>
        <w:instrText xml:space="preserve"> ADDIN ZOTERO_ITEM CSL_CITATION {"citationID":"5phHsErv","properties":{"formattedCitation":"\\super 25\\nosupersub{}","plainCitation":"25","noteIndex":0},"citationItems":[{"id":2231,"uris":["http://zotero.org/users/9885460/items/2U2Q4MCK"],"itemData":{"id":2231,"type":"report","event-place":"Washington, DC","language":"en","number":"EPA/630/P-03/001F","publisher-place":"Washington, DC","source":"Zotero","title":"Guidelines for Carcinogen Risk Assessment","URL":"https://www.epa.gov/sites/default/files/2013-09/documents/cancer_guidelines_final_3-25-05.pdf","author":[{"family":"United States Environmental Protection Agency","given":""}],"accessed":{"date-parts":[["2024",4,25]]},"issued":{"date-parts":[["2005"]]}}}],"schema":"https://github.com/citation-style-language/schema/raw/master/csl-citation.json"} </w:instrText>
      </w:r>
      <w:r w:rsidRPr="002A32AA">
        <w:rPr>
          <w:color w:val="000000" w:themeColor="text1"/>
        </w:rPr>
        <w:fldChar w:fldCharType="separate"/>
      </w:r>
      <w:r w:rsidR="000658B0" w:rsidRPr="000658B0">
        <w:rPr>
          <w:rFonts w:cs="Times"/>
          <w:vertAlign w:val="superscript"/>
        </w:rPr>
        <w:t>25</w:t>
      </w:r>
      <w:r w:rsidRPr="002A32AA">
        <w:rPr>
          <w:color w:val="000000" w:themeColor="text1"/>
        </w:rPr>
        <w:fldChar w:fldCharType="end"/>
      </w:r>
      <w:r w:rsidRPr="002A32AA">
        <w:rPr>
          <w:color w:val="000000" w:themeColor="text1"/>
        </w:rPr>
        <w:t xml:space="preserve">, was 0.10 ppb and 0.22 ppb for benzene and ethylbenzene, </w:t>
      </w:r>
      <w:r w:rsidRPr="002A32AA">
        <w:t xml:space="preserve">respectively. </w:t>
      </w:r>
      <w:r w:rsidRPr="002A32AA">
        <w:lastRenderedPageBreak/>
        <w:t>Considering all residence locations among our study population, the 25</w:t>
      </w:r>
      <w:r w:rsidRPr="002A32AA">
        <w:rPr>
          <w:vertAlign w:val="superscript"/>
        </w:rPr>
        <w:t>th</w:t>
      </w:r>
      <w:r w:rsidRPr="002A32AA">
        <w:t xml:space="preserve"> percentile daily exposures to benzene exceeded 0.10 ppb (Table </w:t>
      </w:r>
      <w:r>
        <w:t>2</w:t>
      </w:r>
      <w:r w:rsidRPr="002A32AA">
        <w:t xml:space="preserve">). In other words, we found 75% of residence locations exceed daily ambient benzene levels corresponding to a 1-in-a-million excess lifetime cancer risk. No percentile daily exposure to ethylbenzene exceeded the estimated one-in-a-million excess risk of cancer (Table ). </w:t>
      </w:r>
    </w:p>
    <w:p w14:paraId="5AC6C308" w14:textId="70DE35DF" w:rsidR="006714FF" w:rsidRDefault="006714FF" w:rsidP="006714FF">
      <w:pPr>
        <w:pStyle w:val="TESupportingInformation"/>
      </w:pPr>
      <w:r w:rsidRPr="003A2F84">
        <w:t xml:space="preserve">Previous studies have also investigated associations between ambient styrene exposure, estimated using county-level, modeled annual average concentrations from the 2011 National Air Toxics Assessment (NATA), and adverse sensory, motor, and neurological symptoms within the </w:t>
      </w:r>
      <w:proofErr w:type="spellStart"/>
      <w:r w:rsidRPr="003A2F84">
        <w:t>GuLF</w:t>
      </w:r>
      <w:proofErr w:type="spellEnd"/>
      <w:r w:rsidRPr="003A2F84">
        <w:t xml:space="preserve"> Study cohort.</w:t>
      </w:r>
      <w:r w:rsidRPr="003A2F84">
        <w:rPr>
          <w:highlight w:val="yellow"/>
        </w:rPr>
        <w:fldChar w:fldCharType="begin"/>
      </w:r>
      <w:r>
        <w:rPr>
          <w:highlight w:val="yellow"/>
        </w:rPr>
        <w:instrText xml:space="preserve"> ADDIN ZOTERO_ITEM CSL_CITATION {"citationID":"xjvziNiL","properties":{"formattedCitation":"\\super 26,27\\nosupersub{}","plainCitation":"26,27","noteIndex":0},"citationItems":[{"id":480,"uris":["http://zotero.org/users/9885460/items/ABVUXNLZ"],"itemData":{"id":480,"type":"article-journal","abstract":"Background: Styrene is an established neurotoxicant at occupational levels, but effects at levels relevant to the general population have not been studied. We examined the neurologic effects of environmental styrene exposure among U.S. Gulf coast residents.\nMethods: We used National Air Toxics Assessment (NATA) 2011 estimates of ambient styrene concentrations to assign exposure levels for 21,962 non-diabetic Gulf state residents, and additionally measured blood styrene concentration in a subset of participants (n = 874). Neurologic symptoms, as well as detailed covariate information, were ascertained via telephone interview. We used log-binomial regression to estimate prevalence ratios (PR) and 95% confidence intervals (95% CI) for cross-sectional associations between both ambient and blood styrene levels and self-reported neurologic symptoms. We estimated associations independently for ten unique symptoms, as well as for the presence of any neurologic, central nervous system (CNS), or peripheral nervous system (PNS) symptoms. We also examined heterogeneity of associations with estimated ambient styrene levels by race and sex.\nResults: One-third of participants reported at least one neurologic symptom. The highest quartile of estimated ambient styrene was associated with one or more neurologic (PR, 1.12; 95% CI: 1.07,1.18), CNS (PR, 1.17; 95% CI: 1.11,1.25), and PNS (PR, 1.16; 95% CI: 1.09,1.25) symptom. Results were less consistent for biomarker analyses, but blood styrene level was suggestively associated with nausea (PR, 1.78; 95% CI: 1.04, 3.03). In stratified analyses, we observed the strongest effects among non-White participants.\nConclusions: Increasing estimated ambient styrene concentration was consistently associated with increased prevalence of neurologic symptoms. Associations between blood styrene levels and some neurologic symptoms were suggestive. Environmental styrene exposure levels may be sufficient to elicit symptomatic neurotoxic effects.","container-title":"Environment International","DOI":"10.1016/j.envint.2018.09.025","ISSN":"01604120","journalAbbreviation":"Environment International","language":"en","page":"480-490","source":"DOI.org (Crossref)","title":"Environmental styrene exposure and neurologic symptoms in U.S. Gulf coast residents","volume":"121","author":[{"family":"Werder","given":"Emily J."},{"family":"Engel","given":"Lawrence S."},{"family":"Richardson","given":"David B."},{"family":"Emch","given":"Michael E."},{"family":"Gerr","given":"Fredric E."},{"family":"Kwok","given":"Richard K."},{"family":"Sandler","given":"Dale P."}],"issued":{"date-parts":[["2018",12]]}}},{"id":1009,"uris":["http://zotero.org/users/9885460/items/BYJFF7NL"],"itemData":{"id":1009,"type":"article-journal","container-title":"Environmental Health Perspectives","DOI":"10.1289/EHP3954","ISSN":"0091-6765, 1552-9924","issue":"4","journalAbbreviation":"Environ Health Perspect","language":"en","page":"047006","source":"DOI.org (Crossref)","title":"Environmental Styrene Exposure and Sensory and Motor Function in Gulf Coast Residents","volume":"127","author":[{"family":"Werder","given":"Emily J."},{"family":"Sandler","given":"Dale P."},{"family":"Richardson","given":"David B."},{"family":"Emch","given":"Michael E."},{"family":"Kwok","given":"Richard K."},{"family":"Gerr","given":"Fredric E."},{"family":"Engel","given":"Lawrence S."}],"issued":{"date-parts":[["2019",4]]}}}],"schema":"https://github.com/citation-style-language/schema/raw/master/csl-citation.json"} </w:instrText>
      </w:r>
      <w:r w:rsidRPr="003A2F84">
        <w:rPr>
          <w:highlight w:val="yellow"/>
        </w:rPr>
        <w:fldChar w:fldCharType="separate"/>
      </w:r>
      <w:r w:rsidR="000658B0" w:rsidRPr="000658B0">
        <w:rPr>
          <w:rFonts w:cs="Times"/>
          <w:vertAlign w:val="superscript"/>
        </w:rPr>
        <w:t>26,27</w:t>
      </w:r>
      <w:r w:rsidRPr="003A2F84">
        <w:rPr>
          <w:highlight w:val="yellow"/>
        </w:rPr>
        <w:fldChar w:fldCharType="end"/>
      </w:r>
      <w:r w:rsidRPr="003A2F84">
        <w:t xml:space="preserve"> These works were limited by the coarse spatial (estimated accuracy within 30km of census tract) and temporal (yearly) scales of NATA when estimating associations.</w:t>
      </w:r>
      <w:r w:rsidRPr="003A2F84">
        <w:rPr>
          <w:highlight w:val="yellow"/>
        </w:rPr>
        <w:fldChar w:fldCharType="begin"/>
      </w:r>
      <w:r w:rsidR="00602E20">
        <w:rPr>
          <w:highlight w:val="yellow"/>
        </w:rPr>
        <w:instrText xml:space="preserve"> ADDIN ZOTERO_ITEM CSL_CITATION {"citationID":"7rPgj0EC","properties":{"formattedCitation":"\\super 26\\uc0\\u8211{}28\\nosupersub{}","plainCitation":"26–28","noteIndex":0},"citationItems":[{"id":480,"uris":["http://zotero.org/users/9885460/items/ABVUXNLZ"],"itemData":{"id":480,"type":"article-journal","abstract":"Background: Styrene is an established neurotoxicant at occupational levels, but effects at levels relevant to the general population have not been studied. We examined the neurologic effects of environmental styrene exposure among U.S. Gulf coast residents.\nMethods: We used National Air Toxics Assessment (NATA) 2011 estimates of ambient styrene concentrations to assign exposure levels for 21,962 non-diabetic Gulf state residents, and additionally measured blood styrene concentration in a subset of participants (n = 874). Neurologic symptoms, as well as detailed covariate information, were ascertained via telephone interview. We used log-binomial regression to estimate prevalence ratios (PR) and 95% confidence intervals (95% CI) for cross-sectional associations between both ambient and blood styrene levels and self-reported neurologic symptoms. We estimated associations independently for ten unique symptoms, as well as for the presence of any neurologic, central nervous system (CNS), or peripheral nervous system (PNS) symptoms. We also examined heterogeneity of associations with estimated ambient styrene levels by race and sex.\nResults: One-third of participants reported at least one neurologic symptom. The highest quartile of estimated ambient styrene was associated with one or more neurologic (PR, 1.12; 95% CI: 1.07,1.18), CNS (PR, 1.17; 95% CI: 1.11,1.25), and PNS (PR, 1.16; 95% CI: 1.09,1.25) symptom. Results were less consistent for biomarker analyses, but blood styrene level was suggestively associated with nausea (PR, 1.78; 95% CI: 1.04, 3.03). In stratified analyses, we observed the strongest effects among non-White participants.\nConclusions: Increasing estimated ambient styrene concentration was consistently associated with increased prevalence of neurologic symptoms. Associations between blood styrene levels and some neurologic symptoms were suggestive. Environmental styrene exposure levels may be sufficient to elicit symptomatic neurotoxic effects.","container-title":"Environment International","DOI":"10.1016/j.envint.2018.09.025","ISSN":"01604120","journalAbbreviation":"Environment International","language":"en","page":"480-490","source":"DOI.org (Crossref)","title":"Environmental styrene exposure and neurologic symptoms in U.S. Gulf coast residents","volume":"121","author":[{"family":"Werder","given":"Emily J."},{"family":"Engel","given":"Lawrence S."},{"family":"Richardson","given":"David B."},{"family":"Emch","given":"Michael E."},{"family":"Gerr","given":"Fredric E."},{"family":"Kwok","given":"Richard K."},{"family":"Sandler","given":"Dale P."}],"issued":{"date-parts":[["2018",12]]}}},{"id":1009,"uris":["http://zotero.org/users/9885460/items/BYJFF7NL"],"itemData":{"id":1009,"type":"article-journal","container-title":"Environmental Health Perspectives","DOI":"10.1289/EHP3954","ISSN":"0091-6765, 1552-9924","issue":"4","journalAbbreviation":"Environ Health Perspect","language":"en","page":"047006","source":"DOI.org (Crossref)","title":"Environmental Styrene Exposure and Sensory and Motor Function in Gulf Coast Residents","volume":"127","author":[{"family":"Werder","given":"Emily J."},{"family":"Sandler","given":"Dale P."},{"family":"Richardson","given":"David B."},{"family":"Emch","given":"Michael E."},{"family":"Kwok","given":"Richard K."},{"family":"Gerr","given":"Fredric E."},{"family":"Engel","given":"Lawrence S."}],"issued":{"date-parts":[["2019",4]]}}},{"id":2235,"uris":["http://zotero.org/users/9885460/items/SJUPXRMT"],"itemData":{"id":2235,"type":"document","language":"en","source":"Zotero","title":"Technical Support Document EPA’s 2011 National-scale Air Toxics Assessment","title-short":"2011 NATA TSD","URL":"https://www.epa.gov/sites/default/files/2015-12/documents/2011-nata-tsd.pdf","author":[{"family":"United States Environmental Protection Agency","given":""}],"accessed":{"date-parts":[["2024",4,25]]},"issued":{"date-parts":[["2015"]]}}}],"schema":"https://github.com/citation-style-language/schema/raw/master/csl-citation.json"} </w:instrText>
      </w:r>
      <w:r w:rsidRPr="003A2F84">
        <w:rPr>
          <w:highlight w:val="yellow"/>
        </w:rPr>
        <w:fldChar w:fldCharType="separate"/>
      </w:r>
      <w:r w:rsidR="000658B0" w:rsidRPr="000658B0">
        <w:rPr>
          <w:rFonts w:cs="Times"/>
          <w:vertAlign w:val="superscript"/>
        </w:rPr>
        <w:t>26–28</w:t>
      </w:r>
      <w:r w:rsidRPr="003A2F84">
        <w:rPr>
          <w:highlight w:val="yellow"/>
        </w:rPr>
        <w:fldChar w:fldCharType="end"/>
      </w:r>
      <w:r w:rsidRPr="003A2F84">
        <w:t xml:space="preserve"> This work provides estimates at an unprecedented fine scale (sub-4km by 4km and daily), allowing the identification at improved spatial resolution of adversely impacted residence locations.</w:t>
      </w:r>
    </w:p>
    <w:p w14:paraId="1634DE47" w14:textId="77777777" w:rsidR="006714FF" w:rsidRDefault="006714FF" w:rsidP="006714FF">
      <w:pPr>
        <w:pStyle w:val="TESupportingInformation"/>
      </w:pPr>
      <w:r w:rsidRPr="00E91DFB">
        <w:t xml:space="preserve">To the author’s knowledge, the evaluation of SBTEX estimation methods using KS, LUR, and data fusion techniques has not been performed previously. Lessons learned from RCV and LOOCV are significant for epidemiologists, who need to know how SBTEX estimation performance changes as a function of computational resource intensity. Furthermore, validation results may assist in epidemiological study design, such as identifying appropriate geographic areas for the inclusion of study participants with ambient SBTEX exposure estimates of sufficient confidence or otherwise accounting for differences in this confidence.  </w:t>
      </w:r>
    </w:p>
    <w:p w14:paraId="05401181" w14:textId="77777777" w:rsidR="006714FF" w:rsidRDefault="006714FF" w:rsidP="006714FF"/>
    <w:p w14:paraId="05EC2ED3" w14:textId="77777777" w:rsidR="006714FF" w:rsidRDefault="006714FF" w:rsidP="006714FF"/>
    <w:p w14:paraId="50CD0787" w14:textId="77777777" w:rsidR="006714FF" w:rsidRDefault="006714FF" w:rsidP="006714FF"/>
    <w:p w14:paraId="4C7C94FF" w14:textId="77777777" w:rsidR="00085EF0" w:rsidRPr="00173B59" w:rsidRDefault="00085EF0" w:rsidP="006714FF"/>
    <w:p w14:paraId="64A6ACB1" w14:textId="77777777" w:rsidR="006714FF" w:rsidRPr="00F06A8B" w:rsidRDefault="006714FF" w:rsidP="000658B0">
      <w:pPr>
        <w:pStyle w:val="TESupportingInformation"/>
        <w:spacing w:after="0"/>
      </w:pPr>
      <w:r w:rsidRPr="00F06A8B">
        <w:lastRenderedPageBreak/>
        <w:t>S16. References</w:t>
      </w:r>
    </w:p>
    <w:p w14:paraId="6E7E44C0" w14:textId="77777777" w:rsidR="000658B0" w:rsidRPr="000658B0" w:rsidRDefault="006714FF" w:rsidP="000658B0">
      <w:pPr>
        <w:pStyle w:val="Bibliography"/>
        <w:spacing w:line="480" w:lineRule="auto"/>
        <w:rPr>
          <w:rFonts w:cs="Times"/>
        </w:rPr>
      </w:pPr>
      <w:r w:rsidRPr="00F06A8B">
        <w:fldChar w:fldCharType="begin"/>
      </w:r>
      <w:r w:rsidR="000658B0">
        <w:instrText xml:space="preserve"> ADDIN ZOTERO_BIBL {"uncited":[],"omitted":[],"custom":[]} CSL_BIBLIOGRAPHY </w:instrText>
      </w:r>
      <w:r w:rsidRPr="00F06A8B">
        <w:fldChar w:fldCharType="separate"/>
      </w:r>
      <w:r w:rsidR="000658B0" w:rsidRPr="000658B0">
        <w:rPr>
          <w:rFonts w:cs="Times"/>
        </w:rPr>
        <w:t>(1)</w:t>
      </w:r>
      <w:r w:rsidR="000658B0" w:rsidRPr="000658B0">
        <w:rPr>
          <w:rFonts w:cs="Times"/>
        </w:rPr>
        <w:tab/>
        <w:t xml:space="preserve">Reyes, J. M.; Serre, M. L. An LUR/BME Framework to Estimate PM </w:t>
      </w:r>
      <w:r w:rsidR="000658B0" w:rsidRPr="000658B0">
        <w:rPr>
          <w:rFonts w:cs="Times"/>
          <w:vertAlign w:val="subscript"/>
        </w:rPr>
        <w:t>2.5</w:t>
      </w:r>
      <w:r w:rsidR="000658B0" w:rsidRPr="000658B0">
        <w:rPr>
          <w:rFonts w:cs="Times"/>
        </w:rPr>
        <w:t xml:space="preserve"> Explained by on Road Mobile and Stationary Sources. </w:t>
      </w:r>
      <w:r w:rsidR="000658B0" w:rsidRPr="000658B0">
        <w:rPr>
          <w:rFonts w:cs="Times"/>
          <w:i/>
          <w:iCs/>
        </w:rPr>
        <w:t>Environ. Sci. Technol.</w:t>
      </w:r>
      <w:r w:rsidR="000658B0" w:rsidRPr="000658B0">
        <w:rPr>
          <w:rFonts w:cs="Times"/>
        </w:rPr>
        <w:t xml:space="preserve"> </w:t>
      </w:r>
      <w:r w:rsidR="000658B0" w:rsidRPr="000658B0">
        <w:rPr>
          <w:rFonts w:cs="Times"/>
          <w:b/>
          <w:bCs/>
        </w:rPr>
        <w:t>2014</w:t>
      </w:r>
      <w:r w:rsidR="000658B0" w:rsidRPr="000658B0">
        <w:rPr>
          <w:rFonts w:cs="Times"/>
        </w:rPr>
        <w:t xml:space="preserve">, </w:t>
      </w:r>
      <w:r w:rsidR="000658B0" w:rsidRPr="000658B0">
        <w:rPr>
          <w:rFonts w:cs="Times"/>
          <w:i/>
          <w:iCs/>
        </w:rPr>
        <w:t>48</w:t>
      </w:r>
      <w:r w:rsidR="000658B0" w:rsidRPr="000658B0">
        <w:rPr>
          <w:rFonts w:cs="Times"/>
        </w:rPr>
        <w:t xml:space="preserve"> (3), 1736–1744. DOI: 10.1021/es4040528.</w:t>
      </w:r>
    </w:p>
    <w:p w14:paraId="7D2070CF" w14:textId="77777777" w:rsidR="000658B0" w:rsidRPr="000658B0" w:rsidRDefault="000658B0" w:rsidP="000658B0">
      <w:pPr>
        <w:pStyle w:val="Bibliography"/>
        <w:spacing w:line="480" w:lineRule="auto"/>
        <w:rPr>
          <w:rFonts w:cs="Times"/>
        </w:rPr>
      </w:pPr>
      <w:r w:rsidRPr="000658B0">
        <w:rPr>
          <w:rFonts w:cs="Times"/>
        </w:rPr>
        <w:t>(2)</w:t>
      </w:r>
      <w:r w:rsidRPr="000658B0">
        <w:rPr>
          <w:rFonts w:cs="Times"/>
        </w:rPr>
        <w:tab/>
        <w:t xml:space="preserve">Li, A. J.; Pal, V. K.; Kannan, </w:t>
      </w:r>
      <w:proofErr w:type="spellStart"/>
      <w:r w:rsidRPr="000658B0">
        <w:rPr>
          <w:rFonts w:cs="Times"/>
        </w:rPr>
        <w:t>Kurunthachalam</w:t>
      </w:r>
      <w:proofErr w:type="spellEnd"/>
      <w:r w:rsidRPr="000658B0">
        <w:rPr>
          <w:rFonts w:cs="Times"/>
        </w:rPr>
        <w:t xml:space="preserve">. A Review of Environmental Occurrence, Toxicity, Biotransformation and Biomonitoring of Volatile Organic Compounds. </w:t>
      </w:r>
      <w:r w:rsidRPr="000658B0">
        <w:rPr>
          <w:rFonts w:cs="Times"/>
          <w:i/>
          <w:iCs/>
        </w:rPr>
        <w:t>Environmental Chemistry and Ecotoxicology</w:t>
      </w:r>
      <w:r w:rsidRPr="000658B0">
        <w:rPr>
          <w:rFonts w:cs="Times"/>
        </w:rPr>
        <w:t xml:space="preserve"> </w:t>
      </w:r>
      <w:r w:rsidRPr="000658B0">
        <w:rPr>
          <w:rFonts w:cs="Times"/>
          <w:b/>
          <w:bCs/>
        </w:rPr>
        <w:t>2021</w:t>
      </w:r>
      <w:r w:rsidRPr="000658B0">
        <w:rPr>
          <w:rFonts w:cs="Times"/>
        </w:rPr>
        <w:t xml:space="preserve">, </w:t>
      </w:r>
      <w:r w:rsidRPr="000658B0">
        <w:rPr>
          <w:rFonts w:cs="Times"/>
          <w:i/>
          <w:iCs/>
        </w:rPr>
        <w:t>3</w:t>
      </w:r>
      <w:r w:rsidRPr="000658B0">
        <w:rPr>
          <w:rFonts w:cs="Times"/>
        </w:rPr>
        <w:t>, 91–116. DOI: 10.1016/j.enceco.2021.01.001.</w:t>
      </w:r>
    </w:p>
    <w:p w14:paraId="6094A72A" w14:textId="77777777" w:rsidR="000658B0" w:rsidRPr="000658B0" w:rsidRDefault="000658B0" w:rsidP="000658B0">
      <w:pPr>
        <w:pStyle w:val="Bibliography"/>
        <w:spacing w:line="480" w:lineRule="auto"/>
        <w:rPr>
          <w:rFonts w:cs="Times"/>
        </w:rPr>
      </w:pPr>
      <w:r w:rsidRPr="000658B0">
        <w:rPr>
          <w:rFonts w:cs="Times"/>
        </w:rPr>
        <w:t>(3)</w:t>
      </w:r>
      <w:r w:rsidRPr="000658B0">
        <w:rPr>
          <w:rFonts w:cs="Times"/>
        </w:rPr>
        <w:tab/>
        <w:t xml:space="preserve">Whitworth, K. W.; Symanski, E.; Lai, D.; Coker, A. L. Kriged and Modeled Ambient Air Levels of Benzene in an Urban Environment: An Exposure Assessment Study. </w:t>
      </w:r>
      <w:r w:rsidRPr="000658B0">
        <w:rPr>
          <w:rFonts w:cs="Times"/>
          <w:i/>
          <w:iCs/>
        </w:rPr>
        <w:t>Environ Health</w:t>
      </w:r>
      <w:r w:rsidRPr="000658B0">
        <w:rPr>
          <w:rFonts w:cs="Times"/>
        </w:rPr>
        <w:t xml:space="preserve"> </w:t>
      </w:r>
      <w:r w:rsidRPr="000658B0">
        <w:rPr>
          <w:rFonts w:cs="Times"/>
          <w:b/>
          <w:bCs/>
        </w:rPr>
        <w:t>2011</w:t>
      </w:r>
      <w:r w:rsidRPr="000658B0">
        <w:rPr>
          <w:rFonts w:cs="Times"/>
        </w:rPr>
        <w:t xml:space="preserve">, </w:t>
      </w:r>
      <w:r w:rsidRPr="000658B0">
        <w:rPr>
          <w:rFonts w:cs="Times"/>
          <w:i/>
          <w:iCs/>
        </w:rPr>
        <w:t>10</w:t>
      </w:r>
      <w:r w:rsidRPr="000658B0">
        <w:rPr>
          <w:rFonts w:cs="Times"/>
        </w:rPr>
        <w:t xml:space="preserve"> (1), 21. DOI: 10.1186/1476-069X-10-21.</w:t>
      </w:r>
    </w:p>
    <w:p w14:paraId="41DDDABD" w14:textId="77777777" w:rsidR="000658B0" w:rsidRPr="000658B0" w:rsidRDefault="000658B0" w:rsidP="000658B0">
      <w:pPr>
        <w:pStyle w:val="Bibliography"/>
        <w:spacing w:line="480" w:lineRule="auto"/>
        <w:rPr>
          <w:rFonts w:cs="Times"/>
        </w:rPr>
      </w:pPr>
      <w:r w:rsidRPr="000658B0">
        <w:rPr>
          <w:rFonts w:cs="Times"/>
        </w:rPr>
        <w:t>(4)</w:t>
      </w:r>
      <w:r w:rsidRPr="000658B0">
        <w:rPr>
          <w:rFonts w:cs="Times"/>
        </w:rPr>
        <w:tab/>
        <w:t xml:space="preserve">Mukerjee, S.; Smith, L. A.; </w:t>
      </w:r>
      <w:proofErr w:type="spellStart"/>
      <w:r w:rsidRPr="000658B0">
        <w:rPr>
          <w:rFonts w:cs="Times"/>
        </w:rPr>
        <w:t>Thoma</w:t>
      </w:r>
      <w:proofErr w:type="spellEnd"/>
      <w:r w:rsidRPr="000658B0">
        <w:rPr>
          <w:rFonts w:cs="Times"/>
        </w:rPr>
        <w:t xml:space="preserve">, E. D.; Whitaker, D. A.; Oliver, K. D.; Duvall, R.; </w:t>
      </w:r>
      <w:proofErr w:type="spellStart"/>
      <w:r w:rsidRPr="000658B0">
        <w:rPr>
          <w:rFonts w:cs="Times"/>
        </w:rPr>
        <w:t>Cousett</w:t>
      </w:r>
      <w:proofErr w:type="spellEnd"/>
      <w:r w:rsidRPr="000658B0">
        <w:rPr>
          <w:rFonts w:cs="Times"/>
        </w:rPr>
        <w:t xml:space="preserve">, T. A. Spatial Analysis of Volatile Organic Compounds Using Passive Samplers in the </w:t>
      </w:r>
      <w:proofErr w:type="spellStart"/>
      <w:r w:rsidRPr="000658B0">
        <w:rPr>
          <w:rFonts w:cs="Times"/>
        </w:rPr>
        <w:t>Rubbertown</w:t>
      </w:r>
      <w:proofErr w:type="spellEnd"/>
      <w:r w:rsidRPr="000658B0">
        <w:rPr>
          <w:rFonts w:cs="Times"/>
        </w:rPr>
        <w:t xml:space="preserve"> Industrial Area of Louisville, Kentucky, USA. </w:t>
      </w:r>
      <w:r w:rsidRPr="000658B0">
        <w:rPr>
          <w:rFonts w:cs="Times"/>
          <w:i/>
          <w:iCs/>
        </w:rPr>
        <w:t>Atmospheric Pollution Research</w:t>
      </w:r>
      <w:r w:rsidRPr="000658B0">
        <w:rPr>
          <w:rFonts w:cs="Times"/>
        </w:rPr>
        <w:t xml:space="preserve"> </w:t>
      </w:r>
      <w:r w:rsidRPr="000658B0">
        <w:rPr>
          <w:rFonts w:cs="Times"/>
          <w:b/>
          <w:bCs/>
        </w:rPr>
        <w:t>2020</w:t>
      </w:r>
      <w:r w:rsidRPr="000658B0">
        <w:rPr>
          <w:rFonts w:cs="Times"/>
        </w:rPr>
        <w:t xml:space="preserve">, </w:t>
      </w:r>
      <w:r w:rsidRPr="000658B0">
        <w:rPr>
          <w:rFonts w:cs="Times"/>
          <w:i/>
          <w:iCs/>
        </w:rPr>
        <w:t>11</w:t>
      </w:r>
      <w:r w:rsidRPr="000658B0">
        <w:rPr>
          <w:rFonts w:cs="Times"/>
        </w:rPr>
        <w:t xml:space="preserve"> (6), 81–86. DOI: 10.1016/j.apr.2020.02.021.</w:t>
      </w:r>
    </w:p>
    <w:p w14:paraId="771D4E63" w14:textId="77777777" w:rsidR="000658B0" w:rsidRPr="000658B0" w:rsidRDefault="000658B0" w:rsidP="000658B0">
      <w:pPr>
        <w:pStyle w:val="Bibliography"/>
        <w:spacing w:line="480" w:lineRule="auto"/>
        <w:rPr>
          <w:rFonts w:cs="Times"/>
        </w:rPr>
      </w:pPr>
      <w:r w:rsidRPr="000658B0">
        <w:rPr>
          <w:rFonts w:cs="Times"/>
        </w:rPr>
        <w:t>(5)</w:t>
      </w:r>
      <w:r w:rsidRPr="000658B0">
        <w:rPr>
          <w:rFonts w:cs="Times"/>
        </w:rPr>
        <w:tab/>
        <w:t xml:space="preserve">Tecer, L. H.; Tagil, S.; Ulukaya, O.; </w:t>
      </w:r>
      <w:proofErr w:type="spellStart"/>
      <w:r w:rsidRPr="000658B0">
        <w:rPr>
          <w:rFonts w:cs="Times"/>
        </w:rPr>
        <w:t>Ficici</w:t>
      </w:r>
      <w:proofErr w:type="spellEnd"/>
      <w:r w:rsidRPr="000658B0">
        <w:rPr>
          <w:rFonts w:cs="Times"/>
        </w:rPr>
        <w:t xml:space="preserve">, M. Spatial Distribution of BTEX and Inorganic Pollutants During Summer Season in Yalova, Turkey. </w:t>
      </w:r>
      <w:r w:rsidRPr="000658B0">
        <w:rPr>
          <w:rFonts w:cs="Times"/>
          <w:i/>
          <w:iCs/>
        </w:rPr>
        <w:t>Ecological Chemistry and Engineering S</w:t>
      </w:r>
      <w:r w:rsidRPr="000658B0">
        <w:rPr>
          <w:rFonts w:cs="Times"/>
        </w:rPr>
        <w:t xml:space="preserve"> </w:t>
      </w:r>
      <w:r w:rsidRPr="000658B0">
        <w:rPr>
          <w:rFonts w:cs="Times"/>
          <w:b/>
          <w:bCs/>
        </w:rPr>
        <w:t>2017</w:t>
      </w:r>
      <w:r w:rsidRPr="000658B0">
        <w:rPr>
          <w:rFonts w:cs="Times"/>
        </w:rPr>
        <w:t xml:space="preserve">, </w:t>
      </w:r>
      <w:r w:rsidRPr="000658B0">
        <w:rPr>
          <w:rFonts w:cs="Times"/>
          <w:i/>
          <w:iCs/>
        </w:rPr>
        <w:t>24</w:t>
      </w:r>
      <w:r w:rsidRPr="000658B0">
        <w:rPr>
          <w:rFonts w:cs="Times"/>
        </w:rPr>
        <w:t xml:space="preserve"> (4), 565–581. DOI: 10.1515/eces-2017-0037.</w:t>
      </w:r>
    </w:p>
    <w:p w14:paraId="3A5521FA" w14:textId="77777777" w:rsidR="000658B0" w:rsidRPr="000658B0" w:rsidRDefault="000658B0" w:rsidP="000658B0">
      <w:pPr>
        <w:pStyle w:val="Bibliography"/>
        <w:spacing w:line="480" w:lineRule="auto"/>
        <w:rPr>
          <w:rFonts w:cs="Times"/>
        </w:rPr>
      </w:pPr>
      <w:r w:rsidRPr="000658B0">
        <w:rPr>
          <w:rFonts w:cs="Times"/>
        </w:rPr>
        <w:t>(6)</w:t>
      </w:r>
      <w:r w:rsidRPr="000658B0">
        <w:rPr>
          <w:rFonts w:cs="Times"/>
        </w:rPr>
        <w:tab/>
        <w:t xml:space="preserve">Miller, L.; Lemke, L. D.; Xu, X.; </w:t>
      </w:r>
      <w:proofErr w:type="spellStart"/>
      <w:r w:rsidRPr="000658B0">
        <w:rPr>
          <w:rFonts w:cs="Times"/>
        </w:rPr>
        <w:t>Molaroni</w:t>
      </w:r>
      <w:proofErr w:type="spellEnd"/>
      <w:r w:rsidRPr="000658B0">
        <w:rPr>
          <w:rFonts w:cs="Times"/>
        </w:rPr>
        <w:t xml:space="preserve">, S. M.; You, H.; Wheeler, A. J.; Booza, J.; </w:t>
      </w:r>
      <w:proofErr w:type="spellStart"/>
      <w:r w:rsidRPr="000658B0">
        <w:rPr>
          <w:rFonts w:cs="Times"/>
        </w:rPr>
        <w:t>Grgicak</w:t>
      </w:r>
      <w:proofErr w:type="spellEnd"/>
      <w:r w:rsidRPr="000658B0">
        <w:rPr>
          <w:rFonts w:cs="Times"/>
        </w:rPr>
        <w:t xml:space="preserve">-Mannion, A.; </w:t>
      </w:r>
      <w:proofErr w:type="spellStart"/>
      <w:r w:rsidRPr="000658B0">
        <w:rPr>
          <w:rFonts w:cs="Times"/>
        </w:rPr>
        <w:t>Krajenta</w:t>
      </w:r>
      <w:proofErr w:type="spellEnd"/>
      <w:r w:rsidRPr="000658B0">
        <w:rPr>
          <w:rFonts w:cs="Times"/>
        </w:rPr>
        <w:t xml:space="preserve">, R.; Graniero, P. Intra-Urban Correlation and Spatial Variability of Air Toxics across an International Airshed in Detroit, Michigan (USA) and Windsor, Ontario (Canada). </w:t>
      </w:r>
      <w:r w:rsidRPr="000658B0">
        <w:rPr>
          <w:rFonts w:cs="Times"/>
          <w:i/>
          <w:iCs/>
        </w:rPr>
        <w:t>Atmospheric Environment</w:t>
      </w:r>
      <w:r w:rsidRPr="000658B0">
        <w:rPr>
          <w:rFonts w:cs="Times"/>
        </w:rPr>
        <w:t xml:space="preserve"> </w:t>
      </w:r>
      <w:r w:rsidRPr="000658B0">
        <w:rPr>
          <w:rFonts w:cs="Times"/>
          <w:b/>
          <w:bCs/>
        </w:rPr>
        <w:t>2010</w:t>
      </w:r>
      <w:r w:rsidRPr="000658B0">
        <w:rPr>
          <w:rFonts w:cs="Times"/>
        </w:rPr>
        <w:t xml:space="preserve">, </w:t>
      </w:r>
      <w:r w:rsidRPr="000658B0">
        <w:rPr>
          <w:rFonts w:cs="Times"/>
          <w:i/>
          <w:iCs/>
        </w:rPr>
        <w:t>44</w:t>
      </w:r>
      <w:r w:rsidRPr="000658B0">
        <w:rPr>
          <w:rFonts w:cs="Times"/>
        </w:rPr>
        <w:t xml:space="preserve"> (9), 1162–1174. DOI: 10.1016/j.atmosenv.2009.12.030.</w:t>
      </w:r>
    </w:p>
    <w:p w14:paraId="6F0550F4" w14:textId="77777777" w:rsidR="000658B0" w:rsidRPr="000658B0" w:rsidRDefault="000658B0" w:rsidP="000658B0">
      <w:pPr>
        <w:pStyle w:val="Bibliography"/>
        <w:spacing w:line="480" w:lineRule="auto"/>
        <w:rPr>
          <w:rFonts w:cs="Times"/>
        </w:rPr>
      </w:pPr>
      <w:r w:rsidRPr="000658B0">
        <w:rPr>
          <w:rFonts w:cs="Times"/>
        </w:rPr>
        <w:lastRenderedPageBreak/>
        <w:t>(7)</w:t>
      </w:r>
      <w:r w:rsidRPr="000658B0">
        <w:rPr>
          <w:rFonts w:cs="Times"/>
        </w:rPr>
        <w:tab/>
        <w:t xml:space="preserve">Hsu, C.-Y.; Zeng, Y.-T.; Chen, Y.-C.; Chen, M.-J.; Lung, S.-C. C.; Wu, C.-D. Kriging-Based Land-Use Regression Models That Use Machine Learning Algorithms to Estimate the Monthly BTEX Concentration. </w:t>
      </w:r>
      <w:r w:rsidRPr="000658B0">
        <w:rPr>
          <w:rFonts w:cs="Times"/>
          <w:i/>
          <w:iCs/>
        </w:rPr>
        <w:t>International Journal of Environmental Research and Public Health</w:t>
      </w:r>
      <w:r w:rsidRPr="000658B0">
        <w:rPr>
          <w:rFonts w:cs="Times"/>
        </w:rPr>
        <w:t xml:space="preserve"> </w:t>
      </w:r>
      <w:r w:rsidRPr="000658B0">
        <w:rPr>
          <w:rFonts w:cs="Times"/>
          <w:b/>
          <w:bCs/>
        </w:rPr>
        <w:t>2020</w:t>
      </w:r>
      <w:r w:rsidRPr="000658B0">
        <w:rPr>
          <w:rFonts w:cs="Times"/>
        </w:rPr>
        <w:t xml:space="preserve">, </w:t>
      </w:r>
      <w:r w:rsidRPr="000658B0">
        <w:rPr>
          <w:rFonts w:cs="Times"/>
          <w:i/>
          <w:iCs/>
        </w:rPr>
        <w:t>17</w:t>
      </w:r>
      <w:r w:rsidRPr="000658B0">
        <w:rPr>
          <w:rFonts w:cs="Times"/>
        </w:rPr>
        <w:t xml:space="preserve"> (19), 6956. DOI: 10.3390/ijerph17196956.</w:t>
      </w:r>
    </w:p>
    <w:p w14:paraId="39FF9860" w14:textId="77777777" w:rsidR="000658B0" w:rsidRPr="000658B0" w:rsidRDefault="000658B0" w:rsidP="000658B0">
      <w:pPr>
        <w:pStyle w:val="Bibliography"/>
        <w:spacing w:line="480" w:lineRule="auto"/>
        <w:rPr>
          <w:rFonts w:cs="Times"/>
        </w:rPr>
      </w:pPr>
      <w:r w:rsidRPr="000658B0">
        <w:rPr>
          <w:rFonts w:cs="Times"/>
        </w:rPr>
        <w:t>(8)</w:t>
      </w:r>
      <w:r w:rsidRPr="000658B0">
        <w:rPr>
          <w:rFonts w:cs="Times"/>
        </w:rPr>
        <w:tab/>
        <w:t xml:space="preserve">Wheeler, A. J.; Smith-Doiron, M.; Xu, X.; Gilbert, N. L.; Brook, J. R. Intra-Urban Variability of Air Pollution in Windsor, Ontario—Measurement and Modeling for Human Exposure Assessment. </w:t>
      </w:r>
      <w:r w:rsidRPr="000658B0">
        <w:rPr>
          <w:rFonts w:cs="Times"/>
          <w:i/>
          <w:iCs/>
        </w:rPr>
        <w:t>Environmental Research</w:t>
      </w:r>
      <w:r w:rsidRPr="000658B0">
        <w:rPr>
          <w:rFonts w:cs="Times"/>
        </w:rPr>
        <w:t xml:space="preserve"> </w:t>
      </w:r>
      <w:r w:rsidRPr="000658B0">
        <w:rPr>
          <w:rFonts w:cs="Times"/>
          <w:b/>
          <w:bCs/>
        </w:rPr>
        <w:t>2008</w:t>
      </w:r>
      <w:r w:rsidRPr="000658B0">
        <w:rPr>
          <w:rFonts w:cs="Times"/>
        </w:rPr>
        <w:t xml:space="preserve">, </w:t>
      </w:r>
      <w:r w:rsidRPr="000658B0">
        <w:rPr>
          <w:rFonts w:cs="Times"/>
          <w:i/>
          <w:iCs/>
        </w:rPr>
        <w:t>106</w:t>
      </w:r>
      <w:r w:rsidRPr="000658B0">
        <w:rPr>
          <w:rFonts w:cs="Times"/>
        </w:rPr>
        <w:t xml:space="preserve"> (1), 7–16. DOI: 10.1016/j.envres.2007.09.004.</w:t>
      </w:r>
    </w:p>
    <w:p w14:paraId="1D857EE8" w14:textId="77777777" w:rsidR="000658B0" w:rsidRPr="000658B0" w:rsidRDefault="000658B0" w:rsidP="000658B0">
      <w:pPr>
        <w:pStyle w:val="Bibliography"/>
        <w:spacing w:line="480" w:lineRule="auto"/>
        <w:rPr>
          <w:rFonts w:cs="Times"/>
        </w:rPr>
      </w:pPr>
      <w:r w:rsidRPr="000658B0">
        <w:rPr>
          <w:rFonts w:cs="Times"/>
        </w:rPr>
        <w:t>(9)</w:t>
      </w:r>
      <w:r w:rsidRPr="000658B0">
        <w:rPr>
          <w:rFonts w:cs="Times"/>
        </w:rPr>
        <w:tab/>
        <w:t xml:space="preserve">Mukerjee, S.; Smith, L.; Neas, L.; Norris, G. Evaluation of Land Use Regression Models for Nitrogen Dioxide and Benzene in Four US Cities. </w:t>
      </w:r>
      <w:r w:rsidRPr="000658B0">
        <w:rPr>
          <w:rFonts w:cs="Times"/>
          <w:i/>
          <w:iCs/>
        </w:rPr>
        <w:t>The Scientific World Journal</w:t>
      </w:r>
      <w:r w:rsidRPr="000658B0">
        <w:rPr>
          <w:rFonts w:cs="Times"/>
        </w:rPr>
        <w:t xml:space="preserve"> </w:t>
      </w:r>
      <w:r w:rsidRPr="000658B0">
        <w:rPr>
          <w:rFonts w:cs="Times"/>
          <w:b/>
          <w:bCs/>
        </w:rPr>
        <w:t>2012</w:t>
      </w:r>
      <w:r w:rsidRPr="000658B0">
        <w:rPr>
          <w:rFonts w:cs="Times"/>
        </w:rPr>
        <w:t xml:space="preserve">, </w:t>
      </w:r>
      <w:r w:rsidRPr="000658B0">
        <w:rPr>
          <w:rFonts w:cs="Times"/>
          <w:i/>
          <w:iCs/>
        </w:rPr>
        <w:t>2012</w:t>
      </w:r>
      <w:r w:rsidRPr="000658B0">
        <w:rPr>
          <w:rFonts w:cs="Times"/>
        </w:rPr>
        <w:t>, 1–8. DOI: 10.1100/2012/865150.</w:t>
      </w:r>
    </w:p>
    <w:p w14:paraId="25625091" w14:textId="77777777" w:rsidR="000658B0" w:rsidRPr="000658B0" w:rsidRDefault="000658B0" w:rsidP="000658B0">
      <w:pPr>
        <w:pStyle w:val="Bibliography"/>
        <w:spacing w:line="480" w:lineRule="auto"/>
        <w:rPr>
          <w:rFonts w:cs="Times"/>
        </w:rPr>
      </w:pPr>
      <w:r w:rsidRPr="000658B0">
        <w:rPr>
          <w:rFonts w:cs="Times"/>
        </w:rPr>
        <w:t>(10)</w:t>
      </w:r>
      <w:r w:rsidRPr="000658B0">
        <w:rPr>
          <w:rFonts w:cs="Times"/>
        </w:rPr>
        <w:tab/>
        <w:t xml:space="preserve">Mohammadi, A.; </w:t>
      </w:r>
      <w:proofErr w:type="spellStart"/>
      <w:r w:rsidRPr="000658B0">
        <w:rPr>
          <w:rFonts w:cs="Times"/>
        </w:rPr>
        <w:t>Ghassoun</w:t>
      </w:r>
      <w:proofErr w:type="spellEnd"/>
      <w:r w:rsidRPr="000658B0">
        <w:rPr>
          <w:rFonts w:cs="Times"/>
        </w:rPr>
        <w:t xml:space="preserve">, Y.; </w:t>
      </w:r>
      <w:proofErr w:type="spellStart"/>
      <w:r w:rsidRPr="000658B0">
        <w:rPr>
          <w:rFonts w:cs="Times"/>
        </w:rPr>
        <w:t>Löwner</w:t>
      </w:r>
      <w:proofErr w:type="spellEnd"/>
      <w:r w:rsidRPr="000658B0">
        <w:rPr>
          <w:rFonts w:cs="Times"/>
        </w:rPr>
        <w:t xml:space="preserve">, M.-O.; Behmanesh, M.; Faraji, M.; Nemati, S.; </w:t>
      </w:r>
      <w:proofErr w:type="spellStart"/>
      <w:r w:rsidRPr="000658B0">
        <w:rPr>
          <w:rFonts w:cs="Times"/>
        </w:rPr>
        <w:t>Toolabi</w:t>
      </w:r>
      <w:proofErr w:type="spellEnd"/>
      <w:r w:rsidRPr="000658B0">
        <w:rPr>
          <w:rFonts w:cs="Times"/>
        </w:rPr>
        <w:t xml:space="preserve">, A.; </w:t>
      </w:r>
      <w:proofErr w:type="spellStart"/>
      <w:r w:rsidRPr="000658B0">
        <w:rPr>
          <w:rFonts w:cs="Times"/>
        </w:rPr>
        <w:t>Abdolahnejad</w:t>
      </w:r>
      <w:proofErr w:type="spellEnd"/>
      <w:r w:rsidRPr="000658B0">
        <w:rPr>
          <w:rFonts w:cs="Times"/>
        </w:rPr>
        <w:t xml:space="preserve">, A.; Panahi, H.; Heydari, H.; Miri, M. Spatial Analysis and Risk Assessment of Urban BTEX Compounds in Urmia, Iran. </w:t>
      </w:r>
      <w:r w:rsidRPr="000658B0">
        <w:rPr>
          <w:rFonts w:cs="Times"/>
          <w:i/>
          <w:iCs/>
        </w:rPr>
        <w:t>Chemosphere</w:t>
      </w:r>
      <w:r w:rsidRPr="000658B0">
        <w:rPr>
          <w:rFonts w:cs="Times"/>
        </w:rPr>
        <w:t xml:space="preserve"> </w:t>
      </w:r>
      <w:r w:rsidRPr="000658B0">
        <w:rPr>
          <w:rFonts w:cs="Times"/>
          <w:b/>
          <w:bCs/>
        </w:rPr>
        <w:t>2020</w:t>
      </w:r>
      <w:r w:rsidRPr="000658B0">
        <w:rPr>
          <w:rFonts w:cs="Times"/>
        </w:rPr>
        <w:t xml:space="preserve">, </w:t>
      </w:r>
      <w:r w:rsidRPr="000658B0">
        <w:rPr>
          <w:rFonts w:cs="Times"/>
          <w:i/>
          <w:iCs/>
        </w:rPr>
        <w:t>246</w:t>
      </w:r>
      <w:r w:rsidRPr="000658B0">
        <w:rPr>
          <w:rFonts w:cs="Times"/>
        </w:rPr>
        <w:t>, 125769. DOI: 10.1016/j.chemosphere.2019.125769.</w:t>
      </w:r>
    </w:p>
    <w:p w14:paraId="47B98CB0" w14:textId="77777777" w:rsidR="000658B0" w:rsidRPr="000658B0" w:rsidRDefault="000658B0" w:rsidP="000658B0">
      <w:pPr>
        <w:pStyle w:val="Bibliography"/>
        <w:spacing w:line="480" w:lineRule="auto"/>
        <w:rPr>
          <w:rFonts w:cs="Times"/>
        </w:rPr>
      </w:pPr>
      <w:r w:rsidRPr="000658B0">
        <w:rPr>
          <w:rFonts w:cs="Times"/>
        </w:rPr>
        <w:t>(11)</w:t>
      </w:r>
      <w:r w:rsidRPr="000658B0">
        <w:rPr>
          <w:rFonts w:cs="Times"/>
        </w:rPr>
        <w:tab/>
        <w:t xml:space="preserve">Su, J. G.; Jerrett, M.; Beckerman, B.; Verma, D.; Arain, M. A.; </w:t>
      </w:r>
      <w:proofErr w:type="spellStart"/>
      <w:r w:rsidRPr="000658B0">
        <w:rPr>
          <w:rFonts w:cs="Times"/>
        </w:rPr>
        <w:t>Kanaroglou</w:t>
      </w:r>
      <w:proofErr w:type="spellEnd"/>
      <w:r w:rsidRPr="000658B0">
        <w:rPr>
          <w:rFonts w:cs="Times"/>
        </w:rPr>
        <w:t xml:space="preserve">, P.; Stieb, D.; Finkelstein, M.; Brook, J. A Land Use Regression Model for Predicting Ambient Volatile Organic Compound Concentrations in Toronto, Canada. </w:t>
      </w:r>
      <w:r w:rsidRPr="000658B0">
        <w:rPr>
          <w:rFonts w:cs="Times"/>
          <w:i/>
          <w:iCs/>
        </w:rPr>
        <w:t>Atmospheric Environment</w:t>
      </w:r>
      <w:r w:rsidRPr="000658B0">
        <w:rPr>
          <w:rFonts w:cs="Times"/>
        </w:rPr>
        <w:t xml:space="preserve"> </w:t>
      </w:r>
      <w:r w:rsidRPr="000658B0">
        <w:rPr>
          <w:rFonts w:cs="Times"/>
          <w:b/>
          <w:bCs/>
        </w:rPr>
        <w:t>2010</w:t>
      </w:r>
      <w:r w:rsidRPr="000658B0">
        <w:rPr>
          <w:rFonts w:cs="Times"/>
        </w:rPr>
        <w:t xml:space="preserve">, </w:t>
      </w:r>
      <w:r w:rsidRPr="000658B0">
        <w:rPr>
          <w:rFonts w:cs="Times"/>
          <w:i/>
          <w:iCs/>
        </w:rPr>
        <w:t>44</w:t>
      </w:r>
      <w:r w:rsidRPr="000658B0">
        <w:rPr>
          <w:rFonts w:cs="Times"/>
        </w:rPr>
        <w:t xml:space="preserve"> (29), 3529–3537. DOI: 10.1016/j.atmosenv.2010.06.015.</w:t>
      </w:r>
    </w:p>
    <w:p w14:paraId="345716C0" w14:textId="77777777" w:rsidR="000658B0" w:rsidRPr="000658B0" w:rsidRDefault="000658B0" w:rsidP="000658B0">
      <w:pPr>
        <w:pStyle w:val="Bibliography"/>
        <w:spacing w:line="480" w:lineRule="auto"/>
        <w:rPr>
          <w:rFonts w:cs="Times"/>
        </w:rPr>
      </w:pPr>
      <w:r w:rsidRPr="000658B0">
        <w:rPr>
          <w:rFonts w:cs="Times"/>
        </w:rPr>
        <w:t>(12)</w:t>
      </w:r>
      <w:r w:rsidRPr="000658B0">
        <w:rPr>
          <w:rFonts w:cs="Times"/>
        </w:rPr>
        <w:tab/>
        <w:t xml:space="preserve">Smith, L. A.; Mukerjee, S.; Chung, K. C.; Afghani, J. Spatial Analysis and Land Use Regression of VOCs and NO2 in Dallas, Texas during Two Seasons. </w:t>
      </w:r>
      <w:r w:rsidRPr="000658B0">
        <w:rPr>
          <w:rFonts w:cs="Times"/>
          <w:i/>
          <w:iCs/>
        </w:rPr>
        <w:t>J. Environ. Monit.</w:t>
      </w:r>
      <w:r w:rsidRPr="000658B0">
        <w:rPr>
          <w:rFonts w:cs="Times"/>
        </w:rPr>
        <w:t xml:space="preserve"> </w:t>
      </w:r>
      <w:r w:rsidRPr="000658B0">
        <w:rPr>
          <w:rFonts w:cs="Times"/>
          <w:b/>
          <w:bCs/>
        </w:rPr>
        <w:t>2011</w:t>
      </w:r>
      <w:r w:rsidRPr="000658B0">
        <w:rPr>
          <w:rFonts w:cs="Times"/>
        </w:rPr>
        <w:t xml:space="preserve">, </w:t>
      </w:r>
      <w:r w:rsidRPr="000658B0">
        <w:rPr>
          <w:rFonts w:cs="Times"/>
          <w:i/>
          <w:iCs/>
        </w:rPr>
        <w:t>13</w:t>
      </w:r>
      <w:r w:rsidRPr="000658B0">
        <w:rPr>
          <w:rFonts w:cs="Times"/>
        </w:rPr>
        <w:t xml:space="preserve"> (4), 999. DOI: 10.1039/c0em00724b.</w:t>
      </w:r>
    </w:p>
    <w:p w14:paraId="0C10A349" w14:textId="77777777" w:rsidR="000658B0" w:rsidRPr="000658B0" w:rsidRDefault="000658B0" w:rsidP="000658B0">
      <w:pPr>
        <w:pStyle w:val="Bibliography"/>
        <w:spacing w:line="480" w:lineRule="auto"/>
        <w:rPr>
          <w:rFonts w:cs="Times"/>
        </w:rPr>
      </w:pPr>
      <w:r w:rsidRPr="000658B0">
        <w:rPr>
          <w:rFonts w:cs="Times"/>
        </w:rPr>
        <w:lastRenderedPageBreak/>
        <w:t>(13)</w:t>
      </w:r>
      <w:r w:rsidRPr="000658B0">
        <w:rPr>
          <w:rFonts w:cs="Times"/>
        </w:rPr>
        <w:tab/>
        <w:t xml:space="preserve">Arain, M. A.; Blair, R.; Finkelstein, N.; Brook, J. R.; </w:t>
      </w:r>
      <w:proofErr w:type="spellStart"/>
      <w:r w:rsidRPr="000658B0">
        <w:rPr>
          <w:rFonts w:cs="Times"/>
        </w:rPr>
        <w:t>Sahsuvaroglu</w:t>
      </w:r>
      <w:proofErr w:type="spellEnd"/>
      <w:r w:rsidRPr="000658B0">
        <w:rPr>
          <w:rFonts w:cs="Times"/>
        </w:rPr>
        <w:t xml:space="preserve">, T.; Beckerman, B.; Zhang, L.; Jerrett, M. The Use of Wind Fields in a Land Use Regression Model to Predict Air Pollution Concentrations for Health Exposure Studies. </w:t>
      </w:r>
      <w:r w:rsidRPr="000658B0">
        <w:rPr>
          <w:rFonts w:cs="Times"/>
          <w:i/>
          <w:iCs/>
        </w:rPr>
        <w:t>Atmospheric Environment</w:t>
      </w:r>
      <w:r w:rsidRPr="000658B0">
        <w:rPr>
          <w:rFonts w:cs="Times"/>
        </w:rPr>
        <w:t xml:space="preserve"> </w:t>
      </w:r>
      <w:r w:rsidRPr="000658B0">
        <w:rPr>
          <w:rFonts w:cs="Times"/>
          <w:b/>
          <w:bCs/>
        </w:rPr>
        <w:t>2007</w:t>
      </w:r>
      <w:r w:rsidRPr="000658B0">
        <w:rPr>
          <w:rFonts w:cs="Times"/>
        </w:rPr>
        <w:t xml:space="preserve">, </w:t>
      </w:r>
      <w:r w:rsidRPr="000658B0">
        <w:rPr>
          <w:rFonts w:cs="Times"/>
          <w:i/>
          <w:iCs/>
        </w:rPr>
        <w:t>41</w:t>
      </w:r>
      <w:r w:rsidRPr="000658B0">
        <w:rPr>
          <w:rFonts w:cs="Times"/>
        </w:rPr>
        <w:t xml:space="preserve"> (16), 3453–3464. DOI: 10.1016/j.atmosenv.2006.11.063.</w:t>
      </w:r>
    </w:p>
    <w:p w14:paraId="7554F1B2" w14:textId="77777777" w:rsidR="000658B0" w:rsidRPr="000658B0" w:rsidRDefault="000658B0" w:rsidP="000658B0">
      <w:pPr>
        <w:pStyle w:val="Bibliography"/>
        <w:spacing w:line="480" w:lineRule="auto"/>
        <w:rPr>
          <w:rFonts w:cs="Times"/>
        </w:rPr>
      </w:pPr>
      <w:r w:rsidRPr="000658B0">
        <w:rPr>
          <w:rFonts w:cs="Times"/>
        </w:rPr>
        <w:t>(14)</w:t>
      </w:r>
      <w:r w:rsidRPr="000658B0">
        <w:rPr>
          <w:rFonts w:cs="Times"/>
        </w:rPr>
        <w:tab/>
        <w:t xml:space="preserve">Kwon, J.; Weisel, C. P.; Morandi, M. T.; Stock, T. H. Source Proximity and Meteorological Effects on Residential Outdoor VOCs in Urban Areas: Results from the Houston and Los Angeles RIOPA Studies. </w:t>
      </w:r>
      <w:r w:rsidRPr="000658B0">
        <w:rPr>
          <w:rFonts w:cs="Times"/>
          <w:i/>
          <w:iCs/>
        </w:rPr>
        <w:t>Science of The Total Environment</w:t>
      </w:r>
      <w:r w:rsidRPr="000658B0">
        <w:rPr>
          <w:rFonts w:cs="Times"/>
        </w:rPr>
        <w:t xml:space="preserve"> </w:t>
      </w:r>
      <w:r w:rsidRPr="000658B0">
        <w:rPr>
          <w:rFonts w:cs="Times"/>
          <w:b/>
          <w:bCs/>
        </w:rPr>
        <w:t>2016</w:t>
      </w:r>
      <w:r w:rsidRPr="000658B0">
        <w:rPr>
          <w:rFonts w:cs="Times"/>
        </w:rPr>
        <w:t xml:space="preserve">, </w:t>
      </w:r>
      <w:r w:rsidRPr="000658B0">
        <w:rPr>
          <w:rFonts w:cs="Times"/>
          <w:i/>
          <w:iCs/>
        </w:rPr>
        <w:t>573</w:t>
      </w:r>
      <w:r w:rsidRPr="000658B0">
        <w:rPr>
          <w:rFonts w:cs="Times"/>
        </w:rPr>
        <w:t>, 954–964. DOI: 10.1016/j.scitotenv.2016.08.186.</w:t>
      </w:r>
    </w:p>
    <w:p w14:paraId="56C9331F" w14:textId="77777777" w:rsidR="000658B0" w:rsidRPr="000658B0" w:rsidRDefault="000658B0" w:rsidP="000658B0">
      <w:pPr>
        <w:pStyle w:val="Bibliography"/>
        <w:spacing w:line="480" w:lineRule="auto"/>
        <w:rPr>
          <w:rFonts w:cs="Times"/>
        </w:rPr>
      </w:pPr>
      <w:r w:rsidRPr="000658B0">
        <w:rPr>
          <w:rFonts w:cs="Times"/>
        </w:rPr>
        <w:t>(15)</w:t>
      </w:r>
      <w:r w:rsidRPr="000658B0">
        <w:rPr>
          <w:rFonts w:cs="Times"/>
        </w:rPr>
        <w:tab/>
        <w:t xml:space="preserve">Azmi, W. N. F. W.; Pillai, T. R.; Latif, M. T.; Koshy, S.; </w:t>
      </w:r>
      <w:proofErr w:type="spellStart"/>
      <w:r w:rsidRPr="000658B0">
        <w:rPr>
          <w:rFonts w:cs="Times"/>
        </w:rPr>
        <w:t>Shaharudin</w:t>
      </w:r>
      <w:proofErr w:type="spellEnd"/>
      <w:r w:rsidRPr="000658B0">
        <w:rPr>
          <w:rFonts w:cs="Times"/>
        </w:rPr>
        <w:t xml:space="preserve">, R. Application of Land Use Regression Model to Assess Outdoor Air Pollution Exposure: A Review. </w:t>
      </w:r>
      <w:r w:rsidRPr="000658B0">
        <w:rPr>
          <w:rFonts w:cs="Times"/>
          <w:i/>
          <w:iCs/>
        </w:rPr>
        <w:t>Environmental Advances</w:t>
      </w:r>
      <w:r w:rsidRPr="000658B0">
        <w:rPr>
          <w:rFonts w:cs="Times"/>
        </w:rPr>
        <w:t xml:space="preserve"> </w:t>
      </w:r>
      <w:r w:rsidRPr="000658B0">
        <w:rPr>
          <w:rFonts w:cs="Times"/>
          <w:b/>
          <w:bCs/>
        </w:rPr>
        <w:t>2023</w:t>
      </w:r>
      <w:r w:rsidRPr="000658B0">
        <w:rPr>
          <w:rFonts w:cs="Times"/>
        </w:rPr>
        <w:t xml:space="preserve">, </w:t>
      </w:r>
      <w:r w:rsidRPr="000658B0">
        <w:rPr>
          <w:rFonts w:cs="Times"/>
          <w:i/>
          <w:iCs/>
        </w:rPr>
        <w:t>11</w:t>
      </w:r>
      <w:r w:rsidRPr="000658B0">
        <w:rPr>
          <w:rFonts w:cs="Times"/>
        </w:rPr>
        <w:t>, 100353. DOI: 10.1016/j.envadv.2023.100353.</w:t>
      </w:r>
    </w:p>
    <w:p w14:paraId="7FBB1708" w14:textId="77777777" w:rsidR="000658B0" w:rsidRPr="000658B0" w:rsidRDefault="000658B0" w:rsidP="000658B0">
      <w:pPr>
        <w:pStyle w:val="Bibliography"/>
        <w:spacing w:line="480" w:lineRule="auto"/>
        <w:rPr>
          <w:rFonts w:cs="Times"/>
        </w:rPr>
      </w:pPr>
      <w:r w:rsidRPr="000658B0">
        <w:rPr>
          <w:rFonts w:cs="Times"/>
        </w:rPr>
        <w:t>(16)</w:t>
      </w:r>
      <w:r w:rsidRPr="000658B0">
        <w:rPr>
          <w:rFonts w:cs="Times"/>
        </w:rPr>
        <w:tab/>
        <w:t xml:space="preserve">Wang, C.-T.; Baek, B. H.; Vizuete, W.; Engel, L. S.; Xing, J.; Green, J.; Serre, M.; Strott, R.; Bowden, J.; Woo, J.-H. Spatiotemporally Resolved Emissions and Concentrations of Styrene, Benzene, Toluene, Ethylbenzene, and Xylenes (SBTEX) in the US Gulf Region. </w:t>
      </w:r>
      <w:r w:rsidRPr="000658B0">
        <w:rPr>
          <w:rFonts w:cs="Times"/>
          <w:i/>
          <w:iCs/>
        </w:rPr>
        <w:t>Earth System Science Data</w:t>
      </w:r>
      <w:r w:rsidRPr="000658B0">
        <w:rPr>
          <w:rFonts w:cs="Times"/>
        </w:rPr>
        <w:t xml:space="preserve"> </w:t>
      </w:r>
      <w:r w:rsidRPr="000658B0">
        <w:rPr>
          <w:rFonts w:cs="Times"/>
          <w:b/>
          <w:bCs/>
        </w:rPr>
        <w:t>2023</w:t>
      </w:r>
      <w:r w:rsidRPr="000658B0">
        <w:rPr>
          <w:rFonts w:cs="Times"/>
        </w:rPr>
        <w:t xml:space="preserve">, </w:t>
      </w:r>
      <w:r w:rsidRPr="000658B0">
        <w:rPr>
          <w:rFonts w:cs="Times"/>
          <w:i/>
          <w:iCs/>
        </w:rPr>
        <w:t>15</w:t>
      </w:r>
      <w:r w:rsidRPr="000658B0">
        <w:rPr>
          <w:rFonts w:cs="Times"/>
        </w:rPr>
        <w:t xml:space="preserve"> (11), 5261–5279. DOI: 10.5194/essd-15-5261-2023.</w:t>
      </w:r>
    </w:p>
    <w:p w14:paraId="476F87E4" w14:textId="77777777" w:rsidR="000658B0" w:rsidRPr="000658B0" w:rsidRDefault="000658B0" w:rsidP="000658B0">
      <w:pPr>
        <w:pStyle w:val="Bibliography"/>
        <w:spacing w:line="480" w:lineRule="auto"/>
        <w:rPr>
          <w:rFonts w:cs="Times"/>
        </w:rPr>
      </w:pPr>
      <w:r w:rsidRPr="000658B0">
        <w:rPr>
          <w:rFonts w:cs="Times"/>
        </w:rPr>
        <w:t>(17)</w:t>
      </w:r>
      <w:r w:rsidRPr="000658B0">
        <w:rPr>
          <w:rFonts w:cs="Times"/>
        </w:rPr>
        <w:tab/>
        <w:t xml:space="preserve">Smith, L. A.; Stock, T. H.; Chung, K. C.; Mukerjee, S.; Liao, X. L.; Stallings, C.; Afshar, M. Spatial Analysis of Volatile Organic Compounds from a Community-Based Air Toxics Monitoring Network in Deer Park, Texas, USA. </w:t>
      </w:r>
      <w:r w:rsidRPr="000658B0">
        <w:rPr>
          <w:rFonts w:cs="Times"/>
          <w:i/>
          <w:iCs/>
        </w:rPr>
        <w:t>Environ Monit Assess</w:t>
      </w:r>
      <w:r w:rsidRPr="000658B0">
        <w:rPr>
          <w:rFonts w:cs="Times"/>
        </w:rPr>
        <w:t xml:space="preserve"> </w:t>
      </w:r>
      <w:r w:rsidRPr="000658B0">
        <w:rPr>
          <w:rFonts w:cs="Times"/>
          <w:b/>
          <w:bCs/>
        </w:rPr>
        <w:t>2007</w:t>
      </w:r>
      <w:r w:rsidRPr="000658B0">
        <w:rPr>
          <w:rFonts w:cs="Times"/>
        </w:rPr>
        <w:t xml:space="preserve">, </w:t>
      </w:r>
      <w:r w:rsidRPr="000658B0">
        <w:rPr>
          <w:rFonts w:cs="Times"/>
          <w:i/>
          <w:iCs/>
        </w:rPr>
        <w:t>128</w:t>
      </w:r>
      <w:r w:rsidRPr="000658B0">
        <w:rPr>
          <w:rFonts w:cs="Times"/>
        </w:rPr>
        <w:t xml:space="preserve"> (1–3), 369–379. DOI: 10.1007/s10661-006-9320-8.</w:t>
      </w:r>
    </w:p>
    <w:p w14:paraId="1CBD0495" w14:textId="77777777" w:rsidR="000658B0" w:rsidRPr="000658B0" w:rsidRDefault="000658B0" w:rsidP="000658B0">
      <w:pPr>
        <w:pStyle w:val="Bibliography"/>
        <w:spacing w:line="480" w:lineRule="auto"/>
        <w:rPr>
          <w:rFonts w:cs="Times"/>
        </w:rPr>
      </w:pPr>
      <w:r w:rsidRPr="000658B0">
        <w:rPr>
          <w:rFonts w:cs="Times"/>
        </w:rPr>
        <w:t>(18)</w:t>
      </w:r>
      <w:r w:rsidRPr="000658B0">
        <w:rPr>
          <w:rFonts w:cs="Times"/>
        </w:rPr>
        <w:tab/>
      </w:r>
      <w:r w:rsidRPr="000658B0">
        <w:rPr>
          <w:rFonts w:cs="Times"/>
          <w:i/>
          <w:iCs/>
        </w:rPr>
        <w:t>City and Town Population Totals: 2010-2019</w:t>
      </w:r>
      <w:r w:rsidRPr="000658B0">
        <w:rPr>
          <w:rFonts w:cs="Times"/>
        </w:rPr>
        <w:t>. https://www.census.gov/data/tables/time-series/demo/popest/2010s-total-cities-and-towns.html (accessed 2024-01-26).</w:t>
      </w:r>
    </w:p>
    <w:p w14:paraId="1A6577F0" w14:textId="77777777" w:rsidR="000658B0" w:rsidRPr="000658B0" w:rsidRDefault="000658B0" w:rsidP="000658B0">
      <w:pPr>
        <w:pStyle w:val="Bibliography"/>
        <w:spacing w:line="480" w:lineRule="auto"/>
        <w:rPr>
          <w:rFonts w:cs="Times"/>
        </w:rPr>
      </w:pPr>
      <w:r w:rsidRPr="000658B0">
        <w:rPr>
          <w:rFonts w:cs="Times"/>
        </w:rPr>
        <w:t>(19)</w:t>
      </w:r>
      <w:r w:rsidRPr="000658B0">
        <w:rPr>
          <w:rFonts w:cs="Times"/>
        </w:rPr>
        <w:tab/>
        <w:t xml:space="preserve">Agency for Toxic Substances and Disease Registry. </w:t>
      </w:r>
      <w:r w:rsidRPr="000658B0">
        <w:rPr>
          <w:rFonts w:cs="Times"/>
          <w:i/>
          <w:iCs/>
        </w:rPr>
        <w:t>TOXICOLOGICAL PROFILE FOR  STYRENE</w:t>
      </w:r>
      <w:r w:rsidRPr="000658B0">
        <w:rPr>
          <w:rFonts w:cs="Times"/>
        </w:rPr>
        <w:t>, 2010. https://www.atsdr.cdc.gov/toxprofiles/tp53.pdf (accessed 2024-01-17).</w:t>
      </w:r>
    </w:p>
    <w:p w14:paraId="41B6E151" w14:textId="77777777" w:rsidR="000658B0" w:rsidRPr="000658B0" w:rsidRDefault="000658B0" w:rsidP="000658B0">
      <w:pPr>
        <w:pStyle w:val="Bibliography"/>
        <w:spacing w:line="480" w:lineRule="auto"/>
        <w:rPr>
          <w:rFonts w:cs="Times"/>
        </w:rPr>
      </w:pPr>
      <w:r w:rsidRPr="000658B0">
        <w:rPr>
          <w:rFonts w:cs="Times"/>
        </w:rPr>
        <w:lastRenderedPageBreak/>
        <w:t>(20)</w:t>
      </w:r>
      <w:r w:rsidRPr="000658B0">
        <w:rPr>
          <w:rFonts w:cs="Times"/>
        </w:rPr>
        <w:tab/>
        <w:t xml:space="preserve">Agency for Toxic Substances and Disease Registry. </w:t>
      </w:r>
      <w:r w:rsidRPr="000658B0">
        <w:rPr>
          <w:rFonts w:cs="Times"/>
          <w:i/>
          <w:iCs/>
        </w:rPr>
        <w:t>TOXICOLOGICAL PROFILE FOR   BENZENE</w:t>
      </w:r>
      <w:r w:rsidRPr="000658B0">
        <w:rPr>
          <w:rFonts w:cs="Times"/>
        </w:rPr>
        <w:t>, 2007. https://www.atsdr.cdc.gov/toxprofiles/tp3.pdf (accessed 2024-01-17).</w:t>
      </w:r>
    </w:p>
    <w:p w14:paraId="1FEEC3EF" w14:textId="77777777" w:rsidR="000658B0" w:rsidRPr="000658B0" w:rsidRDefault="000658B0" w:rsidP="000658B0">
      <w:pPr>
        <w:pStyle w:val="Bibliography"/>
        <w:spacing w:line="480" w:lineRule="auto"/>
        <w:rPr>
          <w:rFonts w:cs="Times"/>
        </w:rPr>
      </w:pPr>
      <w:r w:rsidRPr="000658B0">
        <w:rPr>
          <w:rFonts w:cs="Times"/>
        </w:rPr>
        <w:t>(21)</w:t>
      </w:r>
      <w:r w:rsidRPr="000658B0">
        <w:rPr>
          <w:rFonts w:cs="Times"/>
        </w:rPr>
        <w:tab/>
        <w:t xml:space="preserve">Agency for Toxic Substances and Disease Registry. </w:t>
      </w:r>
      <w:r w:rsidRPr="000658B0">
        <w:rPr>
          <w:rFonts w:cs="Times"/>
          <w:i/>
          <w:iCs/>
        </w:rPr>
        <w:t>TOXICOLOGICAL PROFILE FOR  TOLUENE</w:t>
      </w:r>
      <w:r w:rsidRPr="000658B0">
        <w:rPr>
          <w:rFonts w:cs="Times"/>
        </w:rPr>
        <w:t>, 2017. https://www.atsdr.cdc.gov/toxprofiles/tp56.pdf (accessed 2024-01-17).</w:t>
      </w:r>
    </w:p>
    <w:p w14:paraId="25DF63B2" w14:textId="77777777" w:rsidR="000658B0" w:rsidRPr="000658B0" w:rsidRDefault="000658B0" w:rsidP="000658B0">
      <w:pPr>
        <w:pStyle w:val="Bibliography"/>
        <w:spacing w:line="480" w:lineRule="auto"/>
        <w:rPr>
          <w:rFonts w:cs="Times"/>
        </w:rPr>
      </w:pPr>
      <w:r w:rsidRPr="000658B0">
        <w:rPr>
          <w:rFonts w:cs="Times"/>
        </w:rPr>
        <w:t>(22)</w:t>
      </w:r>
      <w:r w:rsidRPr="000658B0">
        <w:rPr>
          <w:rFonts w:cs="Times"/>
        </w:rPr>
        <w:tab/>
        <w:t xml:space="preserve">Agency for Toxic Substances and Disease Registry. </w:t>
      </w:r>
      <w:r w:rsidRPr="000658B0">
        <w:rPr>
          <w:rFonts w:cs="Times"/>
          <w:i/>
          <w:iCs/>
        </w:rPr>
        <w:t>TOXICOLOGICAL PROFILE FOR  ETHYLBENZENE</w:t>
      </w:r>
      <w:r w:rsidRPr="000658B0">
        <w:rPr>
          <w:rFonts w:cs="Times"/>
        </w:rPr>
        <w:t>, 2010. https://www.atsdr.cdc.gov/toxprofiles/tp110.pdf (accessed 2024-01-17).</w:t>
      </w:r>
    </w:p>
    <w:p w14:paraId="06005C2A" w14:textId="77777777" w:rsidR="000658B0" w:rsidRPr="000658B0" w:rsidRDefault="000658B0" w:rsidP="000658B0">
      <w:pPr>
        <w:pStyle w:val="Bibliography"/>
        <w:spacing w:line="480" w:lineRule="auto"/>
        <w:rPr>
          <w:rFonts w:cs="Times"/>
        </w:rPr>
      </w:pPr>
      <w:r w:rsidRPr="000658B0">
        <w:rPr>
          <w:rFonts w:cs="Times"/>
        </w:rPr>
        <w:t>(23)</w:t>
      </w:r>
      <w:r w:rsidRPr="000658B0">
        <w:rPr>
          <w:rFonts w:cs="Times"/>
        </w:rPr>
        <w:tab/>
        <w:t xml:space="preserve">Agency for Toxic Substances and Disease Registry. </w:t>
      </w:r>
      <w:r w:rsidRPr="000658B0">
        <w:rPr>
          <w:rFonts w:cs="Times"/>
          <w:i/>
          <w:iCs/>
        </w:rPr>
        <w:t>TOXICOLOGICAL PROFILE FOR   XYLENE</w:t>
      </w:r>
      <w:r w:rsidRPr="000658B0">
        <w:rPr>
          <w:rFonts w:cs="Times"/>
        </w:rPr>
        <w:t>, 2007. https://www.atsdr.cdc.gov/toxprofiles/tp71.pdf (accessed 2024-01-17).</w:t>
      </w:r>
    </w:p>
    <w:p w14:paraId="56DC6916" w14:textId="77777777" w:rsidR="000658B0" w:rsidRPr="000658B0" w:rsidRDefault="000658B0" w:rsidP="000658B0">
      <w:pPr>
        <w:pStyle w:val="Bibliography"/>
        <w:spacing w:line="480" w:lineRule="auto"/>
        <w:rPr>
          <w:rFonts w:cs="Times"/>
        </w:rPr>
      </w:pPr>
      <w:r w:rsidRPr="000658B0">
        <w:rPr>
          <w:rFonts w:cs="Times"/>
        </w:rPr>
        <w:t>(24)</w:t>
      </w:r>
      <w:r w:rsidRPr="000658B0">
        <w:rPr>
          <w:rFonts w:cs="Times"/>
        </w:rPr>
        <w:tab/>
      </w:r>
      <w:r w:rsidRPr="000658B0">
        <w:rPr>
          <w:rFonts w:cs="Times"/>
          <w:i/>
          <w:iCs/>
        </w:rPr>
        <w:t>Ethylbenzene</w:t>
      </w:r>
      <w:r w:rsidRPr="000658B0">
        <w:rPr>
          <w:rFonts w:cs="Times"/>
        </w:rPr>
        <w:t>. https://oehha.ca.gov/chemicals/ethylbenzene (accessed 2024-04-25).</w:t>
      </w:r>
    </w:p>
    <w:p w14:paraId="60B842D0" w14:textId="77777777" w:rsidR="000658B0" w:rsidRPr="000658B0" w:rsidRDefault="000658B0" w:rsidP="000658B0">
      <w:pPr>
        <w:pStyle w:val="Bibliography"/>
        <w:spacing w:line="480" w:lineRule="auto"/>
        <w:rPr>
          <w:rFonts w:cs="Times"/>
        </w:rPr>
      </w:pPr>
      <w:r w:rsidRPr="000658B0">
        <w:rPr>
          <w:rFonts w:cs="Times"/>
        </w:rPr>
        <w:t>(25)</w:t>
      </w:r>
      <w:r w:rsidRPr="000658B0">
        <w:rPr>
          <w:rFonts w:cs="Times"/>
        </w:rPr>
        <w:tab/>
        <w:t xml:space="preserve">United States Environmental Protection Agency. </w:t>
      </w:r>
      <w:r w:rsidRPr="000658B0">
        <w:rPr>
          <w:rFonts w:cs="Times"/>
          <w:i/>
          <w:iCs/>
        </w:rPr>
        <w:t>Guidelines for Carcinogen Risk Assessment</w:t>
      </w:r>
      <w:r w:rsidRPr="000658B0">
        <w:rPr>
          <w:rFonts w:cs="Times"/>
        </w:rPr>
        <w:t>; EPA/630/P-03/001F; United States Environmental Protection Agency: Washington, DC, 2005. https://www.epa.gov/sites/default/files/2013-09/documents/cancer_guidelines_final_3-25-05.pdf (accessed 2024-04-25).</w:t>
      </w:r>
    </w:p>
    <w:p w14:paraId="17E80CE4" w14:textId="77777777" w:rsidR="000658B0" w:rsidRPr="000658B0" w:rsidRDefault="000658B0" w:rsidP="000658B0">
      <w:pPr>
        <w:pStyle w:val="Bibliography"/>
        <w:spacing w:line="480" w:lineRule="auto"/>
        <w:rPr>
          <w:rFonts w:cs="Times"/>
        </w:rPr>
      </w:pPr>
      <w:r w:rsidRPr="000658B0">
        <w:rPr>
          <w:rFonts w:cs="Times"/>
        </w:rPr>
        <w:t>(26)</w:t>
      </w:r>
      <w:r w:rsidRPr="000658B0">
        <w:rPr>
          <w:rFonts w:cs="Times"/>
        </w:rPr>
        <w:tab/>
        <w:t xml:space="preserve">Werder, E. J.; Engel, L. S.; Richardson, D. B.; Emch, M. E.; Gerr, F. E.; Kwok, R. K.; Sandler, D. P. Environmental Styrene Exposure and Neurologic Symptoms in U.S. Gulf Coast Residents. </w:t>
      </w:r>
      <w:r w:rsidRPr="000658B0">
        <w:rPr>
          <w:rFonts w:cs="Times"/>
          <w:i/>
          <w:iCs/>
        </w:rPr>
        <w:t>Environment International</w:t>
      </w:r>
      <w:r w:rsidRPr="000658B0">
        <w:rPr>
          <w:rFonts w:cs="Times"/>
        </w:rPr>
        <w:t xml:space="preserve"> </w:t>
      </w:r>
      <w:r w:rsidRPr="000658B0">
        <w:rPr>
          <w:rFonts w:cs="Times"/>
          <w:b/>
          <w:bCs/>
        </w:rPr>
        <w:t>2018</w:t>
      </w:r>
      <w:r w:rsidRPr="000658B0">
        <w:rPr>
          <w:rFonts w:cs="Times"/>
        </w:rPr>
        <w:t xml:space="preserve">, </w:t>
      </w:r>
      <w:r w:rsidRPr="000658B0">
        <w:rPr>
          <w:rFonts w:cs="Times"/>
          <w:i/>
          <w:iCs/>
        </w:rPr>
        <w:t>121</w:t>
      </w:r>
      <w:r w:rsidRPr="000658B0">
        <w:rPr>
          <w:rFonts w:cs="Times"/>
        </w:rPr>
        <w:t>, 480–490. DOI: 10.1016/j.envint.2018.09.025.</w:t>
      </w:r>
    </w:p>
    <w:p w14:paraId="3C434CD0" w14:textId="77777777" w:rsidR="000658B0" w:rsidRPr="000658B0" w:rsidRDefault="000658B0" w:rsidP="000658B0">
      <w:pPr>
        <w:pStyle w:val="Bibliography"/>
        <w:spacing w:line="480" w:lineRule="auto"/>
        <w:rPr>
          <w:rFonts w:cs="Times"/>
        </w:rPr>
      </w:pPr>
      <w:r w:rsidRPr="000658B0">
        <w:rPr>
          <w:rFonts w:cs="Times"/>
        </w:rPr>
        <w:t>(27)</w:t>
      </w:r>
      <w:r w:rsidRPr="000658B0">
        <w:rPr>
          <w:rFonts w:cs="Times"/>
        </w:rPr>
        <w:tab/>
        <w:t xml:space="preserve">Werder, E. J.; Sandler, D. P.; Richardson, D. B.; Emch, M. E.; Kwok, R. K.; Gerr, F. E.; Engel, L. S. Environmental Styrene Exposure and Sensory and Motor Function in Gulf Coast Residents. </w:t>
      </w:r>
      <w:r w:rsidRPr="000658B0">
        <w:rPr>
          <w:rFonts w:cs="Times"/>
          <w:i/>
          <w:iCs/>
        </w:rPr>
        <w:t xml:space="preserve">Environ Health </w:t>
      </w:r>
      <w:proofErr w:type="spellStart"/>
      <w:r w:rsidRPr="000658B0">
        <w:rPr>
          <w:rFonts w:cs="Times"/>
          <w:i/>
          <w:iCs/>
        </w:rPr>
        <w:t>Perspect</w:t>
      </w:r>
      <w:proofErr w:type="spellEnd"/>
      <w:r w:rsidRPr="000658B0">
        <w:rPr>
          <w:rFonts w:cs="Times"/>
        </w:rPr>
        <w:t xml:space="preserve"> </w:t>
      </w:r>
      <w:r w:rsidRPr="000658B0">
        <w:rPr>
          <w:rFonts w:cs="Times"/>
          <w:b/>
          <w:bCs/>
        </w:rPr>
        <w:t>2019</w:t>
      </w:r>
      <w:r w:rsidRPr="000658B0">
        <w:rPr>
          <w:rFonts w:cs="Times"/>
        </w:rPr>
        <w:t xml:space="preserve">, </w:t>
      </w:r>
      <w:r w:rsidRPr="000658B0">
        <w:rPr>
          <w:rFonts w:cs="Times"/>
          <w:i/>
          <w:iCs/>
        </w:rPr>
        <w:t>127</w:t>
      </w:r>
      <w:r w:rsidRPr="000658B0">
        <w:rPr>
          <w:rFonts w:cs="Times"/>
        </w:rPr>
        <w:t xml:space="preserve"> (4), 047006. DOI: 10.1289/EHP3954.</w:t>
      </w:r>
    </w:p>
    <w:p w14:paraId="7CE69410" w14:textId="77777777" w:rsidR="000658B0" w:rsidRPr="000658B0" w:rsidRDefault="000658B0" w:rsidP="000658B0">
      <w:pPr>
        <w:pStyle w:val="Bibliography"/>
        <w:spacing w:line="480" w:lineRule="auto"/>
        <w:rPr>
          <w:rFonts w:cs="Times"/>
        </w:rPr>
      </w:pPr>
      <w:r w:rsidRPr="000658B0">
        <w:rPr>
          <w:rFonts w:cs="Times"/>
        </w:rPr>
        <w:lastRenderedPageBreak/>
        <w:t>(28)</w:t>
      </w:r>
      <w:r w:rsidRPr="000658B0">
        <w:rPr>
          <w:rFonts w:cs="Times"/>
        </w:rPr>
        <w:tab/>
        <w:t xml:space="preserve">United States Environmental Protection Agency. </w:t>
      </w:r>
      <w:r w:rsidRPr="000658B0">
        <w:rPr>
          <w:rFonts w:cs="Times"/>
          <w:i/>
          <w:iCs/>
        </w:rPr>
        <w:t>Technical Support Document EPA’s 2011 National-Scale Air Toxics Assessment</w:t>
      </w:r>
      <w:r w:rsidRPr="000658B0">
        <w:rPr>
          <w:rFonts w:cs="Times"/>
        </w:rPr>
        <w:t>, 2015. https://www.epa.gov/sites/default/files/2015-12/documents/2011-nata-tsd.pdf (accessed 2024-04-25).</w:t>
      </w:r>
    </w:p>
    <w:p w14:paraId="460F0F59" w14:textId="6DF5B134" w:rsidR="003F3AFF" w:rsidRDefault="006714FF" w:rsidP="000658B0">
      <w:pPr>
        <w:pStyle w:val="TESupportingInformation"/>
        <w:ind w:firstLine="0"/>
      </w:pPr>
      <w:r w:rsidRPr="00F06A8B">
        <w:fldChar w:fldCharType="end"/>
      </w:r>
    </w:p>
    <w:sectPr w:rsidR="003F3AFF">
      <w:footerReference w:type="default" r:id="rId1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B59F9" w14:textId="77777777" w:rsidR="00C57D47" w:rsidRDefault="00C57D47" w:rsidP="006714FF">
      <w:pPr>
        <w:spacing w:after="0"/>
      </w:pPr>
      <w:r>
        <w:separator/>
      </w:r>
    </w:p>
  </w:endnote>
  <w:endnote w:type="continuationSeparator" w:id="0">
    <w:p w14:paraId="528E6E10" w14:textId="77777777" w:rsidR="00C57D47" w:rsidRDefault="00C57D47" w:rsidP="006714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021B3" w14:textId="02D8D557" w:rsidR="006714FF" w:rsidRDefault="006714FF" w:rsidP="006714FF">
    <w:pPr>
      <w:pStyle w:val="Footer"/>
      <w:jc w:val="right"/>
    </w:pPr>
    <w:r>
      <w:t>S</w:t>
    </w:r>
    <w:sdt>
      <w:sdtPr>
        <w:id w:val="5876583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BCC874" w14:textId="77777777" w:rsidR="00C57D47" w:rsidRDefault="00C57D47" w:rsidP="006714FF">
      <w:pPr>
        <w:spacing w:after="0"/>
      </w:pPr>
      <w:r>
        <w:separator/>
      </w:r>
    </w:p>
  </w:footnote>
  <w:footnote w:type="continuationSeparator" w:id="0">
    <w:p w14:paraId="6ED959F4" w14:textId="77777777" w:rsidR="00C57D47" w:rsidRDefault="00C57D47" w:rsidP="006714F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E680A"/>
    <w:multiLevelType w:val="hybridMultilevel"/>
    <w:tmpl w:val="3E9EC8EE"/>
    <w:lvl w:ilvl="0" w:tplc="D340FC82">
      <w:start w:val="1"/>
      <w:numFmt w:val="bullet"/>
      <w:lvlText w:val="-"/>
      <w:lvlJc w:val="left"/>
      <w:pPr>
        <w:ind w:left="720" w:hanging="360"/>
      </w:pPr>
      <w:rPr>
        <w:rFonts w:ascii="Aptos" w:hAnsi="Aptos" w:hint="default"/>
      </w:rPr>
    </w:lvl>
    <w:lvl w:ilvl="1" w:tplc="8CB44950">
      <w:start w:val="1"/>
      <w:numFmt w:val="bullet"/>
      <w:lvlText w:val="o"/>
      <w:lvlJc w:val="left"/>
      <w:pPr>
        <w:ind w:left="1440" w:hanging="360"/>
      </w:pPr>
      <w:rPr>
        <w:rFonts w:ascii="Courier New" w:hAnsi="Courier New" w:hint="default"/>
      </w:rPr>
    </w:lvl>
    <w:lvl w:ilvl="2" w:tplc="FA22997E">
      <w:start w:val="1"/>
      <w:numFmt w:val="bullet"/>
      <w:lvlText w:val=""/>
      <w:lvlJc w:val="left"/>
      <w:pPr>
        <w:ind w:left="2160" w:hanging="360"/>
      </w:pPr>
      <w:rPr>
        <w:rFonts w:ascii="Wingdings" w:hAnsi="Wingdings" w:hint="default"/>
      </w:rPr>
    </w:lvl>
    <w:lvl w:ilvl="3" w:tplc="1CECD2CA">
      <w:start w:val="1"/>
      <w:numFmt w:val="bullet"/>
      <w:lvlText w:val=""/>
      <w:lvlJc w:val="left"/>
      <w:pPr>
        <w:ind w:left="2880" w:hanging="360"/>
      </w:pPr>
      <w:rPr>
        <w:rFonts w:ascii="Symbol" w:hAnsi="Symbol" w:hint="default"/>
      </w:rPr>
    </w:lvl>
    <w:lvl w:ilvl="4" w:tplc="359C20B8">
      <w:start w:val="1"/>
      <w:numFmt w:val="bullet"/>
      <w:lvlText w:val="o"/>
      <w:lvlJc w:val="left"/>
      <w:pPr>
        <w:ind w:left="3600" w:hanging="360"/>
      </w:pPr>
      <w:rPr>
        <w:rFonts w:ascii="Courier New" w:hAnsi="Courier New" w:hint="default"/>
      </w:rPr>
    </w:lvl>
    <w:lvl w:ilvl="5" w:tplc="A17CC2B6">
      <w:start w:val="1"/>
      <w:numFmt w:val="bullet"/>
      <w:lvlText w:val=""/>
      <w:lvlJc w:val="left"/>
      <w:pPr>
        <w:ind w:left="4320" w:hanging="360"/>
      </w:pPr>
      <w:rPr>
        <w:rFonts w:ascii="Wingdings" w:hAnsi="Wingdings" w:hint="default"/>
      </w:rPr>
    </w:lvl>
    <w:lvl w:ilvl="6" w:tplc="35B6DB84">
      <w:start w:val="1"/>
      <w:numFmt w:val="bullet"/>
      <w:lvlText w:val=""/>
      <w:lvlJc w:val="left"/>
      <w:pPr>
        <w:ind w:left="5040" w:hanging="360"/>
      </w:pPr>
      <w:rPr>
        <w:rFonts w:ascii="Symbol" w:hAnsi="Symbol" w:hint="default"/>
      </w:rPr>
    </w:lvl>
    <w:lvl w:ilvl="7" w:tplc="01743EDA">
      <w:start w:val="1"/>
      <w:numFmt w:val="bullet"/>
      <w:lvlText w:val="o"/>
      <w:lvlJc w:val="left"/>
      <w:pPr>
        <w:ind w:left="5760" w:hanging="360"/>
      </w:pPr>
      <w:rPr>
        <w:rFonts w:ascii="Courier New" w:hAnsi="Courier New" w:hint="default"/>
      </w:rPr>
    </w:lvl>
    <w:lvl w:ilvl="8" w:tplc="A8BCA8C2">
      <w:start w:val="1"/>
      <w:numFmt w:val="bullet"/>
      <w:lvlText w:val=""/>
      <w:lvlJc w:val="left"/>
      <w:pPr>
        <w:ind w:left="6480" w:hanging="360"/>
      </w:pPr>
      <w:rPr>
        <w:rFonts w:ascii="Wingdings" w:hAnsi="Wingdings" w:hint="default"/>
      </w:rPr>
    </w:lvl>
  </w:abstractNum>
  <w:abstractNum w:abstractNumId="1" w15:restartNumberingAfterBreak="0">
    <w:nsid w:val="10518BE6"/>
    <w:multiLevelType w:val="hybridMultilevel"/>
    <w:tmpl w:val="EB3872D4"/>
    <w:lvl w:ilvl="0" w:tplc="9C445C4C">
      <w:start w:val="1"/>
      <w:numFmt w:val="bullet"/>
      <w:lvlText w:val="-"/>
      <w:lvlJc w:val="left"/>
      <w:pPr>
        <w:ind w:left="720" w:hanging="360"/>
      </w:pPr>
      <w:rPr>
        <w:rFonts w:ascii="Aptos" w:hAnsi="Aptos" w:hint="default"/>
      </w:rPr>
    </w:lvl>
    <w:lvl w:ilvl="1" w:tplc="383CE522">
      <w:start w:val="1"/>
      <w:numFmt w:val="bullet"/>
      <w:lvlText w:val="o"/>
      <w:lvlJc w:val="left"/>
      <w:pPr>
        <w:ind w:left="1440" w:hanging="360"/>
      </w:pPr>
      <w:rPr>
        <w:rFonts w:ascii="Courier New" w:hAnsi="Courier New" w:hint="default"/>
      </w:rPr>
    </w:lvl>
    <w:lvl w:ilvl="2" w:tplc="0CE408B2">
      <w:start w:val="1"/>
      <w:numFmt w:val="bullet"/>
      <w:lvlText w:val=""/>
      <w:lvlJc w:val="left"/>
      <w:pPr>
        <w:ind w:left="2160" w:hanging="360"/>
      </w:pPr>
      <w:rPr>
        <w:rFonts w:ascii="Wingdings" w:hAnsi="Wingdings" w:hint="default"/>
      </w:rPr>
    </w:lvl>
    <w:lvl w:ilvl="3" w:tplc="F050DB44">
      <w:start w:val="1"/>
      <w:numFmt w:val="bullet"/>
      <w:lvlText w:val=""/>
      <w:lvlJc w:val="left"/>
      <w:pPr>
        <w:ind w:left="2880" w:hanging="360"/>
      </w:pPr>
      <w:rPr>
        <w:rFonts w:ascii="Symbol" w:hAnsi="Symbol" w:hint="default"/>
      </w:rPr>
    </w:lvl>
    <w:lvl w:ilvl="4" w:tplc="3B0C9DEA">
      <w:start w:val="1"/>
      <w:numFmt w:val="bullet"/>
      <w:lvlText w:val="o"/>
      <w:lvlJc w:val="left"/>
      <w:pPr>
        <w:ind w:left="3600" w:hanging="360"/>
      </w:pPr>
      <w:rPr>
        <w:rFonts w:ascii="Courier New" w:hAnsi="Courier New" w:hint="default"/>
      </w:rPr>
    </w:lvl>
    <w:lvl w:ilvl="5" w:tplc="92962A24">
      <w:start w:val="1"/>
      <w:numFmt w:val="bullet"/>
      <w:lvlText w:val=""/>
      <w:lvlJc w:val="left"/>
      <w:pPr>
        <w:ind w:left="4320" w:hanging="360"/>
      </w:pPr>
      <w:rPr>
        <w:rFonts w:ascii="Wingdings" w:hAnsi="Wingdings" w:hint="default"/>
      </w:rPr>
    </w:lvl>
    <w:lvl w:ilvl="6" w:tplc="02582146">
      <w:start w:val="1"/>
      <w:numFmt w:val="bullet"/>
      <w:lvlText w:val=""/>
      <w:lvlJc w:val="left"/>
      <w:pPr>
        <w:ind w:left="5040" w:hanging="360"/>
      </w:pPr>
      <w:rPr>
        <w:rFonts w:ascii="Symbol" w:hAnsi="Symbol" w:hint="default"/>
      </w:rPr>
    </w:lvl>
    <w:lvl w:ilvl="7" w:tplc="E278B9DE">
      <w:start w:val="1"/>
      <w:numFmt w:val="bullet"/>
      <w:lvlText w:val="o"/>
      <w:lvlJc w:val="left"/>
      <w:pPr>
        <w:ind w:left="5760" w:hanging="360"/>
      </w:pPr>
      <w:rPr>
        <w:rFonts w:ascii="Courier New" w:hAnsi="Courier New" w:hint="default"/>
      </w:rPr>
    </w:lvl>
    <w:lvl w:ilvl="8" w:tplc="FBDE2E46">
      <w:start w:val="1"/>
      <w:numFmt w:val="bullet"/>
      <w:lvlText w:val=""/>
      <w:lvlJc w:val="left"/>
      <w:pPr>
        <w:ind w:left="6480" w:hanging="360"/>
      </w:pPr>
      <w:rPr>
        <w:rFonts w:ascii="Wingdings" w:hAnsi="Wingdings" w:hint="default"/>
      </w:rPr>
    </w:lvl>
  </w:abstractNum>
  <w:abstractNum w:abstractNumId="2"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256DA0"/>
    <w:multiLevelType w:val="hybridMultilevel"/>
    <w:tmpl w:val="8946CDE4"/>
    <w:lvl w:ilvl="0" w:tplc="33A0DD36">
      <w:start w:val="1"/>
      <w:numFmt w:val="bullet"/>
      <w:lvlText w:val="-"/>
      <w:lvlJc w:val="left"/>
      <w:pPr>
        <w:ind w:left="720" w:hanging="360"/>
      </w:pPr>
      <w:rPr>
        <w:rFonts w:ascii="Aptos" w:hAnsi="Aptos" w:hint="default"/>
      </w:rPr>
    </w:lvl>
    <w:lvl w:ilvl="1" w:tplc="251CFF46">
      <w:start w:val="1"/>
      <w:numFmt w:val="bullet"/>
      <w:lvlText w:val="o"/>
      <w:lvlJc w:val="left"/>
      <w:pPr>
        <w:ind w:left="1440" w:hanging="360"/>
      </w:pPr>
      <w:rPr>
        <w:rFonts w:ascii="Courier New" w:hAnsi="Courier New" w:hint="default"/>
      </w:rPr>
    </w:lvl>
    <w:lvl w:ilvl="2" w:tplc="DE203374">
      <w:start w:val="1"/>
      <w:numFmt w:val="bullet"/>
      <w:lvlText w:val=""/>
      <w:lvlJc w:val="left"/>
      <w:pPr>
        <w:ind w:left="2160" w:hanging="360"/>
      </w:pPr>
      <w:rPr>
        <w:rFonts w:ascii="Wingdings" w:hAnsi="Wingdings" w:hint="default"/>
      </w:rPr>
    </w:lvl>
    <w:lvl w:ilvl="3" w:tplc="3028E27E">
      <w:start w:val="1"/>
      <w:numFmt w:val="bullet"/>
      <w:lvlText w:val=""/>
      <w:lvlJc w:val="left"/>
      <w:pPr>
        <w:ind w:left="2880" w:hanging="360"/>
      </w:pPr>
      <w:rPr>
        <w:rFonts w:ascii="Symbol" w:hAnsi="Symbol" w:hint="default"/>
      </w:rPr>
    </w:lvl>
    <w:lvl w:ilvl="4" w:tplc="7A18552A">
      <w:start w:val="1"/>
      <w:numFmt w:val="bullet"/>
      <w:lvlText w:val="o"/>
      <w:lvlJc w:val="left"/>
      <w:pPr>
        <w:ind w:left="3600" w:hanging="360"/>
      </w:pPr>
      <w:rPr>
        <w:rFonts w:ascii="Courier New" w:hAnsi="Courier New" w:hint="default"/>
      </w:rPr>
    </w:lvl>
    <w:lvl w:ilvl="5" w:tplc="8F3A3512">
      <w:start w:val="1"/>
      <w:numFmt w:val="bullet"/>
      <w:lvlText w:val=""/>
      <w:lvlJc w:val="left"/>
      <w:pPr>
        <w:ind w:left="4320" w:hanging="360"/>
      </w:pPr>
      <w:rPr>
        <w:rFonts w:ascii="Wingdings" w:hAnsi="Wingdings" w:hint="default"/>
      </w:rPr>
    </w:lvl>
    <w:lvl w:ilvl="6" w:tplc="53FA305C">
      <w:start w:val="1"/>
      <w:numFmt w:val="bullet"/>
      <w:lvlText w:val=""/>
      <w:lvlJc w:val="left"/>
      <w:pPr>
        <w:ind w:left="5040" w:hanging="360"/>
      </w:pPr>
      <w:rPr>
        <w:rFonts w:ascii="Symbol" w:hAnsi="Symbol" w:hint="default"/>
      </w:rPr>
    </w:lvl>
    <w:lvl w:ilvl="7" w:tplc="95183FB0">
      <w:start w:val="1"/>
      <w:numFmt w:val="bullet"/>
      <w:lvlText w:val="o"/>
      <w:lvlJc w:val="left"/>
      <w:pPr>
        <w:ind w:left="5760" w:hanging="360"/>
      </w:pPr>
      <w:rPr>
        <w:rFonts w:ascii="Courier New" w:hAnsi="Courier New" w:hint="default"/>
      </w:rPr>
    </w:lvl>
    <w:lvl w:ilvl="8" w:tplc="962A5452">
      <w:start w:val="1"/>
      <w:numFmt w:val="bullet"/>
      <w:lvlText w:val=""/>
      <w:lvlJc w:val="left"/>
      <w:pPr>
        <w:ind w:left="6480" w:hanging="360"/>
      </w:pPr>
      <w:rPr>
        <w:rFonts w:ascii="Wingdings" w:hAnsi="Wingdings" w:hint="default"/>
      </w:rPr>
    </w:lvl>
  </w:abstractNum>
  <w:abstractNum w:abstractNumId="4" w15:restartNumberingAfterBreak="0">
    <w:nsid w:val="22FDA4AF"/>
    <w:multiLevelType w:val="hybridMultilevel"/>
    <w:tmpl w:val="A6E8B5FE"/>
    <w:lvl w:ilvl="0" w:tplc="5A862EE2">
      <w:start w:val="1"/>
      <w:numFmt w:val="bullet"/>
      <w:lvlText w:val="-"/>
      <w:lvlJc w:val="left"/>
      <w:pPr>
        <w:ind w:left="720" w:hanging="360"/>
      </w:pPr>
      <w:rPr>
        <w:rFonts w:ascii="Aptos" w:hAnsi="Aptos" w:hint="default"/>
      </w:rPr>
    </w:lvl>
    <w:lvl w:ilvl="1" w:tplc="EE12C7F6">
      <w:start w:val="1"/>
      <w:numFmt w:val="bullet"/>
      <w:lvlText w:val="o"/>
      <w:lvlJc w:val="left"/>
      <w:pPr>
        <w:ind w:left="1440" w:hanging="360"/>
      </w:pPr>
      <w:rPr>
        <w:rFonts w:ascii="Courier New" w:hAnsi="Courier New" w:hint="default"/>
      </w:rPr>
    </w:lvl>
    <w:lvl w:ilvl="2" w:tplc="E0CEF48E">
      <w:start w:val="1"/>
      <w:numFmt w:val="bullet"/>
      <w:lvlText w:val=""/>
      <w:lvlJc w:val="left"/>
      <w:pPr>
        <w:ind w:left="2160" w:hanging="360"/>
      </w:pPr>
      <w:rPr>
        <w:rFonts w:ascii="Wingdings" w:hAnsi="Wingdings" w:hint="default"/>
      </w:rPr>
    </w:lvl>
    <w:lvl w:ilvl="3" w:tplc="6B8065B2">
      <w:start w:val="1"/>
      <w:numFmt w:val="bullet"/>
      <w:lvlText w:val=""/>
      <w:lvlJc w:val="left"/>
      <w:pPr>
        <w:ind w:left="2880" w:hanging="360"/>
      </w:pPr>
      <w:rPr>
        <w:rFonts w:ascii="Symbol" w:hAnsi="Symbol" w:hint="default"/>
      </w:rPr>
    </w:lvl>
    <w:lvl w:ilvl="4" w:tplc="EB664966">
      <w:start w:val="1"/>
      <w:numFmt w:val="bullet"/>
      <w:lvlText w:val="o"/>
      <w:lvlJc w:val="left"/>
      <w:pPr>
        <w:ind w:left="3600" w:hanging="360"/>
      </w:pPr>
      <w:rPr>
        <w:rFonts w:ascii="Courier New" w:hAnsi="Courier New" w:hint="default"/>
      </w:rPr>
    </w:lvl>
    <w:lvl w:ilvl="5" w:tplc="1DEC6D10">
      <w:start w:val="1"/>
      <w:numFmt w:val="bullet"/>
      <w:lvlText w:val=""/>
      <w:lvlJc w:val="left"/>
      <w:pPr>
        <w:ind w:left="4320" w:hanging="360"/>
      </w:pPr>
      <w:rPr>
        <w:rFonts w:ascii="Wingdings" w:hAnsi="Wingdings" w:hint="default"/>
      </w:rPr>
    </w:lvl>
    <w:lvl w:ilvl="6" w:tplc="6C929F14">
      <w:start w:val="1"/>
      <w:numFmt w:val="bullet"/>
      <w:lvlText w:val=""/>
      <w:lvlJc w:val="left"/>
      <w:pPr>
        <w:ind w:left="5040" w:hanging="360"/>
      </w:pPr>
      <w:rPr>
        <w:rFonts w:ascii="Symbol" w:hAnsi="Symbol" w:hint="default"/>
      </w:rPr>
    </w:lvl>
    <w:lvl w:ilvl="7" w:tplc="3E7A5014">
      <w:start w:val="1"/>
      <w:numFmt w:val="bullet"/>
      <w:lvlText w:val="o"/>
      <w:lvlJc w:val="left"/>
      <w:pPr>
        <w:ind w:left="5760" w:hanging="360"/>
      </w:pPr>
      <w:rPr>
        <w:rFonts w:ascii="Courier New" w:hAnsi="Courier New" w:hint="default"/>
      </w:rPr>
    </w:lvl>
    <w:lvl w:ilvl="8" w:tplc="71C85E48">
      <w:start w:val="1"/>
      <w:numFmt w:val="bullet"/>
      <w:lvlText w:val=""/>
      <w:lvlJc w:val="left"/>
      <w:pPr>
        <w:ind w:left="6480" w:hanging="360"/>
      </w:pPr>
      <w:rPr>
        <w:rFonts w:ascii="Wingdings" w:hAnsi="Wingdings" w:hint="default"/>
      </w:rPr>
    </w:lvl>
  </w:abstractNum>
  <w:abstractNum w:abstractNumId="5" w15:restartNumberingAfterBreak="0">
    <w:nsid w:val="26E8D35E"/>
    <w:multiLevelType w:val="hybridMultilevel"/>
    <w:tmpl w:val="9A7E3950"/>
    <w:lvl w:ilvl="0" w:tplc="1F24184C">
      <w:start w:val="1"/>
      <w:numFmt w:val="bullet"/>
      <w:lvlText w:val="-"/>
      <w:lvlJc w:val="left"/>
      <w:pPr>
        <w:ind w:left="720" w:hanging="360"/>
      </w:pPr>
      <w:rPr>
        <w:rFonts w:ascii="Aptos" w:hAnsi="Aptos" w:hint="default"/>
      </w:rPr>
    </w:lvl>
    <w:lvl w:ilvl="1" w:tplc="631472CA">
      <w:start w:val="1"/>
      <w:numFmt w:val="bullet"/>
      <w:lvlText w:val="o"/>
      <w:lvlJc w:val="left"/>
      <w:pPr>
        <w:ind w:left="1440" w:hanging="360"/>
      </w:pPr>
      <w:rPr>
        <w:rFonts w:ascii="Courier New" w:hAnsi="Courier New" w:hint="default"/>
      </w:rPr>
    </w:lvl>
    <w:lvl w:ilvl="2" w:tplc="16AAD4F6">
      <w:start w:val="1"/>
      <w:numFmt w:val="bullet"/>
      <w:lvlText w:val=""/>
      <w:lvlJc w:val="left"/>
      <w:pPr>
        <w:ind w:left="2160" w:hanging="360"/>
      </w:pPr>
      <w:rPr>
        <w:rFonts w:ascii="Wingdings" w:hAnsi="Wingdings" w:hint="default"/>
      </w:rPr>
    </w:lvl>
    <w:lvl w:ilvl="3" w:tplc="581ECDC0">
      <w:start w:val="1"/>
      <w:numFmt w:val="bullet"/>
      <w:lvlText w:val=""/>
      <w:lvlJc w:val="left"/>
      <w:pPr>
        <w:ind w:left="2880" w:hanging="360"/>
      </w:pPr>
      <w:rPr>
        <w:rFonts w:ascii="Symbol" w:hAnsi="Symbol" w:hint="default"/>
      </w:rPr>
    </w:lvl>
    <w:lvl w:ilvl="4" w:tplc="D5E0A992">
      <w:start w:val="1"/>
      <w:numFmt w:val="bullet"/>
      <w:lvlText w:val="o"/>
      <w:lvlJc w:val="left"/>
      <w:pPr>
        <w:ind w:left="3600" w:hanging="360"/>
      </w:pPr>
      <w:rPr>
        <w:rFonts w:ascii="Courier New" w:hAnsi="Courier New" w:hint="default"/>
      </w:rPr>
    </w:lvl>
    <w:lvl w:ilvl="5" w:tplc="E1A0556C">
      <w:start w:val="1"/>
      <w:numFmt w:val="bullet"/>
      <w:lvlText w:val=""/>
      <w:lvlJc w:val="left"/>
      <w:pPr>
        <w:ind w:left="4320" w:hanging="360"/>
      </w:pPr>
      <w:rPr>
        <w:rFonts w:ascii="Wingdings" w:hAnsi="Wingdings" w:hint="default"/>
      </w:rPr>
    </w:lvl>
    <w:lvl w:ilvl="6" w:tplc="99EED618">
      <w:start w:val="1"/>
      <w:numFmt w:val="bullet"/>
      <w:lvlText w:val=""/>
      <w:lvlJc w:val="left"/>
      <w:pPr>
        <w:ind w:left="5040" w:hanging="360"/>
      </w:pPr>
      <w:rPr>
        <w:rFonts w:ascii="Symbol" w:hAnsi="Symbol" w:hint="default"/>
      </w:rPr>
    </w:lvl>
    <w:lvl w:ilvl="7" w:tplc="EFE262CE">
      <w:start w:val="1"/>
      <w:numFmt w:val="bullet"/>
      <w:lvlText w:val="o"/>
      <w:lvlJc w:val="left"/>
      <w:pPr>
        <w:ind w:left="5760" w:hanging="360"/>
      </w:pPr>
      <w:rPr>
        <w:rFonts w:ascii="Courier New" w:hAnsi="Courier New" w:hint="default"/>
      </w:rPr>
    </w:lvl>
    <w:lvl w:ilvl="8" w:tplc="F8BCD8D6">
      <w:start w:val="1"/>
      <w:numFmt w:val="bullet"/>
      <w:lvlText w:val=""/>
      <w:lvlJc w:val="left"/>
      <w:pPr>
        <w:ind w:left="6480" w:hanging="360"/>
      </w:pPr>
      <w:rPr>
        <w:rFonts w:ascii="Wingdings" w:hAnsi="Wingdings" w:hint="default"/>
      </w:rPr>
    </w:lvl>
  </w:abstractNum>
  <w:abstractNum w:abstractNumId="6" w15:restartNumberingAfterBreak="0">
    <w:nsid w:val="28F44688"/>
    <w:multiLevelType w:val="hybridMultilevel"/>
    <w:tmpl w:val="0A0C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0EC90"/>
    <w:multiLevelType w:val="multilevel"/>
    <w:tmpl w:val="2E8630C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B4525F"/>
    <w:multiLevelType w:val="hybridMultilevel"/>
    <w:tmpl w:val="76DAF044"/>
    <w:lvl w:ilvl="0" w:tplc="24F2BE16">
      <w:start w:val="1"/>
      <w:numFmt w:val="bullet"/>
      <w:lvlText w:val="-"/>
      <w:lvlJc w:val="left"/>
      <w:pPr>
        <w:ind w:left="720" w:hanging="360"/>
      </w:pPr>
      <w:rPr>
        <w:rFonts w:ascii="Aptos" w:hAnsi="Aptos" w:hint="default"/>
      </w:rPr>
    </w:lvl>
    <w:lvl w:ilvl="1" w:tplc="E022018C">
      <w:start w:val="1"/>
      <w:numFmt w:val="bullet"/>
      <w:lvlText w:val="o"/>
      <w:lvlJc w:val="left"/>
      <w:pPr>
        <w:ind w:left="1440" w:hanging="360"/>
      </w:pPr>
      <w:rPr>
        <w:rFonts w:ascii="Courier New" w:hAnsi="Courier New" w:hint="default"/>
      </w:rPr>
    </w:lvl>
    <w:lvl w:ilvl="2" w:tplc="BE16DC0A">
      <w:start w:val="1"/>
      <w:numFmt w:val="bullet"/>
      <w:lvlText w:val=""/>
      <w:lvlJc w:val="left"/>
      <w:pPr>
        <w:ind w:left="2160" w:hanging="360"/>
      </w:pPr>
      <w:rPr>
        <w:rFonts w:ascii="Wingdings" w:hAnsi="Wingdings" w:hint="default"/>
      </w:rPr>
    </w:lvl>
    <w:lvl w:ilvl="3" w:tplc="08C85B68">
      <w:start w:val="1"/>
      <w:numFmt w:val="bullet"/>
      <w:lvlText w:val=""/>
      <w:lvlJc w:val="left"/>
      <w:pPr>
        <w:ind w:left="2880" w:hanging="360"/>
      </w:pPr>
      <w:rPr>
        <w:rFonts w:ascii="Symbol" w:hAnsi="Symbol" w:hint="default"/>
      </w:rPr>
    </w:lvl>
    <w:lvl w:ilvl="4" w:tplc="064039FC">
      <w:start w:val="1"/>
      <w:numFmt w:val="bullet"/>
      <w:lvlText w:val="o"/>
      <w:lvlJc w:val="left"/>
      <w:pPr>
        <w:ind w:left="3600" w:hanging="360"/>
      </w:pPr>
      <w:rPr>
        <w:rFonts w:ascii="Courier New" w:hAnsi="Courier New" w:hint="default"/>
      </w:rPr>
    </w:lvl>
    <w:lvl w:ilvl="5" w:tplc="C7E05E7E">
      <w:start w:val="1"/>
      <w:numFmt w:val="bullet"/>
      <w:lvlText w:val=""/>
      <w:lvlJc w:val="left"/>
      <w:pPr>
        <w:ind w:left="4320" w:hanging="360"/>
      </w:pPr>
      <w:rPr>
        <w:rFonts w:ascii="Wingdings" w:hAnsi="Wingdings" w:hint="default"/>
      </w:rPr>
    </w:lvl>
    <w:lvl w:ilvl="6" w:tplc="6E1CBBBC">
      <w:start w:val="1"/>
      <w:numFmt w:val="bullet"/>
      <w:lvlText w:val=""/>
      <w:lvlJc w:val="left"/>
      <w:pPr>
        <w:ind w:left="5040" w:hanging="360"/>
      </w:pPr>
      <w:rPr>
        <w:rFonts w:ascii="Symbol" w:hAnsi="Symbol" w:hint="default"/>
      </w:rPr>
    </w:lvl>
    <w:lvl w:ilvl="7" w:tplc="9B72F9A6">
      <w:start w:val="1"/>
      <w:numFmt w:val="bullet"/>
      <w:lvlText w:val="o"/>
      <w:lvlJc w:val="left"/>
      <w:pPr>
        <w:ind w:left="5760" w:hanging="360"/>
      </w:pPr>
      <w:rPr>
        <w:rFonts w:ascii="Courier New" w:hAnsi="Courier New" w:hint="default"/>
      </w:rPr>
    </w:lvl>
    <w:lvl w:ilvl="8" w:tplc="D74894EC">
      <w:start w:val="1"/>
      <w:numFmt w:val="bullet"/>
      <w:lvlText w:val=""/>
      <w:lvlJc w:val="left"/>
      <w:pPr>
        <w:ind w:left="6480" w:hanging="360"/>
      </w:pPr>
      <w:rPr>
        <w:rFonts w:ascii="Wingdings" w:hAnsi="Wingdings" w:hint="default"/>
      </w:rPr>
    </w:lvl>
  </w:abstractNum>
  <w:abstractNum w:abstractNumId="12" w15:restartNumberingAfterBreak="0">
    <w:nsid w:val="3048B179"/>
    <w:multiLevelType w:val="hybridMultilevel"/>
    <w:tmpl w:val="BFF48F66"/>
    <w:lvl w:ilvl="0" w:tplc="AAFC166E">
      <w:start w:val="1"/>
      <w:numFmt w:val="bullet"/>
      <w:lvlText w:val="-"/>
      <w:lvlJc w:val="left"/>
      <w:pPr>
        <w:ind w:left="720" w:hanging="360"/>
      </w:pPr>
      <w:rPr>
        <w:rFonts w:ascii="Aptos" w:hAnsi="Aptos" w:hint="default"/>
      </w:rPr>
    </w:lvl>
    <w:lvl w:ilvl="1" w:tplc="EDDEFFAC">
      <w:start w:val="1"/>
      <w:numFmt w:val="bullet"/>
      <w:lvlText w:val="o"/>
      <w:lvlJc w:val="left"/>
      <w:pPr>
        <w:ind w:left="1440" w:hanging="360"/>
      </w:pPr>
      <w:rPr>
        <w:rFonts w:ascii="Courier New" w:hAnsi="Courier New" w:hint="default"/>
      </w:rPr>
    </w:lvl>
    <w:lvl w:ilvl="2" w:tplc="22DA75AC">
      <w:start w:val="1"/>
      <w:numFmt w:val="bullet"/>
      <w:lvlText w:val=""/>
      <w:lvlJc w:val="left"/>
      <w:pPr>
        <w:ind w:left="2160" w:hanging="360"/>
      </w:pPr>
      <w:rPr>
        <w:rFonts w:ascii="Wingdings" w:hAnsi="Wingdings" w:hint="default"/>
      </w:rPr>
    </w:lvl>
    <w:lvl w:ilvl="3" w:tplc="ADA880C0">
      <w:start w:val="1"/>
      <w:numFmt w:val="bullet"/>
      <w:lvlText w:val=""/>
      <w:lvlJc w:val="left"/>
      <w:pPr>
        <w:ind w:left="2880" w:hanging="360"/>
      </w:pPr>
      <w:rPr>
        <w:rFonts w:ascii="Symbol" w:hAnsi="Symbol" w:hint="default"/>
      </w:rPr>
    </w:lvl>
    <w:lvl w:ilvl="4" w:tplc="AD56323A">
      <w:start w:val="1"/>
      <w:numFmt w:val="bullet"/>
      <w:lvlText w:val="o"/>
      <w:lvlJc w:val="left"/>
      <w:pPr>
        <w:ind w:left="3600" w:hanging="360"/>
      </w:pPr>
      <w:rPr>
        <w:rFonts w:ascii="Courier New" w:hAnsi="Courier New" w:hint="default"/>
      </w:rPr>
    </w:lvl>
    <w:lvl w:ilvl="5" w:tplc="6548EB54">
      <w:start w:val="1"/>
      <w:numFmt w:val="bullet"/>
      <w:lvlText w:val=""/>
      <w:lvlJc w:val="left"/>
      <w:pPr>
        <w:ind w:left="4320" w:hanging="360"/>
      </w:pPr>
      <w:rPr>
        <w:rFonts w:ascii="Wingdings" w:hAnsi="Wingdings" w:hint="default"/>
      </w:rPr>
    </w:lvl>
    <w:lvl w:ilvl="6" w:tplc="94669DDE">
      <w:start w:val="1"/>
      <w:numFmt w:val="bullet"/>
      <w:lvlText w:val=""/>
      <w:lvlJc w:val="left"/>
      <w:pPr>
        <w:ind w:left="5040" w:hanging="360"/>
      </w:pPr>
      <w:rPr>
        <w:rFonts w:ascii="Symbol" w:hAnsi="Symbol" w:hint="default"/>
      </w:rPr>
    </w:lvl>
    <w:lvl w:ilvl="7" w:tplc="EEFE3C64">
      <w:start w:val="1"/>
      <w:numFmt w:val="bullet"/>
      <w:lvlText w:val="o"/>
      <w:lvlJc w:val="left"/>
      <w:pPr>
        <w:ind w:left="5760" w:hanging="360"/>
      </w:pPr>
      <w:rPr>
        <w:rFonts w:ascii="Courier New" w:hAnsi="Courier New" w:hint="default"/>
      </w:rPr>
    </w:lvl>
    <w:lvl w:ilvl="8" w:tplc="2E04DC80">
      <w:start w:val="1"/>
      <w:numFmt w:val="bullet"/>
      <w:lvlText w:val=""/>
      <w:lvlJc w:val="left"/>
      <w:pPr>
        <w:ind w:left="6480" w:hanging="360"/>
      </w:pPr>
      <w:rPr>
        <w:rFonts w:ascii="Wingdings" w:hAnsi="Wingdings" w:hint="default"/>
      </w:rPr>
    </w:lvl>
  </w:abstractNum>
  <w:abstractNum w:abstractNumId="13"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4"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16"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7" w15:restartNumberingAfterBreak="0">
    <w:nsid w:val="38D9E30E"/>
    <w:multiLevelType w:val="hybridMultilevel"/>
    <w:tmpl w:val="2B8C0F80"/>
    <w:lvl w:ilvl="0" w:tplc="1772BC20">
      <w:start w:val="1"/>
      <w:numFmt w:val="bullet"/>
      <w:lvlText w:val="-"/>
      <w:lvlJc w:val="left"/>
      <w:pPr>
        <w:ind w:left="720" w:hanging="360"/>
      </w:pPr>
      <w:rPr>
        <w:rFonts w:ascii="Aptos" w:hAnsi="Aptos" w:hint="default"/>
      </w:rPr>
    </w:lvl>
    <w:lvl w:ilvl="1" w:tplc="9DBCBEA0">
      <w:start w:val="1"/>
      <w:numFmt w:val="bullet"/>
      <w:lvlText w:val="o"/>
      <w:lvlJc w:val="left"/>
      <w:pPr>
        <w:ind w:left="1440" w:hanging="360"/>
      </w:pPr>
      <w:rPr>
        <w:rFonts w:ascii="Courier New" w:hAnsi="Courier New" w:hint="default"/>
      </w:rPr>
    </w:lvl>
    <w:lvl w:ilvl="2" w:tplc="9BAE05D2">
      <w:start w:val="1"/>
      <w:numFmt w:val="bullet"/>
      <w:lvlText w:val=""/>
      <w:lvlJc w:val="left"/>
      <w:pPr>
        <w:ind w:left="2160" w:hanging="360"/>
      </w:pPr>
      <w:rPr>
        <w:rFonts w:ascii="Wingdings" w:hAnsi="Wingdings" w:hint="default"/>
      </w:rPr>
    </w:lvl>
    <w:lvl w:ilvl="3" w:tplc="AF469D8C">
      <w:start w:val="1"/>
      <w:numFmt w:val="bullet"/>
      <w:lvlText w:val=""/>
      <w:lvlJc w:val="left"/>
      <w:pPr>
        <w:ind w:left="2880" w:hanging="360"/>
      </w:pPr>
      <w:rPr>
        <w:rFonts w:ascii="Symbol" w:hAnsi="Symbol" w:hint="default"/>
      </w:rPr>
    </w:lvl>
    <w:lvl w:ilvl="4" w:tplc="88FA816C">
      <w:start w:val="1"/>
      <w:numFmt w:val="bullet"/>
      <w:lvlText w:val="o"/>
      <w:lvlJc w:val="left"/>
      <w:pPr>
        <w:ind w:left="3600" w:hanging="360"/>
      </w:pPr>
      <w:rPr>
        <w:rFonts w:ascii="Courier New" w:hAnsi="Courier New" w:hint="default"/>
      </w:rPr>
    </w:lvl>
    <w:lvl w:ilvl="5" w:tplc="820A40CE">
      <w:start w:val="1"/>
      <w:numFmt w:val="bullet"/>
      <w:lvlText w:val=""/>
      <w:lvlJc w:val="left"/>
      <w:pPr>
        <w:ind w:left="4320" w:hanging="360"/>
      </w:pPr>
      <w:rPr>
        <w:rFonts w:ascii="Wingdings" w:hAnsi="Wingdings" w:hint="default"/>
      </w:rPr>
    </w:lvl>
    <w:lvl w:ilvl="6" w:tplc="AD06537A">
      <w:start w:val="1"/>
      <w:numFmt w:val="bullet"/>
      <w:lvlText w:val=""/>
      <w:lvlJc w:val="left"/>
      <w:pPr>
        <w:ind w:left="5040" w:hanging="360"/>
      </w:pPr>
      <w:rPr>
        <w:rFonts w:ascii="Symbol" w:hAnsi="Symbol" w:hint="default"/>
      </w:rPr>
    </w:lvl>
    <w:lvl w:ilvl="7" w:tplc="E09E8CD0">
      <w:start w:val="1"/>
      <w:numFmt w:val="bullet"/>
      <w:lvlText w:val="o"/>
      <w:lvlJc w:val="left"/>
      <w:pPr>
        <w:ind w:left="5760" w:hanging="360"/>
      </w:pPr>
      <w:rPr>
        <w:rFonts w:ascii="Courier New" w:hAnsi="Courier New" w:hint="default"/>
      </w:rPr>
    </w:lvl>
    <w:lvl w:ilvl="8" w:tplc="750E39D2">
      <w:start w:val="1"/>
      <w:numFmt w:val="bullet"/>
      <w:lvlText w:val=""/>
      <w:lvlJc w:val="left"/>
      <w:pPr>
        <w:ind w:left="6480" w:hanging="360"/>
      </w:pPr>
      <w:rPr>
        <w:rFonts w:ascii="Wingdings" w:hAnsi="Wingdings" w:hint="default"/>
      </w:rPr>
    </w:lvl>
  </w:abstractNum>
  <w:abstractNum w:abstractNumId="18"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9"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20" w15:restartNumberingAfterBreak="0">
    <w:nsid w:val="433F9F6E"/>
    <w:multiLevelType w:val="hybridMultilevel"/>
    <w:tmpl w:val="0C241F5A"/>
    <w:lvl w:ilvl="0" w:tplc="147C33F0">
      <w:start w:val="1"/>
      <w:numFmt w:val="bullet"/>
      <w:lvlText w:val="-"/>
      <w:lvlJc w:val="left"/>
      <w:pPr>
        <w:ind w:left="720" w:hanging="360"/>
      </w:pPr>
      <w:rPr>
        <w:rFonts w:ascii="Aptos" w:hAnsi="Aptos" w:hint="default"/>
      </w:rPr>
    </w:lvl>
    <w:lvl w:ilvl="1" w:tplc="F39EB884">
      <w:start w:val="1"/>
      <w:numFmt w:val="bullet"/>
      <w:lvlText w:val="o"/>
      <w:lvlJc w:val="left"/>
      <w:pPr>
        <w:ind w:left="1440" w:hanging="360"/>
      </w:pPr>
      <w:rPr>
        <w:rFonts w:ascii="Courier New" w:hAnsi="Courier New" w:hint="default"/>
      </w:rPr>
    </w:lvl>
    <w:lvl w:ilvl="2" w:tplc="22C67EC0">
      <w:start w:val="1"/>
      <w:numFmt w:val="bullet"/>
      <w:lvlText w:val=""/>
      <w:lvlJc w:val="left"/>
      <w:pPr>
        <w:ind w:left="2160" w:hanging="360"/>
      </w:pPr>
      <w:rPr>
        <w:rFonts w:ascii="Wingdings" w:hAnsi="Wingdings" w:hint="default"/>
      </w:rPr>
    </w:lvl>
    <w:lvl w:ilvl="3" w:tplc="02224532">
      <w:start w:val="1"/>
      <w:numFmt w:val="bullet"/>
      <w:lvlText w:val=""/>
      <w:lvlJc w:val="left"/>
      <w:pPr>
        <w:ind w:left="2880" w:hanging="360"/>
      </w:pPr>
      <w:rPr>
        <w:rFonts w:ascii="Symbol" w:hAnsi="Symbol" w:hint="default"/>
      </w:rPr>
    </w:lvl>
    <w:lvl w:ilvl="4" w:tplc="EC2616F2">
      <w:start w:val="1"/>
      <w:numFmt w:val="bullet"/>
      <w:lvlText w:val="o"/>
      <w:lvlJc w:val="left"/>
      <w:pPr>
        <w:ind w:left="3600" w:hanging="360"/>
      </w:pPr>
      <w:rPr>
        <w:rFonts w:ascii="Courier New" w:hAnsi="Courier New" w:hint="default"/>
      </w:rPr>
    </w:lvl>
    <w:lvl w:ilvl="5" w:tplc="8E5AA9FC">
      <w:start w:val="1"/>
      <w:numFmt w:val="bullet"/>
      <w:lvlText w:val=""/>
      <w:lvlJc w:val="left"/>
      <w:pPr>
        <w:ind w:left="4320" w:hanging="360"/>
      </w:pPr>
      <w:rPr>
        <w:rFonts w:ascii="Wingdings" w:hAnsi="Wingdings" w:hint="default"/>
      </w:rPr>
    </w:lvl>
    <w:lvl w:ilvl="6" w:tplc="D602877C">
      <w:start w:val="1"/>
      <w:numFmt w:val="bullet"/>
      <w:lvlText w:val=""/>
      <w:lvlJc w:val="left"/>
      <w:pPr>
        <w:ind w:left="5040" w:hanging="360"/>
      </w:pPr>
      <w:rPr>
        <w:rFonts w:ascii="Symbol" w:hAnsi="Symbol" w:hint="default"/>
      </w:rPr>
    </w:lvl>
    <w:lvl w:ilvl="7" w:tplc="10FCF104">
      <w:start w:val="1"/>
      <w:numFmt w:val="bullet"/>
      <w:lvlText w:val="o"/>
      <w:lvlJc w:val="left"/>
      <w:pPr>
        <w:ind w:left="5760" w:hanging="360"/>
      </w:pPr>
      <w:rPr>
        <w:rFonts w:ascii="Courier New" w:hAnsi="Courier New" w:hint="default"/>
      </w:rPr>
    </w:lvl>
    <w:lvl w:ilvl="8" w:tplc="BCF201C8">
      <w:start w:val="1"/>
      <w:numFmt w:val="bullet"/>
      <w:lvlText w:val=""/>
      <w:lvlJc w:val="left"/>
      <w:pPr>
        <w:ind w:left="6480" w:hanging="360"/>
      </w:pPr>
      <w:rPr>
        <w:rFonts w:ascii="Wingdings" w:hAnsi="Wingdings" w:hint="default"/>
      </w:rPr>
    </w:lvl>
  </w:abstractNum>
  <w:abstractNum w:abstractNumId="21" w15:restartNumberingAfterBreak="0">
    <w:nsid w:val="56B7004E"/>
    <w:multiLevelType w:val="hybridMultilevel"/>
    <w:tmpl w:val="AE58D62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2" w15:restartNumberingAfterBreak="0">
    <w:nsid w:val="66671A06"/>
    <w:multiLevelType w:val="multilevel"/>
    <w:tmpl w:val="2722B1F8"/>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6C1896EA"/>
    <w:multiLevelType w:val="hybridMultilevel"/>
    <w:tmpl w:val="C6F097AA"/>
    <w:lvl w:ilvl="0" w:tplc="CC6837E2">
      <w:start w:val="1"/>
      <w:numFmt w:val="bullet"/>
      <w:lvlText w:val="-"/>
      <w:lvlJc w:val="left"/>
      <w:pPr>
        <w:ind w:left="720" w:hanging="360"/>
      </w:pPr>
      <w:rPr>
        <w:rFonts w:ascii="Aptos" w:hAnsi="Aptos" w:hint="default"/>
      </w:rPr>
    </w:lvl>
    <w:lvl w:ilvl="1" w:tplc="62A01A54">
      <w:start w:val="1"/>
      <w:numFmt w:val="bullet"/>
      <w:lvlText w:val="o"/>
      <w:lvlJc w:val="left"/>
      <w:pPr>
        <w:ind w:left="1440" w:hanging="360"/>
      </w:pPr>
      <w:rPr>
        <w:rFonts w:ascii="Courier New" w:hAnsi="Courier New" w:hint="default"/>
      </w:rPr>
    </w:lvl>
    <w:lvl w:ilvl="2" w:tplc="78C22788">
      <w:start w:val="1"/>
      <w:numFmt w:val="bullet"/>
      <w:lvlText w:val=""/>
      <w:lvlJc w:val="left"/>
      <w:pPr>
        <w:ind w:left="2160" w:hanging="360"/>
      </w:pPr>
      <w:rPr>
        <w:rFonts w:ascii="Wingdings" w:hAnsi="Wingdings" w:hint="default"/>
      </w:rPr>
    </w:lvl>
    <w:lvl w:ilvl="3" w:tplc="11E00E68">
      <w:start w:val="1"/>
      <w:numFmt w:val="bullet"/>
      <w:lvlText w:val=""/>
      <w:lvlJc w:val="left"/>
      <w:pPr>
        <w:ind w:left="2880" w:hanging="360"/>
      </w:pPr>
      <w:rPr>
        <w:rFonts w:ascii="Symbol" w:hAnsi="Symbol" w:hint="default"/>
      </w:rPr>
    </w:lvl>
    <w:lvl w:ilvl="4" w:tplc="F6720EEA">
      <w:start w:val="1"/>
      <w:numFmt w:val="bullet"/>
      <w:lvlText w:val="o"/>
      <w:lvlJc w:val="left"/>
      <w:pPr>
        <w:ind w:left="3600" w:hanging="360"/>
      </w:pPr>
      <w:rPr>
        <w:rFonts w:ascii="Courier New" w:hAnsi="Courier New" w:hint="default"/>
      </w:rPr>
    </w:lvl>
    <w:lvl w:ilvl="5" w:tplc="A12A428E">
      <w:start w:val="1"/>
      <w:numFmt w:val="bullet"/>
      <w:lvlText w:val=""/>
      <w:lvlJc w:val="left"/>
      <w:pPr>
        <w:ind w:left="4320" w:hanging="360"/>
      </w:pPr>
      <w:rPr>
        <w:rFonts w:ascii="Wingdings" w:hAnsi="Wingdings" w:hint="default"/>
      </w:rPr>
    </w:lvl>
    <w:lvl w:ilvl="6" w:tplc="BF4C692C">
      <w:start w:val="1"/>
      <w:numFmt w:val="bullet"/>
      <w:lvlText w:val=""/>
      <w:lvlJc w:val="left"/>
      <w:pPr>
        <w:ind w:left="5040" w:hanging="360"/>
      </w:pPr>
      <w:rPr>
        <w:rFonts w:ascii="Symbol" w:hAnsi="Symbol" w:hint="default"/>
      </w:rPr>
    </w:lvl>
    <w:lvl w:ilvl="7" w:tplc="159AFBCC">
      <w:start w:val="1"/>
      <w:numFmt w:val="bullet"/>
      <w:lvlText w:val="o"/>
      <w:lvlJc w:val="left"/>
      <w:pPr>
        <w:ind w:left="5760" w:hanging="360"/>
      </w:pPr>
      <w:rPr>
        <w:rFonts w:ascii="Courier New" w:hAnsi="Courier New" w:hint="default"/>
      </w:rPr>
    </w:lvl>
    <w:lvl w:ilvl="8" w:tplc="5A12E5D0">
      <w:start w:val="1"/>
      <w:numFmt w:val="bullet"/>
      <w:lvlText w:val=""/>
      <w:lvlJc w:val="left"/>
      <w:pPr>
        <w:ind w:left="6480" w:hanging="360"/>
      </w:pPr>
      <w:rPr>
        <w:rFonts w:ascii="Wingdings" w:hAnsi="Wingdings" w:hint="default"/>
      </w:rPr>
    </w:lvl>
  </w:abstractNum>
  <w:abstractNum w:abstractNumId="24" w15:restartNumberingAfterBreak="0">
    <w:nsid w:val="6DD8EB1C"/>
    <w:multiLevelType w:val="multilevel"/>
    <w:tmpl w:val="2EB0706C"/>
    <w:lvl w:ilvl="0">
      <w:start w:val="1"/>
      <w:numFmt w:val="decimal"/>
      <w:lvlText w:val="%1."/>
      <w:lvlJc w:val="left"/>
      <w:pPr>
        <w:ind w:left="720" w:hanging="360"/>
      </w:pPr>
    </w:lvl>
    <w:lvl w:ilvl="1">
      <w:start w:val="3"/>
      <w:numFmt w:val="decimal"/>
      <w:lvlText w:val="%1.%2."/>
      <w:lvlJc w:val="left"/>
      <w:pPr>
        <w:ind w:left="1440" w:hanging="360"/>
      </w:pPr>
      <w:rPr>
        <w:rFonts w:ascii="Times New Roman" w:hAnsi="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3221E72"/>
    <w:multiLevelType w:val="hybridMultilevel"/>
    <w:tmpl w:val="FA18135C"/>
    <w:lvl w:ilvl="0" w:tplc="FD428BF6">
      <w:start w:val="1"/>
      <w:numFmt w:val="bullet"/>
      <w:lvlText w:val="-"/>
      <w:lvlJc w:val="left"/>
      <w:pPr>
        <w:ind w:left="720" w:hanging="360"/>
      </w:pPr>
      <w:rPr>
        <w:rFonts w:ascii="Aptos" w:hAnsi="Aptos" w:hint="default"/>
      </w:rPr>
    </w:lvl>
    <w:lvl w:ilvl="1" w:tplc="D6867F30">
      <w:start w:val="1"/>
      <w:numFmt w:val="bullet"/>
      <w:lvlText w:val="o"/>
      <w:lvlJc w:val="left"/>
      <w:pPr>
        <w:ind w:left="1440" w:hanging="360"/>
      </w:pPr>
      <w:rPr>
        <w:rFonts w:ascii="Courier New" w:hAnsi="Courier New" w:hint="default"/>
      </w:rPr>
    </w:lvl>
    <w:lvl w:ilvl="2" w:tplc="EE92F11A">
      <w:start w:val="1"/>
      <w:numFmt w:val="bullet"/>
      <w:lvlText w:val=""/>
      <w:lvlJc w:val="left"/>
      <w:pPr>
        <w:ind w:left="2160" w:hanging="360"/>
      </w:pPr>
      <w:rPr>
        <w:rFonts w:ascii="Wingdings" w:hAnsi="Wingdings" w:hint="default"/>
      </w:rPr>
    </w:lvl>
    <w:lvl w:ilvl="3" w:tplc="2C80B996">
      <w:start w:val="1"/>
      <w:numFmt w:val="bullet"/>
      <w:lvlText w:val=""/>
      <w:lvlJc w:val="left"/>
      <w:pPr>
        <w:ind w:left="2880" w:hanging="360"/>
      </w:pPr>
      <w:rPr>
        <w:rFonts w:ascii="Symbol" w:hAnsi="Symbol" w:hint="default"/>
      </w:rPr>
    </w:lvl>
    <w:lvl w:ilvl="4" w:tplc="362EEF88">
      <w:start w:val="1"/>
      <w:numFmt w:val="bullet"/>
      <w:lvlText w:val="o"/>
      <w:lvlJc w:val="left"/>
      <w:pPr>
        <w:ind w:left="3600" w:hanging="360"/>
      </w:pPr>
      <w:rPr>
        <w:rFonts w:ascii="Courier New" w:hAnsi="Courier New" w:hint="default"/>
      </w:rPr>
    </w:lvl>
    <w:lvl w:ilvl="5" w:tplc="D33C3206">
      <w:start w:val="1"/>
      <w:numFmt w:val="bullet"/>
      <w:lvlText w:val=""/>
      <w:lvlJc w:val="left"/>
      <w:pPr>
        <w:ind w:left="4320" w:hanging="360"/>
      </w:pPr>
      <w:rPr>
        <w:rFonts w:ascii="Wingdings" w:hAnsi="Wingdings" w:hint="default"/>
      </w:rPr>
    </w:lvl>
    <w:lvl w:ilvl="6" w:tplc="97A63CCA">
      <w:start w:val="1"/>
      <w:numFmt w:val="bullet"/>
      <w:lvlText w:val=""/>
      <w:lvlJc w:val="left"/>
      <w:pPr>
        <w:ind w:left="5040" w:hanging="360"/>
      </w:pPr>
      <w:rPr>
        <w:rFonts w:ascii="Symbol" w:hAnsi="Symbol" w:hint="default"/>
      </w:rPr>
    </w:lvl>
    <w:lvl w:ilvl="7" w:tplc="84EAA2D6">
      <w:start w:val="1"/>
      <w:numFmt w:val="bullet"/>
      <w:lvlText w:val="o"/>
      <w:lvlJc w:val="left"/>
      <w:pPr>
        <w:ind w:left="5760" w:hanging="360"/>
      </w:pPr>
      <w:rPr>
        <w:rFonts w:ascii="Courier New" w:hAnsi="Courier New" w:hint="default"/>
      </w:rPr>
    </w:lvl>
    <w:lvl w:ilvl="8" w:tplc="53F65CA6">
      <w:start w:val="1"/>
      <w:numFmt w:val="bullet"/>
      <w:lvlText w:val=""/>
      <w:lvlJc w:val="left"/>
      <w:pPr>
        <w:ind w:left="6480" w:hanging="360"/>
      </w:pPr>
      <w:rPr>
        <w:rFonts w:ascii="Wingdings" w:hAnsi="Wingdings" w:hint="default"/>
      </w:rPr>
    </w:lvl>
  </w:abstractNum>
  <w:abstractNum w:abstractNumId="26" w15:restartNumberingAfterBreak="0">
    <w:nsid w:val="77B6EFBC"/>
    <w:multiLevelType w:val="hybridMultilevel"/>
    <w:tmpl w:val="9EBE4950"/>
    <w:lvl w:ilvl="0" w:tplc="D2246BCA">
      <w:start w:val="1"/>
      <w:numFmt w:val="bullet"/>
      <w:lvlText w:val="-"/>
      <w:lvlJc w:val="left"/>
      <w:pPr>
        <w:ind w:left="720" w:hanging="360"/>
      </w:pPr>
      <w:rPr>
        <w:rFonts w:ascii="Aptos" w:hAnsi="Aptos" w:hint="default"/>
      </w:rPr>
    </w:lvl>
    <w:lvl w:ilvl="1" w:tplc="B2BA0126">
      <w:start w:val="1"/>
      <w:numFmt w:val="bullet"/>
      <w:lvlText w:val="o"/>
      <w:lvlJc w:val="left"/>
      <w:pPr>
        <w:ind w:left="1440" w:hanging="360"/>
      </w:pPr>
      <w:rPr>
        <w:rFonts w:ascii="Courier New" w:hAnsi="Courier New" w:hint="default"/>
      </w:rPr>
    </w:lvl>
    <w:lvl w:ilvl="2" w:tplc="59D6BF62">
      <w:start w:val="1"/>
      <w:numFmt w:val="bullet"/>
      <w:lvlText w:val=""/>
      <w:lvlJc w:val="left"/>
      <w:pPr>
        <w:ind w:left="2160" w:hanging="360"/>
      </w:pPr>
      <w:rPr>
        <w:rFonts w:ascii="Wingdings" w:hAnsi="Wingdings" w:hint="default"/>
      </w:rPr>
    </w:lvl>
    <w:lvl w:ilvl="3" w:tplc="8D50C1A0">
      <w:start w:val="1"/>
      <w:numFmt w:val="bullet"/>
      <w:lvlText w:val=""/>
      <w:lvlJc w:val="left"/>
      <w:pPr>
        <w:ind w:left="2880" w:hanging="360"/>
      </w:pPr>
      <w:rPr>
        <w:rFonts w:ascii="Symbol" w:hAnsi="Symbol" w:hint="default"/>
      </w:rPr>
    </w:lvl>
    <w:lvl w:ilvl="4" w:tplc="9EB4E19A">
      <w:start w:val="1"/>
      <w:numFmt w:val="bullet"/>
      <w:lvlText w:val="o"/>
      <w:lvlJc w:val="left"/>
      <w:pPr>
        <w:ind w:left="3600" w:hanging="360"/>
      </w:pPr>
      <w:rPr>
        <w:rFonts w:ascii="Courier New" w:hAnsi="Courier New" w:hint="default"/>
      </w:rPr>
    </w:lvl>
    <w:lvl w:ilvl="5" w:tplc="79C62490">
      <w:start w:val="1"/>
      <w:numFmt w:val="bullet"/>
      <w:lvlText w:val=""/>
      <w:lvlJc w:val="left"/>
      <w:pPr>
        <w:ind w:left="4320" w:hanging="360"/>
      </w:pPr>
      <w:rPr>
        <w:rFonts w:ascii="Wingdings" w:hAnsi="Wingdings" w:hint="default"/>
      </w:rPr>
    </w:lvl>
    <w:lvl w:ilvl="6" w:tplc="FB64CF64">
      <w:start w:val="1"/>
      <w:numFmt w:val="bullet"/>
      <w:lvlText w:val=""/>
      <w:lvlJc w:val="left"/>
      <w:pPr>
        <w:ind w:left="5040" w:hanging="360"/>
      </w:pPr>
      <w:rPr>
        <w:rFonts w:ascii="Symbol" w:hAnsi="Symbol" w:hint="default"/>
      </w:rPr>
    </w:lvl>
    <w:lvl w:ilvl="7" w:tplc="C8F85422">
      <w:start w:val="1"/>
      <w:numFmt w:val="bullet"/>
      <w:lvlText w:val="o"/>
      <w:lvlJc w:val="left"/>
      <w:pPr>
        <w:ind w:left="5760" w:hanging="360"/>
      </w:pPr>
      <w:rPr>
        <w:rFonts w:ascii="Courier New" w:hAnsi="Courier New" w:hint="default"/>
      </w:rPr>
    </w:lvl>
    <w:lvl w:ilvl="8" w:tplc="F8AC70EA">
      <w:start w:val="1"/>
      <w:numFmt w:val="bullet"/>
      <w:lvlText w:val=""/>
      <w:lvlJc w:val="left"/>
      <w:pPr>
        <w:ind w:left="6480" w:hanging="360"/>
      </w:pPr>
      <w:rPr>
        <w:rFonts w:ascii="Wingdings" w:hAnsi="Wingdings" w:hint="default"/>
      </w:rPr>
    </w:lvl>
  </w:abstractNum>
  <w:abstractNum w:abstractNumId="27" w15:restartNumberingAfterBreak="0">
    <w:nsid w:val="7CAD8390"/>
    <w:multiLevelType w:val="hybridMultilevel"/>
    <w:tmpl w:val="80825A04"/>
    <w:lvl w:ilvl="0" w:tplc="C1E88534">
      <w:start w:val="1"/>
      <w:numFmt w:val="bullet"/>
      <w:lvlText w:val="-"/>
      <w:lvlJc w:val="left"/>
      <w:pPr>
        <w:ind w:left="720" w:hanging="360"/>
      </w:pPr>
      <w:rPr>
        <w:rFonts w:ascii="Aptos" w:hAnsi="Aptos" w:hint="default"/>
      </w:rPr>
    </w:lvl>
    <w:lvl w:ilvl="1" w:tplc="9E3C133A">
      <w:start w:val="1"/>
      <w:numFmt w:val="bullet"/>
      <w:lvlText w:val="o"/>
      <w:lvlJc w:val="left"/>
      <w:pPr>
        <w:ind w:left="1440" w:hanging="360"/>
      </w:pPr>
      <w:rPr>
        <w:rFonts w:ascii="Courier New" w:hAnsi="Courier New" w:hint="default"/>
      </w:rPr>
    </w:lvl>
    <w:lvl w:ilvl="2" w:tplc="F612CD80">
      <w:start w:val="1"/>
      <w:numFmt w:val="bullet"/>
      <w:lvlText w:val=""/>
      <w:lvlJc w:val="left"/>
      <w:pPr>
        <w:ind w:left="2160" w:hanging="360"/>
      </w:pPr>
      <w:rPr>
        <w:rFonts w:ascii="Wingdings" w:hAnsi="Wingdings" w:hint="default"/>
      </w:rPr>
    </w:lvl>
    <w:lvl w:ilvl="3" w:tplc="4106F276">
      <w:start w:val="1"/>
      <w:numFmt w:val="bullet"/>
      <w:lvlText w:val=""/>
      <w:lvlJc w:val="left"/>
      <w:pPr>
        <w:ind w:left="2880" w:hanging="360"/>
      </w:pPr>
      <w:rPr>
        <w:rFonts w:ascii="Symbol" w:hAnsi="Symbol" w:hint="default"/>
      </w:rPr>
    </w:lvl>
    <w:lvl w:ilvl="4" w:tplc="337A256C">
      <w:start w:val="1"/>
      <w:numFmt w:val="bullet"/>
      <w:lvlText w:val="o"/>
      <w:lvlJc w:val="left"/>
      <w:pPr>
        <w:ind w:left="3600" w:hanging="360"/>
      </w:pPr>
      <w:rPr>
        <w:rFonts w:ascii="Courier New" w:hAnsi="Courier New" w:hint="default"/>
      </w:rPr>
    </w:lvl>
    <w:lvl w:ilvl="5" w:tplc="0D12EAE0">
      <w:start w:val="1"/>
      <w:numFmt w:val="bullet"/>
      <w:lvlText w:val=""/>
      <w:lvlJc w:val="left"/>
      <w:pPr>
        <w:ind w:left="4320" w:hanging="360"/>
      </w:pPr>
      <w:rPr>
        <w:rFonts w:ascii="Wingdings" w:hAnsi="Wingdings" w:hint="default"/>
      </w:rPr>
    </w:lvl>
    <w:lvl w:ilvl="6" w:tplc="3DDECB36">
      <w:start w:val="1"/>
      <w:numFmt w:val="bullet"/>
      <w:lvlText w:val=""/>
      <w:lvlJc w:val="left"/>
      <w:pPr>
        <w:ind w:left="5040" w:hanging="360"/>
      </w:pPr>
      <w:rPr>
        <w:rFonts w:ascii="Symbol" w:hAnsi="Symbol" w:hint="default"/>
      </w:rPr>
    </w:lvl>
    <w:lvl w:ilvl="7" w:tplc="7DAEDDFC">
      <w:start w:val="1"/>
      <w:numFmt w:val="bullet"/>
      <w:lvlText w:val="o"/>
      <w:lvlJc w:val="left"/>
      <w:pPr>
        <w:ind w:left="5760" w:hanging="360"/>
      </w:pPr>
      <w:rPr>
        <w:rFonts w:ascii="Courier New" w:hAnsi="Courier New" w:hint="default"/>
      </w:rPr>
    </w:lvl>
    <w:lvl w:ilvl="8" w:tplc="BC8E0792">
      <w:start w:val="1"/>
      <w:numFmt w:val="bullet"/>
      <w:lvlText w:val=""/>
      <w:lvlJc w:val="left"/>
      <w:pPr>
        <w:ind w:left="6480" w:hanging="360"/>
      </w:pPr>
      <w:rPr>
        <w:rFonts w:ascii="Wingdings" w:hAnsi="Wingdings" w:hint="default"/>
      </w:rPr>
    </w:lvl>
  </w:abstractNum>
  <w:abstractNum w:abstractNumId="28" w15:restartNumberingAfterBreak="0">
    <w:nsid w:val="7CB0FC30"/>
    <w:multiLevelType w:val="hybridMultilevel"/>
    <w:tmpl w:val="9C96CCEE"/>
    <w:lvl w:ilvl="0" w:tplc="84064832">
      <w:start w:val="1"/>
      <w:numFmt w:val="bullet"/>
      <w:lvlText w:val="-"/>
      <w:lvlJc w:val="left"/>
      <w:pPr>
        <w:ind w:left="720" w:hanging="360"/>
      </w:pPr>
      <w:rPr>
        <w:rFonts w:ascii="Aptos" w:hAnsi="Aptos" w:hint="default"/>
      </w:rPr>
    </w:lvl>
    <w:lvl w:ilvl="1" w:tplc="381CEE2A">
      <w:start w:val="1"/>
      <w:numFmt w:val="bullet"/>
      <w:lvlText w:val="o"/>
      <w:lvlJc w:val="left"/>
      <w:pPr>
        <w:ind w:left="1440" w:hanging="360"/>
      </w:pPr>
      <w:rPr>
        <w:rFonts w:ascii="Courier New" w:hAnsi="Courier New" w:hint="default"/>
      </w:rPr>
    </w:lvl>
    <w:lvl w:ilvl="2" w:tplc="631C8136">
      <w:start w:val="1"/>
      <w:numFmt w:val="bullet"/>
      <w:lvlText w:val=""/>
      <w:lvlJc w:val="left"/>
      <w:pPr>
        <w:ind w:left="2160" w:hanging="360"/>
      </w:pPr>
      <w:rPr>
        <w:rFonts w:ascii="Wingdings" w:hAnsi="Wingdings" w:hint="default"/>
      </w:rPr>
    </w:lvl>
    <w:lvl w:ilvl="3" w:tplc="8E363C04">
      <w:start w:val="1"/>
      <w:numFmt w:val="bullet"/>
      <w:lvlText w:val=""/>
      <w:lvlJc w:val="left"/>
      <w:pPr>
        <w:ind w:left="2880" w:hanging="360"/>
      </w:pPr>
      <w:rPr>
        <w:rFonts w:ascii="Symbol" w:hAnsi="Symbol" w:hint="default"/>
      </w:rPr>
    </w:lvl>
    <w:lvl w:ilvl="4" w:tplc="F7B217D2">
      <w:start w:val="1"/>
      <w:numFmt w:val="bullet"/>
      <w:lvlText w:val="o"/>
      <w:lvlJc w:val="left"/>
      <w:pPr>
        <w:ind w:left="3600" w:hanging="360"/>
      </w:pPr>
      <w:rPr>
        <w:rFonts w:ascii="Courier New" w:hAnsi="Courier New" w:hint="default"/>
      </w:rPr>
    </w:lvl>
    <w:lvl w:ilvl="5" w:tplc="2480B450">
      <w:start w:val="1"/>
      <w:numFmt w:val="bullet"/>
      <w:lvlText w:val=""/>
      <w:lvlJc w:val="left"/>
      <w:pPr>
        <w:ind w:left="4320" w:hanging="360"/>
      </w:pPr>
      <w:rPr>
        <w:rFonts w:ascii="Wingdings" w:hAnsi="Wingdings" w:hint="default"/>
      </w:rPr>
    </w:lvl>
    <w:lvl w:ilvl="6" w:tplc="0F4AD36A">
      <w:start w:val="1"/>
      <w:numFmt w:val="bullet"/>
      <w:lvlText w:val=""/>
      <w:lvlJc w:val="left"/>
      <w:pPr>
        <w:ind w:left="5040" w:hanging="360"/>
      </w:pPr>
      <w:rPr>
        <w:rFonts w:ascii="Symbol" w:hAnsi="Symbol" w:hint="default"/>
      </w:rPr>
    </w:lvl>
    <w:lvl w:ilvl="7" w:tplc="345AAEAC">
      <w:start w:val="1"/>
      <w:numFmt w:val="bullet"/>
      <w:lvlText w:val="o"/>
      <w:lvlJc w:val="left"/>
      <w:pPr>
        <w:ind w:left="5760" w:hanging="360"/>
      </w:pPr>
      <w:rPr>
        <w:rFonts w:ascii="Courier New" w:hAnsi="Courier New" w:hint="default"/>
      </w:rPr>
    </w:lvl>
    <w:lvl w:ilvl="8" w:tplc="A7C82362">
      <w:start w:val="1"/>
      <w:numFmt w:val="bullet"/>
      <w:lvlText w:val=""/>
      <w:lvlJc w:val="left"/>
      <w:pPr>
        <w:ind w:left="6480" w:hanging="360"/>
      </w:pPr>
      <w:rPr>
        <w:rFonts w:ascii="Wingdings" w:hAnsi="Wingdings" w:hint="default"/>
      </w:rPr>
    </w:lvl>
  </w:abstractNum>
  <w:num w:numId="1" w16cid:durableId="7484317">
    <w:abstractNumId w:val="24"/>
  </w:num>
  <w:num w:numId="2" w16cid:durableId="730926737">
    <w:abstractNumId w:val="22"/>
  </w:num>
  <w:num w:numId="3" w16cid:durableId="129247249">
    <w:abstractNumId w:val="0"/>
  </w:num>
  <w:num w:numId="4" w16cid:durableId="1102653833">
    <w:abstractNumId w:val="23"/>
  </w:num>
  <w:num w:numId="5" w16cid:durableId="1863280019">
    <w:abstractNumId w:val="12"/>
  </w:num>
  <w:num w:numId="6" w16cid:durableId="147989218">
    <w:abstractNumId w:val="27"/>
  </w:num>
  <w:num w:numId="7" w16cid:durableId="1402212180">
    <w:abstractNumId w:val="25"/>
  </w:num>
  <w:num w:numId="8" w16cid:durableId="871960146">
    <w:abstractNumId w:val="5"/>
  </w:num>
  <w:num w:numId="9" w16cid:durableId="82263018">
    <w:abstractNumId w:val="11"/>
  </w:num>
  <w:num w:numId="10" w16cid:durableId="668020876">
    <w:abstractNumId w:val="20"/>
  </w:num>
  <w:num w:numId="11" w16cid:durableId="382339676">
    <w:abstractNumId w:val="3"/>
  </w:num>
  <w:num w:numId="12" w16cid:durableId="1619753027">
    <w:abstractNumId w:val="28"/>
  </w:num>
  <w:num w:numId="13" w16cid:durableId="1744789149">
    <w:abstractNumId w:val="4"/>
  </w:num>
  <w:num w:numId="14" w16cid:durableId="1847860601">
    <w:abstractNumId w:val="17"/>
  </w:num>
  <w:num w:numId="15" w16cid:durableId="1698311229">
    <w:abstractNumId w:val="1"/>
  </w:num>
  <w:num w:numId="16" w16cid:durableId="751778351">
    <w:abstractNumId w:val="26"/>
  </w:num>
  <w:num w:numId="17" w16cid:durableId="947661081">
    <w:abstractNumId w:val="8"/>
  </w:num>
  <w:num w:numId="18" w16cid:durableId="1995986166">
    <w:abstractNumId w:val="6"/>
  </w:num>
  <w:num w:numId="19" w16cid:durableId="542405821">
    <w:abstractNumId w:val="18"/>
  </w:num>
  <w:num w:numId="20" w16cid:durableId="98795113">
    <w:abstractNumId w:val="15"/>
  </w:num>
  <w:num w:numId="21" w16cid:durableId="2080441595">
    <w:abstractNumId w:val="19"/>
  </w:num>
  <w:num w:numId="22" w16cid:durableId="58292469">
    <w:abstractNumId w:val="16"/>
  </w:num>
  <w:num w:numId="23" w16cid:durableId="2049408095">
    <w:abstractNumId w:val="14"/>
  </w:num>
  <w:num w:numId="24" w16cid:durableId="1754276694">
    <w:abstractNumId w:val="13"/>
  </w:num>
  <w:num w:numId="25" w16cid:durableId="232468784">
    <w:abstractNumId w:val="10"/>
  </w:num>
  <w:num w:numId="26" w16cid:durableId="1264528725">
    <w:abstractNumId w:val="7"/>
  </w:num>
  <w:num w:numId="27" w16cid:durableId="946235365">
    <w:abstractNumId w:val="2"/>
  </w:num>
  <w:num w:numId="28" w16cid:durableId="574435608">
    <w:abstractNumId w:val="9"/>
  </w:num>
  <w:num w:numId="29" w16cid:durableId="749774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FF"/>
    <w:rsid w:val="00034AF9"/>
    <w:rsid w:val="000658B0"/>
    <w:rsid w:val="00085EF0"/>
    <w:rsid w:val="000D0B12"/>
    <w:rsid w:val="0011069B"/>
    <w:rsid w:val="001D633A"/>
    <w:rsid w:val="001D75CA"/>
    <w:rsid w:val="001F6B0E"/>
    <w:rsid w:val="00231C44"/>
    <w:rsid w:val="002E2FC4"/>
    <w:rsid w:val="002F0E50"/>
    <w:rsid w:val="002F12CF"/>
    <w:rsid w:val="00385D06"/>
    <w:rsid w:val="003F327D"/>
    <w:rsid w:val="003F3AFF"/>
    <w:rsid w:val="004F039F"/>
    <w:rsid w:val="00570E27"/>
    <w:rsid w:val="005F174D"/>
    <w:rsid w:val="005F5334"/>
    <w:rsid w:val="00602E20"/>
    <w:rsid w:val="00605F75"/>
    <w:rsid w:val="00646AE8"/>
    <w:rsid w:val="006714FF"/>
    <w:rsid w:val="006A25D6"/>
    <w:rsid w:val="006D3F9A"/>
    <w:rsid w:val="00714860"/>
    <w:rsid w:val="00864A93"/>
    <w:rsid w:val="00870F25"/>
    <w:rsid w:val="008D4EA1"/>
    <w:rsid w:val="00911D63"/>
    <w:rsid w:val="00970CD5"/>
    <w:rsid w:val="009767CE"/>
    <w:rsid w:val="009C5550"/>
    <w:rsid w:val="009E0C18"/>
    <w:rsid w:val="009F43DC"/>
    <w:rsid w:val="00A04871"/>
    <w:rsid w:val="00A15870"/>
    <w:rsid w:val="00A853DD"/>
    <w:rsid w:val="00B03AF1"/>
    <w:rsid w:val="00B92463"/>
    <w:rsid w:val="00BA0462"/>
    <w:rsid w:val="00C57D47"/>
    <w:rsid w:val="00CA052A"/>
    <w:rsid w:val="00D129A0"/>
    <w:rsid w:val="00E43A7E"/>
    <w:rsid w:val="00EE2448"/>
    <w:rsid w:val="00F06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43330"/>
  <w15:chartTrackingRefBased/>
  <w15:docId w15:val="{62D4B851-0A46-4F89-AC1C-FD0BAE166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4FF"/>
    <w:pPr>
      <w:spacing w:after="200" w:line="240" w:lineRule="auto"/>
      <w:jc w:val="both"/>
    </w:pPr>
    <w:rPr>
      <w:rFonts w:ascii="Times" w:eastAsia="Times New Roman" w:hAnsi="Times" w:cs="Times New Roman"/>
      <w:kern w:val="0"/>
      <w:sz w:val="24"/>
      <w:szCs w:val="20"/>
      <w14:ligatures w14:val="none"/>
    </w:rPr>
  </w:style>
  <w:style w:type="paragraph" w:styleId="Heading1">
    <w:name w:val="heading 1"/>
    <w:basedOn w:val="Normal"/>
    <w:next w:val="Normal"/>
    <w:link w:val="Heading1Char"/>
    <w:uiPriority w:val="9"/>
    <w:qFormat/>
    <w:rsid w:val="00671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1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71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71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71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71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71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71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671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1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71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71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71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671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6714FF"/>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671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6714FF"/>
    <w:rPr>
      <w:rFonts w:eastAsiaTheme="majorEastAsia" w:cstheme="majorBidi"/>
      <w:color w:val="272727" w:themeColor="text1" w:themeTint="D8"/>
    </w:rPr>
  </w:style>
  <w:style w:type="paragraph" w:styleId="Title">
    <w:name w:val="Title"/>
    <w:basedOn w:val="Normal"/>
    <w:next w:val="Normal"/>
    <w:link w:val="TitleChar"/>
    <w:uiPriority w:val="10"/>
    <w:qFormat/>
    <w:rsid w:val="006714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FF"/>
    <w:pPr>
      <w:spacing w:before="160"/>
      <w:jc w:val="center"/>
    </w:pPr>
    <w:rPr>
      <w:i/>
      <w:iCs/>
      <w:color w:val="404040" w:themeColor="text1" w:themeTint="BF"/>
    </w:rPr>
  </w:style>
  <w:style w:type="character" w:customStyle="1" w:styleId="QuoteChar">
    <w:name w:val="Quote Char"/>
    <w:basedOn w:val="DefaultParagraphFont"/>
    <w:link w:val="Quote"/>
    <w:uiPriority w:val="29"/>
    <w:rsid w:val="006714FF"/>
    <w:rPr>
      <w:i/>
      <w:iCs/>
      <w:color w:val="404040" w:themeColor="text1" w:themeTint="BF"/>
    </w:rPr>
  </w:style>
  <w:style w:type="paragraph" w:styleId="ListParagraph">
    <w:name w:val="List Paragraph"/>
    <w:basedOn w:val="Normal"/>
    <w:uiPriority w:val="34"/>
    <w:qFormat/>
    <w:rsid w:val="006714FF"/>
    <w:pPr>
      <w:ind w:left="720"/>
      <w:contextualSpacing/>
    </w:pPr>
  </w:style>
  <w:style w:type="character" w:styleId="IntenseEmphasis">
    <w:name w:val="Intense Emphasis"/>
    <w:basedOn w:val="DefaultParagraphFont"/>
    <w:uiPriority w:val="21"/>
    <w:qFormat/>
    <w:rsid w:val="006714FF"/>
    <w:rPr>
      <w:i/>
      <w:iCs/>
      <w:color w:val="0F4761" w:themeColor="accent1" w:themeShade="BF"/>
    </w:rPr>
  </w:style>
  <w:style w:type="paragraph" w:styleId="IntenseQuote">
    <w:name w:val="Intense Quote"/>
    <w:basedOn w:val="Normal"/>
    <w:next w:val="Normal"/>
    <w:link w:val="IntenseQuoteChar"/>
    <w:uiPriority w:val="30"/>
    <w:qFormat/>
    <w:rsid w:val="00671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FF"/>
    <w:rPr>
      <w:i/>
      <w:iCs/>
      <w:color w:val="0F4761" w:themeColor="accent1" w:themeShade="BF"/>
    </w:rPr>
  </w:style>
  <w:style w:type="character" w:styleId="IntenseReference">
    <w:name w:val="Intense Reference"/>
    <w:basedOn w:val="DefaultParagraphFont"/>
    <w:uiPriority w:val="32"/>
    <w:qFormat/>
    <w:rsid w:val="006714FF"/>
    <w:rPr>
      <w:b/>
      <w:bCs/>
      <w:smallCaps/>
      <w:color w:val="0F4761" w:themeColor="accent1" w:themeShade="BF"/>
      <w:spacing w:val="5"/>
    </w:rPr>
  </w:style>
  <w:style w:type="table" w:styleId="TableGrid">
    <w:name w:val="Table Grid"/>
    <w:basedOn w:val="TableNormal"/>
    <w:uiPriority w:val="59"/>
    <w:rsid w:val="006714FF"/>
    <w:pPr>
      <w:spacing w:after="0" w:line="240" w:lineRule="auto"/>
    </w:pPr>
    <w:rPr>
      <w:rFonts w:eastAsiaTheme="minorEastAsia"/>
      <w:kern w:val="0"/>
      <w:sz w:val="24"/>
      <w:szCs w:val="24"/>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6714FF"/>
    <w:rPr>
      <w:sz w:val="16"/>
      <w:szCs w:val="16"/>
    </w:rPr>
  </w:style>
  <w:style w:type="paragraph" w:styleId="CommentText">
    <w:name w:val="annotation text"/>
    <w:basedOn w:val="Normal"/>
    <w:link w:val="CommentTextChar"/>
    <w:uiPriority w:val="99"/>
    <w:unhideWhenUsed/>
    <w:rsid w:val="006714FF"/>
    <w:rPr>
      <w:sz w:val="20"/>
    </w:rPr>
  </w:style>
  <w:style w:type="character" w:customStyle="1" w:styleId="CommentTextChar">
    <w:name w:val="Comment Text Char"/>
    <w:basedOn w:val="DefaultParagraphFont"/>
    <w:link w:val="CommentText"/>
    <w:uiPriority w:val="99"/>
    <w:rsid w:val="006714FF"/>
    <w:rPr>
      <w:rFonts w:ascii="Times" w:eastAsia="Times New Roman" w:hAnsi="Times"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714FF"/>
    <w:rPr>
      <w:b/>
      <w:bCs/>
    </w:rPr>
  </w:style>
  <w:style w:type="character" w:customStyle="1" w:styleId="CommentSubjectChar">
    <w:name w:val="Comment Subject Char"/>
    <w:basedOn w:val="CommentTextChar"/>
    <w:link w:val="CommentSubject"/>
    <w:uiPriority w:val="99"/>
    <w:semiHidden/>
    <w:rsid w:val="006714FF"/>
    <w:rPr>
      <w:rFonts w:ascii="Times" w:eastAsia="Times New Roman" w:hAnsi="Times" w:cs="Times New Roman"/>
      <w:b/>
      <w:bCs/>
      <w:kern w:val="0"/>
      <w:sz w:val="20"/>
      <w:szCs w:val="20"/>
      <w14:ligatures w14:val="none"/>
    </w:rPr>
  </w:style>
  <w:style w:type="paragraph" w:styleId="Revision">
    <w:name w:val="Revision"/>
    <w:hidden/>
    <w:uiPriority w:val="99"/>
    <w:semiHidden/>
    <w:rsid w:val="006714FF"/>
    <w:pPr>
      <w:spacing w:after="0" w:line="240" w:lineRule="auto"/>
    </w:pPr>
    <w:rPr>
      <w:rFonts w:eastAsiaTheme="minorEastAsia"/>
      <w:kern w:val="0"/>
      <w:sz w:val="24"/>
      <w:szCs w:val="24"/>
      <w:lang w:eastAsia="ja-JP"/>
      <w14:ligatures w14:val="none"/>
    </w:rPr>
  </w:style>
  <w:style w:type="character" w:styleId="Hyperlink">
    <w:name w:val="Hyperlink"/>
    <w:rsid w:val="006714FF"/>
    <w:rPr>
      <w:color w:val="0000FF"/>
      <w:u w:val="single"/>
    </w:rPr>
  </w:style>
  <w:style w:type="character" w:styleId="UnresolvedMention">
    <w:name w:val="Unresolved Mention"/>
    <w:basedOn w:val="DefaultParagraphFont"/>
    <w:uiPriority w:val="99"/>
    <w:semiHidden/>
    <w:unhideWhenUsed/>
    <w:rsid w:val="006714FF"/>
    <w:rPr>
      <w:color w:val="605E5C"/>
      <w:shd w:val="clear" w:color="auto" w:fill="E1DFDD"/>
    </w:rPr>
  </w:style>
  <w:style w:type="paragraph" w:customStyle="1" w:styleId="Body">
    <w:name w:val="Body"/>
    <w:rsid w:val="006714FF"/>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paragraph" w:customStyle="1" w:styleId="BATitle">
    <w:name w:val="BA_Title"/>
    <w:basedOn w:val="Normal"/>
    <w:next w:val="BBAuthorName"/>
    <w:rsid w:val="006714FF"/>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6714FF"/>
    <w:pPr>
      <w:spacing w:after="240" w:line="480" w:lineRule="auto"/>
      <w:jc w:val="center"/>
    </w:pPr>
    <w:rPr>
      <w:i/>
    </w:rPr>
  </w:style>
  <w:style w:type="paragraph" w:customStyle="1" w:styleId="BCAuthorAddress">
    <w:name w:val="BC_Author_Address"/>
    <w:basedOn w:val="Normal"/>
    <w:next w:val="BIEmailAddress"/>
    <w:rsid w:val="006714FF"/>
    <w:pPr>
      <w:spacing w:after="240" w:line="480" w:lineRule="auto"/>
      <w:jc w:val="center"/>
    </w:pPr>
  </w:style>
  <w:style w:type="paragraph" w:styleId="Bibliography">
    <w:name w:val="Bibliography"/>
    <w:basedOn w:val="Normal"/>
    <w:next w:val="Normal"/>
    <w:uiPriority w:val="37"/>
    <w:unhideWhenUsed/>
    <w:rsid w:val="006714FF"/>
    <w:pPr>
      <w:tabs>
        <w:tab w:val="left" w:pos="504"/>
      </w:tabs>
      <w:spacing w:after="0"/>
      <w:ind w:left="504" w:hanging="504"/>
    </w:pPr>
  </w:style>
  <w:style w:type="character" w:styleId="FollowedHyperlink">
    <w:name w:val="FollowedHyperlink"/>
    <w:rsid w:val="006714FF"/>
    <w:rPr>
      <w:color w:val="800080"/>
      <w:u w:val="single"/>
    </w:rPr>
  </w:style>
  <w:style w:type="paragraph" w:styleId="BodyText">
    <w:name w:val="Body Text"/>
    <w:basedOn w:val="Normal"/>
    <w:link w:val="BodyTextChar"/>
    <w:rsid w:val="006714FF"/>
    <w:pPr>
      <w:jc w:val="center"/>
    </w:pPr>
    <w:rPr>
      <w:b/>
      <w:sz w:val="40"/>
    </w:rPr>
  </w:style>
  <w:style w:type="character" w:customStyle="1" w:styleId="BodyTextChar">
    <w:name w:val="Body Text Char"/>
    <w:basedOn w:val="DefaultParagraphFont"/>
    <w:link w:val="BodyText"/>
    <w:rsid w:val="006714FF"/>
    <w:rPr>
      <w:rFonts w:ascii="Times" w:eastAsia="Times New Roman" w:hAnsi="Times" w:cs="Times New Roman"/>
      <w:b/>
      <w:kern w:val="0"/>
      <w:sz w:val="40"/>
      <w:szCs w:val="20"/>
      <w14:ligatures w14:val="none"/>
    </w:rPr>
  </w:style>
  <w:style w:type="paragraph" w:styleId="FootnoteText">
    <w:name w:val="footnote text"/>
    <w:basedOn w:val="Normal"/>
    <w:next w:val="TFReferencesSection"/>
    <w:link w:val="FootnoteTextChar"/>
    <w:semiHidden/>
    <w:rsid w:val="006714FF"/>
  </w:style>
  <w:style w:type="character" w:customStyle="1" w:styleId="FootnoteTextChar">
    <w:name w:val="Footnote Text Char"/>
    <w:basedOn w:val="DefaultParagraphFont"/>
    <w:link w:val="FootnoteText"/>
    <w:semiHidden/>
    <w:rsid w:val="006714FF"/>
    <w:rPr>
      <w:rFonts w:ascii="Times" w:eastAsia="Times New Roman" w:hAnsi="Times" w:cs="Times New Roman"/>
      <w:kern w:val="0"/>
      <w:sz w:val="24"/>
      <w:szCs w:val="20"/>
      <w14:ligatures w14:val="none"/>
    </w:rPr>
  </w:style>
  <w:style w:type="paragraph" w:customStyle="1" w:styleId="TFReferencesSection">
    <w:name w:val="TF_References_Section"/>
    <w:basedOn w:val="Normal"/>
    <w:rsid w:val="006714FF"/>
    <w:pPr>
      <w:spacing w:line="480" w:lineRule="auto"/>
      <w:ind w:firstLine="187"/>
    </w:pPr>
  </w:style>
  <w:style w:type="paragraph" w:customStyle="1" w:styleId="TAMainText">
    <w:name w:val="TA_Main_Text"/>
    <w:basedOn w:val="Normal"/>
    <w:rsid w:val="006714FF"/>
    <w:pPr>
      <w:spacing w:after="0" w:line="480" w:lineRule="auto"/>
      <w:ind w:firstLine="202"/>
    </w:pPr>
  </w:style>
  <w:style w:type="paragraph" w:customStyle="1" w:styleId="BIEmailAddress">
    <w:name w:val="BI_Email_Address"/>
    <w:basedOn w:val="Normal"/>
    <w:next w:val="AIReceivedDate"/>
    <w:rsid w:val="006714FF"/>
    <w:pPr>
      <w:spacing w:line="480" w:lineRule="auto"/>
    </w:pPr>
  </w:style>
  <w:style w:type="paragraph" w:customStyle="1" w:styleId="AIReceivedDate">
    <w:name w:val="AI_Received_Date"/>
    <w:basedOn w:val="Normal"/>
    <w:next w:val="BDAbstract"/>
    <w:rsid w:val="006714FF"/>
    <w:pPr>
      <w:spacing w:after="240" w:line="480" w:lineRule="auto"/>
    </w:pPr>
    <w:rPr>
      <w:b/>
    </w:rPr>
  </w:style>
  <w:style w:type="paragraph" w:customStyle="1" w:styleId="BDAbstract">
    <w:name w:val="BD_Abstract"/>
    <w:basedOn w:val="Normal"/>
    <w:next w:val="TAMainText"/>
    <w:rsid w:val="006714FF"/>
    <w:pPr>
      <w:spacing w:before="360" w:after="360" w:line="480" w:lineRule="auto"/>
    </w:pPr>
  </w:style>
  <w:style w:type="paragraph" w:customStyle="1" w:styleId="TDAcknowledgments">
    <w:name w:val="TD_Acknowledgments"/>
    <w:basedOn w:val="Normal"/>
    <w:next w:val="Normal"/>
    <w:rsid w:val="006714FF"/>
    <w:pPr>
      <w:spacing w:before="200" w:line="480" w:lineRule="auto"/>
      <w:ind w:firstLine="202"/>
    </w:pPr>
  </w:style>
  <w:style w:type="paragraph" w:customStyle="1" w:styleId="TESupportingInformation">
    <w:name w:val="TE_Supporting_Information"/>
    <w:basedOn w:val="Normal"/>
    <w:next w:val="Normal"/>
    <w:rsid w:val="006714FF"/>
    <w:pPr>
      <w:spacing w:line="480" w:lineRule="auto"/>
      <w:ind w:firstLine="187"/>
    </w:pPr>
  </w:style>
  <w:style w:type="paragraph" w:customStyle="1" w:styleId="VCSchemeTitle">
    <w:name w:val="VC_Scheme_Title"/>
    <w:basedOn w:val="Normal"/>
    <w:next w:val="Normal"/>
    <w:rsid w:val="006714FF"/>
    <w:pPr>
      <w:spacing w:line="480" w:lineRule="auto"/>
    </w:pPr>
  </w:style>
  <w:style w:type="paragraph" w:customStyle="1" w:styleId="VDTableTitle">
    <w:name w:val="VD_Table_Title"/>
    <w:basedOn w:val="Normal"/>
    <w:next w:val="Normal"/>
    <w:rsid w:val="006714FF"/>
    <w:pPr>
      <w:spacing w:line="480" w:lineRule="auto"/>
    </w:pPr>
  </w:style>
  <w:style w:type="paragraph" w:customStyle="1" w:styleId="VAFigureCaption">
    <w:name w:val="VA_Figure_Caption"/>
    <w:basedOn w:val="Normal"/>
    <w:next w:val="Normal"/>
    <w:rsid w:val="006714FF"/>
    <w:pPr>
      <w:spacing w:line="480" w:lineRule="auto"/>
    </w:pPr>
  </w:style>
  <w:style w:type="paragraph" w:customStyle="1" w:styleId="VBChartTitle">
    <w:name w:val="VB_Chart_Title"/>
    <w:basedOn w:val="Normal"/>
    <w:next w:val="Normal"/>
    <w:rsid w:val="006714FF"/>
    <w:pPr>
      <w:spacing w:line="480" w:lineRule="auto"/>
    </w:pPr>
  </w:style>
  <w:style w:type="paragraph" w:customStyle="1" w:styleId="FETableFootnote">
    <w:name w:val="FE_Table_Footnote"/>
    <w:basedOn w:val="Normal"/>
    <w:next w:val="Normal"/>
    <w:rsid w:val="006714FF"/>
    <w:pPr>
      <w:ind w:firstLine="187"/>
    </w:pPr>
  </w:style>
  <w:style w:type="paragraph" w:customStyle="1" w:styleId="FCChartFootnote">
    <w:name w:val="FC_Chart_Footnote"/>
    <w:basedOn w:val="Normal"/>
    <w:next w:val="Normal"/>
    <w:rsid w:val="006714FF"/>
    <w:pPr>
      <w:ind w:firstLine="187"/>
    </w:pPr>
  </w:style>
  <w:style w:type="paragraph" w:customStyle="1" w:styleId="FDSchemeFootnote">
    <w:name w:val="FD_Scheme_Footnote"/>
    <w:basedOn w:val="Normal"/>
    <w:next w:val="Normal"/>
    <w:rsid w:val="006714FF"/>
    <w:pPr>
      <w:ind w:firstLine="187"/>
    </w:pPr>
  </w:style>
  <w:style w:type="paragraph" w:customStyle="1" w:styleId="TCTableBody">
    <w:name w:val="TC_Table_Body"/>
    <w:basedOn w:val="Normal"/>
    <w:rsid w:val="006714FF"/>
  </w:style>
  <w:style w:type="paragraph" w:customStyle="1" w:styleId="AFTitleRunningHead">
    <w:name w:val="AF_Title_Running_Head"/>
    <w:basedOn w:val="Normal"/>
    <w:next w:val="TAMainText"/>
    <w:rsid w:val="006714FF"/>
    <w:pPr>
      <w:spacing w:line="480" w:lineRule="auto"/>
    </w:pPr>
  </w:style>
  <w:style w:type="paragraph" w:customStyle="1" w:styleId="BEAuthorBiography">
    <w:name w:val="BE_Author_Biography"/>
    <w:basedOn w:val="Normal"/>
    <w:rsid w:val="006714FF"/>
    <w:pPr>
      <w:spacing w:line="480" w:lineRule="auto"/>
    </w:pPr>
  </w:style>
  <w:style w:type="paragraph" w:customStyle="1" w:styleId="FACorrespondingAuthorFootnote">
    <w:name w:val="FA_Corresponding_Author_Footnote"/>
    <w:basedOn w:val="Normal"/>
    <w:next w:val="TAMainText"/>
    <w:rsid w:val="006714FF"/>
    <w:pPr>
      <w:spacing w:line="480" w:lineRule="auto"/>
    </w:pPr>
  </w:style>
  <w:style w:type="paragraph" w:customStyle="1" w:styleId="SNSynopsisTOC">
    <w:name w:val="SN_Synopsis_TOC"/>
    <w:basedOn w:val="Normal"/>
    <w:rsid w:val="006714FF"/>
    <w:pPr>
      <w:spacing w:line="480" w:lineRule="auto"/>
    </w:pPr>
  </w:style>
  <w:style w:type="paragraph" w:styleId="Footer">
    <w:name w:val="footer"/>
    <w:basedOn w:val="Normal"/>
    <w:link w:val="FooterChar"/>
    <w:uiPriority w:val="99"/>
    <w:rsid w:val="006714FF"/>
    <w:pPr>
      <w:tabs>
        <w:tab w:val="center" w:pos="4320"/>
        <w:tab w:val="right" w:pos="8640"/>
      </w:tabs>
    </w:pPr>
  </w:style>
  <w:style w:type="character" w:customStyle="1" w:styleId="FooterChar">
    <w:name w:val="Footer Char"/>
    <w:basedOn w:val="DefaultParagraphFont"/>
    <w:link w:val="Footer"/>
    <w:uiPriority w:val="99"/>
    <w:rsid w:val="006714FF"/>
    <w:rPr>
      <w:rFonts w:ascii="Times" w:eastAsia="Times New Roman" w:hAnsi="Times" w:cs="Times New Roman"/>
      <w:kern w:val="0"/>
      <w:sz w:val="24"/>
      <w:szCs w:val="20"/>
      <w14:ligatures w14:val="none"/>
    </w:rPr>
  </w:style>
  <w:style w:type="paragraph" w:customStyle="1" w:styleId="BGKeywords">
    <w:name w:val="BG_Keywords"/>
    <w:basedOn w:val="Normal"/>
    <w:rsid w:val="006714FF"/>
    <w:pPr>
      <w:spacing w:line="480" w:lineRule="auto"/>
    </w:pPr>
  </w:style>
  <w:style w:type="paragraph" w:customStyle="1" w:styleId="BHBriefs">
    <w:name w:val="BH_Briefs"/>
    <w:basedOn w:val="Normal"/>
    <w:rsid w:val="006714FF"/>
    <w:pPr>
      <w:spacing w:line="480" w:lineRule="auto"/>
    </w:pPr>
  </w:style>
  <w:style w:type="character" w:styleId="PageNumber">
    <w:name w:val="page number"/>
    <w:basedOn w:val="DefaultParagraphFont"/>
    <w:rsid w:val="006714FF"/>
  </w:style>
  <w:style w:type="paragraph" w:styleId="BalloonText">
    <w:name w:val="Balloon Text"/>
    <w:basedOn w:val="Normal"/>
    <w:link w:val="BalloonTextChar"/>
    <w:semiHidden/>
    <w:rsid w:val="006714FF"/>
    <w:rPr>
      <w:rFonts w:ascii="Tahoma" w:hAnsi="Tahoma" w:cs="Tahoma"/>
      <w:sz w:val="16"/>
      <w:szCs w:val="16"/>
    </w:rPr>
  </w:style>
  <w:style w:type="character" w:customStyle="1" w:styleId="BalloonTextChar">
    <w:name w:val="Balloon Text Char"/>
    <w:basedOn w:val="DefaultParagraphFont"/>
    <w:link w:val="BalloonText"/>
    <w:semiHidden/>
    <w:rsid w:val="006714FF"/>
    <w:rPr>
      <w:rFonts w:ascii="Tahoma" w:eastAsia="Times New Roman" w:hAnsi="Tahoma" w:cs="Tahoma"/>
      <w:kern w:val="0"/>
      <w:sz w:val="16"/>
      <w:szCs w:val="16"/>
      <w14:ligatures w14:val="none"/>
    </w:rPr>
  </w:style>
  <w:style w:type="paragraph" w:customStyle="1" w:styleId="StyleFACorrespondingAuthorFootnote7pt">
    <w:name w:val="Style FA_Corresponding_Author_Footnote + 7 pt"/>
    <w:basedOn w:val="Normal"/>
    <w:next w:val="BGKeywords"/>
    <w:link w:val="StyleFACorrespondingAuthorFootnote7ptChar"/>
    <w:autoRedefine/>
    <w:rsid w:val="006714FF"/>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6714FF"/>
    <w:rPr>
      <w:rFonts w:ascii="Arno Pro" w:eastAsia="Times New Roman" w:hAnsi="Arno Pro" w:cs="Times New Roman"/>
      <w:kern w:val="20"/>
      <w:sz w:val="18"/>
      <w:szCs w:val="20"/>
      <w14:ligatures w14:val="none"/>
    </w:rPr>
  </w:style>
  <w:style w:type="paragraph" w:customStyle="1" w:styleId="FAAuthorInfoSubtitle">
    <w:name w:val="FA_Author_Info_Subtitle"/>
    <w:basedOn w:val="Normal"/>
    <w:link w:val="FAAuthorInfoSubtitleChar"/>
    <w:autoRedefine/>
    <w:rsid w:val="006714FF"/>
    <w:pPr>
      <w:spacing w:before="120" w:after="60" w:line="480" w:lineRule="auto"/>
      <w:jc w:val="left"/>
    </w:pPr>
    <w:rPr>
      <w:b/>
    </w:rPr>
  </w:style>
  <w:style w:type="character" w:customStyle="1" w:styleId="FAAuthorInfoSubtitleChar">
    <w:name w:val="FA_Author_Info_Subtitle Char"/>
    <w:link w:val="FAAuthorInfoSubtitle"/>
    <w:rsid w:val="006714FF"/>
    <w:rPr>
      <w:rFonts w:ascii="Times" w:eastAsia="Times New Roman" w:hAnsi="Times" w:cs="Times New Roman"/>
      <w:b/>
      <w:kern w:val="0"/>
      <w:sz w:val="24"/>
      <w:szCs w:val="20"/>
      <w14:ligatures w14:val="none"/>
    </w:rPr>
  </w:style>
  <w:style w:type="paragraph" w:customStyle="1" w:styleId="Default">
    <w:name w:val="Default"/>
    <w:rsid w:val="006714FF"/>
    <w:pPr>
      <w:autoSpaceDE w:val="0"/>
      <w:autoSpaceDN w:val="0"/>
      <w:adjustRightInd w:val="0"/>
      <w:spacing w:after="0" w:line="240" w:lineRule="auto"/>
    </w:pPr>
    <w:rPr>
      <w:rFonts w:ascii="Symbol" w:eastAsia="Times New Roman" w:hAnsi="Symbol" w:cs="Symbol"/>
      <w:color w:val="000000"/>
      <w:kern w:val="0"/>
      <w:sz w:val="24"/>
      <w:szCs w:val="24"/>
      <w14:ligatures w14:val="none"/>
    </w:rPr>
  </w:style>
  <w:style w:type="paragraph" w:styleId="Header">
    <w:name w:val="header"/>
    <w:basedOn w:val="Normal"/>
    <w:link w:val="HeaderChar"/>
    <w:uiPriority w:val="99"/>
    <w:unhideWhenUsed/>
    <w:rsid w:val="006714FF"/>
    <w:pPr>
      <w:tabs>
        <w:tab w:val="center" w:pos="4680"/>
        <w:tab w:val="right" w:pos="9360"/>
      </w:tabs>
      <w:spacing w:after="0"/>
    </w:pPr>
  </w:style>
  <w:style w:type="character" w:customStyle="1" w:styleId="HeaderChar">
    <w:name w:val="Header Char"/>
    <w:basedOn w:val="DefaultParagraphFont"/>
    <w:link w:val="Header"/>
    <w:uiPriority w:val="99"/>
    <w:rsid w:val="006714FF"/>
    <w:rPr>
      <w:rFonts w:ascii="Times" w:eastAsia="Times New Roman" w:hAnsi="Times"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fontTable" Target="fontTable.xml"/><Relationship Id="rId107" Type="http://schemas.openxmlformats.org/officeDocument/2006/relationships/image" Target="media/image100.jpe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jpe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theme" Target="theme/theme1.xml"/><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jpe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6" Type="http://schemas.openxmlformats.org/officeDocument/2006/relationships/footnotes" Target="footnotes.xml"/><Relationship Id="rId23" Type="http://schemas.openxmlformats.org/officeDocument/2006/relationships/image" Target="media/image16.png"/><Relationship Id="rId119" Type="http://schemas.openxmlformats.org/officeDocument/2006/relationships/image" Target="media/image112.jpe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jpe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jpe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jpe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jpe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jpe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0" Type="http://schemas.openxmlformats.org/officeDocument/2006/relationships/footer" Target="footer1.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jpe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3.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jpe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jpe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jpe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customXml" Target="../customXml/item1.xm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jpe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1A312-7A73-4EFE-9B92-D8EC87099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89</Pages>
  <Words>12388</Words>
  <Characters>71487</Characters>
  <Application>Microsoft Office Word</Application>
  <DocSecurity>0</DocSecurity>
  <Lines>3110</Lines>
  <Paragraphs>1394</Paragraphs>
  <ScaleCrop>false</ScaleCrop>
  <Company/>
  <LinksUpToDate>false</LinksUpToDate>
  <CharactersWithSpaces>82776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Abbott</dc:creator>
  <cp:keywords/>
  <dc:description/>
  <cp:lastModifiedBy>Nora Abbott</cp:lastModifiedBy>
  <cp:revision>34</cp:revision>
  <dcterms:created xsi:type="dcterms:W3CDTF">2024-09-12T12:20:00Z</dcterms:created>
  <dcterms:modified xsi:type="dcterms:W3CDTF">2024-12-04T01:54:00Z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569fad3b-ab4d-489e-8f69-4333c4605f61</vt:lpwstr>
  </property>
  <property fmtid="{D5CDD505-2E9C-101B-9397-08002B2CF9AE}" pid="3" name="ZOTERO_PREF_1">
    <vt:lpwstr>&lt;data data-version="3" zotero-version="6.0.36"&gt;&lt;session id="pmTm5dwb"/&gt;&lt;style id="http://www.zotero.org/styles/esandt-nora-final-v4" hasBibliography="1" bibliographyStyleHasBeenSet="1"/&gt;&lt;prefs&gt;&lt;pref name="fieldType" value="Field"/&gt;&lt;pref name="dontAskDelay</vt:lpwstr>
  </property>
  <property fmtid="{D5CDD505-2E9C-101B-9397-08002B2CF9AE}" pid="4" name="ZOTERO_PREF_2">
    <vt:lpwstr>CitationUpdates" value="true"/&gt;&lt;/prefs&gt;&lt;/data&gt;</vt:lpwstr>
  </property>
</Properties>
</file>