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B965C0" w14:textId="77777777" w:rsidR="00632932" w:rsidRDefault="00632932" w:rsidP="00632932">
      <w:pPr>
        <w:pStyle w:val="Heading1"/>
        <w:spacing w:line="480" w:lineRule="auto"/>
      </w:pPr>
      <w:r>
        <w:t>Supplemental Material</w:t>
      </w:r>
    </w:p>
    <w:p w14:paraId="1481589C" w14:textId="77777777" w:rsidR="00632932" w:rsidRPr="003A597D" w:rsidRDefault="00632932" w:rsidP="00632932">
      <w:pPr>
        <w:spacing w:line="480" w:lineRule="auto"/>
        <w:rPr>
          <w:b/>
          <w:bCs/>
          <w:sz w:val="24"/>
          <w:szCs w:val="24"/>
        </w:rPr>
      </w:pPr>
      <w:r w:rsidRPr="003A597D">
        <w:rPr>
          <w:b/>
          <w:bCs/>
          <w:sz w:val="24"/>
          <w:szCs w:val="24"/>
        </w:rPr>
        <w:t>Methods</w:t>
      </w:r>
    </w:p>
    <w:p w14:paraId="413114B1" w14:textId="77777777" w:rsidR="00632932" w:rsidRDefault="00632932" w:rsidP="00632932">
      <w:pPr>
        <w:pStyle w:val="Heading2"/>
        <w:spacing w:line="480" w:lineRule="auto"/>
      </w:pPr>
      <w:r>
        <w:t>Selection of price index</w:t>
      </w:r>
    </w:p>
    <w:p w14:paraId="12F390BD" w14:textId="77777777" w:rsidR="00632932" w:rsidRDefault="00632932" w:rsidP="00632932">
      <w:pPr>
        <w:spacing w:line="480" w:lineRule="auto"/>
      </w:pPr>
      <w:r>
        <w:t>The main results of this study adjust for inflation using the health care component of the Personal Consumption Expenditures (PCE) price index. We used annual values of the PCE health care component for years 2001 to 2022, and averaged quarter 1, 2, and 3 values of 2023 to get the PCE health care component for 2023.</w:t>
      </w:r>
    </w:p>
    <w:p w14:paraId="25044C3F" w14:textId="77777777" w:rsidR="00632932" w:rsidRPr="007A3E03" w:rsidRDefault="00632932" w:rsidP="00632932">
      <w:pPr>
        <w:spacing w:line="480" w:lineRule="auto"/>
      </w:pPr>
      <w:r>
        <w:t xml:space="preserve">Another alternative to the PCE would be to use the medical component of the Consumer Price Index (CPI), which is commonly used in health economic models to adjust older cost data to more current currency-years. </w:t>
      </w:r>
    </w:p>
    <w:p w14:paraId="30EDDF75" w14:textId="77777777" w:rsidR="00632932" w:rsidRDefault="00632932" w:rsidP="00632932">
      <w:pPr>
        <w:pStyle w:val="Heading2"/>
        <w:spacing w:line="480" w:lineRule="auto"/>
      </w:pPr>
      <w:r>
        <w:t>Annual percent change calculation</w:t>
      </w:r>
    </w:p>
    <w:p w14:paraId="30A26BCA" w14:textId="77777777" w:rsidR="00632932" w:rsidRPr="00612885" w:rsidRDefault="00632932" w:rsidP="00632932">
      <w:pPr>
        <w:spacing w:line="480" w:lineRule="auto"/>
        <w:rPr>
          <w:rFonts w:eastAsiaTheme="minorEastAsia"/>
        </w:rPr>
      </w:pPr>
      <w:r>
        <w:t>To generate an estimate that could be readily used in future economic models, we calculated the annual percent change in cost. The annual percent change in price could be used to increase an initial price assumption in an economic model so that subsequent model years have a different price assumption, that would be more in line with historical tendencies documented in this study.</w:t>
      </w:r>
      <w:r>
        <w:rPr>
          <w:rFonts w:eastAsiaTheme="minorEastAsia"/>
        </w:rPr>
        <w:t xml:space="preserve"> We calculated and reported the annual percent change in price that would explain difference in observed prices from the first available price to the most recent price available in the CDC Price List data.  </w:t>
      </w:r>
    </w:p>
    <w:p w14:paraId="620DE784" w14:textId="77777777" w:rsidR="00632932" w:rsidRDefault="00632932" w:rsidP="00632932">
      <w:pPr>
        <w:spacing w:line="480" w:lineRule="auto"/>
        <w:rPr>
          <w:rFonts w:eastAsiaTheme="minorEastAsia"/>
        </w:rPr>
      </w:pPr>
      <w:r>
        <w:rPr>
          <w:rFonts w:eastAsiaTheme="minorEastAsia"/>
        </w:rPr>
        <w:t xml:space="preserve">[1] </w:t>
      </w:r>
      <m:oMath>
        <m:sSub>
          <m:sSubPr>
            <m:ctrlPr>
              <w:rPr>
                <w:rFonts w:ascii="Cambria Math" w:hAnsi="Cambria Math"/>
                <w:i/>
              </w:rPr>
            </m:ctrlPr>
          </m:sSubPr>
          <m:e>
            <m:r>
              <w:rPr>
                <w:rFonts w:ascii="Cambria Math" w:hAnsi="Cambria Math"/>
              </w:rPr>
              <m:t>p</m:t>
            </m:r>
          </m:e>
          <m:sub>
            <m:r>
              <w:rPr>
                <w:rFonts w:ascii="Cambria Math" w:hAnsi="Cambria Math"/>
              </w:rPr>
              <m:t>0</m:t>
            </m:r>
          </m:sub>
        </m:sSub>
        <m:sSup>
          <m:sSupPr>
            <m:ctrlPr>
              <w:rPr>
                <w:rFonts w:ascii="Cambria Math" w:hAnsi="Cambria Math"/>
                <w:i/>
              </w:rPr>
            </m:ctrlPr>
          </m:sSupPr>
          <m:e>
            <m:d>
              <m:dPr>
                <m:ctrlPr>
                  <w:rPr>
                    <w:rFonts w:ascii="Cambria Math" w:hAnsi="Cambria Math"/>
                    <w:i/>
                  </w:rPr>
                </m:ctrlPr>
              </m:dPr>
              <m:e>
                <m:r>
                  <w:rPr>
                    <w:rFonts w:ascii="Cambria Math" w:hAnsi="Cambria Math"/>
                  </w:rPr>
                  <m:t>1+β</m:t>
                </m:r>
              </m:e>
            </m:d>
          </m:e>
          <m:sup>
            <m:r>
              <m:rPr>
                <m:sty m:val="p"/>
              </m:rPr>
              <w:rPr>
                <w:rFonts w:ascii="Cambria Math" w:hAnsi="Cambria Math"/>
              </w:rPr>
              <m:t>Δ</m:t>
            </m:r>
            <m:r>
              <w:rPr>
                <w:rFonts w:ascii="Cambria Math" w:hAnsi="Cambria Math"/>
              </w:rPr>
              <m:t>t</m:t>
            </m:r>
          </m:sup>
        </m:sSup>
        <m:r>
          <w:rPr>
            <w:rFonts w:ascii="Cambria Math" w:hAnsi="Cambria Math"/>
          </w:rPr>
          <m:t>=</m:t>
        </m:r>
        <m:sSub>
          <m:sSubPr>
            <m:ctrlPr>
              <w:rPr>
                <w:rFonts w:ascii="Cambria Math" w:hAnsi="Cambria Math"/>
                <w:i/>
              </w:rPr>
            </m:ctrlPr>
          </m:sSubPr>
          <m:e>
            <m:r>
              <w:rPr>
                <w:rFonts w:ascii="Cambria Math" w:hAnsi="Cambria Math"/>
              </w:rPr>
              <m:t>p</m:t>
            </m:r>
          </m:e>
          <m:sub>
            <m:r>
              <m:rPr>
                <m:sty m:val="p"/>
              </m:rPr>
              <w:rPr>
                <w:rFonts w:ascii="Cambria Math" w:hAnsi="Cambria Math"/>
              </w:rPr>
              <m:t>T</m:t>
            </m:r>
          </m:sub>
        </m:sSub>
      </m:oMath>
      <w:r>
        <w:rPr>
          <w:rFonts w:eastAsiaTheme="minorEastAsia"/>
        </w:rPr>
        <w:t xml:space="preserve"> </w:t>
      </w:r>
    </w:p>
    <w:p w14:paraId="4A77A990" w14:textId="77777777" w:rsidR="00632932" w:rsidRPr="00DA343A" w:rsidRDefault="00632932" w:rsidP="00632932">
      <w:pPr>
        <w:keepNext/>
        <w:spacing w:line="480" w:lineRule="auto"/>
      </w:pPr>
      <w:r>
        <w:t xml:space="preserve">where </w:t>
      </w:r>
      <m:oMath>
        <m:sSub>
          <m:sSubPr>
            <m:ctrlPr>
              <w:rPr>
                <w:rFonts w:ascii="Cambria Math" w:hAnsi="Cambria Math"/>
                <w:i/>
              </w:rPr>
            </m:ctrlPr>
          </m:sSubPr>
          <m:e>
            <m:r>
              <w:rPr>
                <w:rFonts w:ascii="Cambria Math" w:hAnsi="Cambria Math"/>
              </w:rPr>
              <m:t>p</m:t>
            </m:r>
          </m:e>
          <m:sub>
            <m:r>
              <w:rPr>
                <w:rFonts w:ascii="Cambria Math" w:hAnsi="Cambria Math"/>
              </w:rPr>
              <m:t>0</m:t>
            </m:r>
          </m:sub>
        </m:sSub>
      </m:oMath>
      <w:r>
        <w:rPr>
          <w:rFonts w:eastAsiaTheme="minorEastAsia"/>
        </w:rPr>
        <w:t xml:space="preserve"> is the initial price observed in the CDC Price List adjusted to the </w:t>
      </w:r>
      <m:oMath>
        <m:sSub>
          <m:sSubPr>
            <m:ctrlPr>
              <w:rPr>
                <w:rFonts w:ascii="Cambria Math" w:hAnsi="Cambria Math"/>
                <w:i/>
              </w:rPr>
            </m:ctrlPr>
          </m:sSubPr>
          <m:e>
            <m:r>
              <w:rPr>
                <w:rFonts w:ascii="Cambria Math" w:hAnsi="Cambria Math"/>
              </w:rPr>
              <m:t>p</m:t>
            </m:r>
          </m:e>
          <m:sub>
            <m:r>
              <m:rPr>
                <m:sty m:val="p"/>
              </m:rPr>
              <w:rPr>
                <w:rFonts w:ascii="Cambria Math" w:hAnsi="Cambria Math"/>
              </w:rPr>
              <m:t>T</m:t>
            </m:r>
          </m:sub>
        </m:sSub>
      </m:oMath>
      <w:r>
        <w:rPr>
          <w:rFonts w:eastAsiaTheme="minorEastAsia"/>
        </w:rPr>
        <w:t xml:space="preserve"> currency-year, </w:t>
      </w:r>
      <m:oMath>
        <m:sSub>
          <m:sSubPr>
            <m:ctrlPr>
              <w:rPr>
                <w:rFonts w:ascii="Cambria Math" w:hAnsi="Cambria Math"/>
                <w:i/>
              </w:rPr>
            </m:ctrlPr>
          </m:sSubPr>
          <m:e>
            <m:r>
              <w:rPr>
                <w:rFonts w:ascii="Cambria Math" w:hAnsi="Cambria Math"/>
              </w:rPr>
              <m:t>p</m:t>
            </m:r>
          </m:e>
          <m:sub>
            <m:r>
              <m:rPr>
                <m:sty m:val="p"/>
              </m:rPr>
              <w:rPr>
                <w:rFonts w:ascii="Cambria Math" w:hAnsi="Cambria Math"/>
              </w:rPr>
              <m:t>T</m:t>
            </m:r>
          </m:sub>
        </m:sSub>
      </m:oMath>
      <w:r>
        <w:rPr>
          <w:rFonts w:eastAsiaTheme="minorEastAsia"/>
        </w:rPr>
        <w:t xml:space="preserve"> is the most recently observed price in the price list, </w:t>
      </w:r>
      <m:oMath>
        <m:r>
          <w:rPr>
            <w:rFonts w:ascii="Cambria Math" w:hAnsi="Cambria Math"/>
          </w:rPr>
          <m:t>β</m:t>
        </m:r>
      </m:oMath>
      <w:r>
        <w:rPr>
          <w:rFonts w:eastAsiaTheme="minorEastAsia"/>
        </w:rPr>
        <w:t xml:space="preserve"> is the annual percent change in price, </w:t>
      </w:r>
      <m:oMath>
        <m:r>
          <m:rPr>
            <m:sty m:val="p"/>
          </m:rPr>
          <w:rPr>
            <w:rFonts w:ascii="Cambria Math" w:hAnsi="Cambria Math"/>
          </w:rPr>
          <m:t>Δ</m:t>
        </m:r>
        <m:r>
          <w:rPr>
            <w:rFonts w:ascii="Cambria Math" w:hAnsi="Cambria Math"/>
          </w:rPr>
          <m:t>t</m:t>
        </m:r>
      </m:oMath>
      <w:r>
        <w:rPr>
          <w:rFonts w:eastAsiaTheme="minorEastAsia"/>
        </w:rPr>
        <w:t xml:space="preserve"> is the total </w:t>
      </w:r>
      <w:r>
        <w:rPr>
          <w:rFonts w:eastAsiaTheme="minorEastAsia"/>
        </w:rPr>
        <w:lastRenderedPageBreak/>
        <w:t>num</w:t>
      </w:r>
      <w:proofErr w:type="spellStart"/>
      <w:r>
        <w:rPr>
          <w:rFonts w:eastAsiaTheme="minorEastAsia"/>
        </w:rPr>
        <w:t>ber</w:t>
      </w:r>
      <w:proofErr w:type="spellEnd"/>
      <w:r>
        <w:rPr>
          <w:rFonts w:eastAsiaTheme="minorEastAsia"/>
        </w:rPr>
        <w:t xml:space="preserve"> of years between </w:t>
      </w:r>
      <m:oMath>
        <m:sSub>
          <m:sSubPr>
            <m:ctrlPr>
              <w:rPr>
                <w:rFonts w:ascii="Cambria Math" w:hAnsi="Cambria Math"/>
                <w:i/>
              </w:rPr>
            </m:ctrlPr>
          </m:sSubPr>
          <m:e>
            <m:r>
              <w:rPr>
                <w:rFonts w:ascii="Cambria Math" w:hAnsi="Cambria Math"/>
              </w:rPr>
              <m:t>p</m:t>
            </m:r>
          </m:e>
          <m:sub>
            <m:r>
              <w:rPr>
                <w:rFonts w:ascii="Cambria Math" w:hAnsi="Cambria Math"/>
              </w:rPr>
              <m:t>0</m:t>
            </m:r>
          </m:sub>
        </m:sSub>
      </m:oMath>
      <w:r>
        <w:rPr>
          <w:rFonts w:eastAsiaTheme="minorEastAsia"/>
        </w:rPr>
        <w:t xml:space="preserve"> and </w:t>
      </w:r>
      <m:oMath>
        <m:sSub>
          <m:sSubPr>
            <m:ctrlPr>
              <w:rPr>
                <w:rFonts w:ascii="Cambria Math" w:hAnsi="Cambria Math"/>
                <w:i/>
              </w:rPr>
            </m:ctrlPr>
          </m:sSubPr>
          <m:e>
            <m:r>
              <w:rPr>
                <w:rFonts w:ascii="Cambria Math" w:hAnsi="Cambria Math"/>
              </w:rPr>
              <m:t>p</m:t>
            </m:r>
          </m:e>
          <m:sub>
            <m:r>
              <w:rPr>
                <w:rFonts w:ascii="Cambria Math" w:hAnsi="Cambria Math"/>
              </w:rPr>
              <m:t>T</m:t>
            </m:r>
          </m:sub>
        </m:sSub>
      </m:oMath>
      <w:r>
        <w:rPr>
          <w:rFonts w:eastAsiaTheme="minorEastAsia"/>
        </w:rPr>
        <w:t xml:space="preserve">. This equation can be re-arranged to yield the annual percent change as a function of </w:t>
      </w:r>
      <m:oMath>
        <m:sSub>
          <m:sSubPr>
            <m:ctrlPr>
              <w:rPr>
                <w:rFonts w:ascii="Cambria Math" w:hAnsi="Cambria Math"/>
                <w:i/>
              </w:rPr>
            </m:ctrlPr>
          </m:sSubPr>
          <m:e>
            <m:r>
              <w:rPr>
                <w:rFonts w:ascii="Cambria Math" w:hAnsi="Cambria Math"/>
              </w:rPr>
              <m:t>p</m:t>
            </m:r>
          </m:e>
          <m:sub>
            <m:r>
              <w:rPr>
                <w:rFonts w:ascii="Cambria Math" w:hAnsi="Cambria Math"/>
              </w:rPr>
              <m:t>0</m:t>
            </m:r>
          </m:sub>
        </m:sSub>
      </m:oMath>
      <w:r>
        <w:rPr>
          <w:rFonts w:eastAsiaTheme="minorEastAsia"/>
        </w:rPr>
        <w:t xml:space="preserve">, </w:t>
      </w:r>
      <m:oMath>
        <m:sSub>
          <m:sSubPr>
            <m:ctrlPr>
              <w:rPr>
                <w:rFonts w:ascii="Cambria Math" w:hAnsi="Cambria Math"/>
                <w:i/>
              </w:rPr>
            </m:ctrlPr>
          </m:sSubPr>
          <m:e>
            <m:r>
              <w:rPr>
                <w:rFonts w:ascii="Cambria Math" w:hAnsi="Cambria Math"/>
              </w:rPr>
              <m:t>p</m:t>
            </m:r>
          </m:e>
          <m:sub>
            <m:r>
              <w:rPr>
                <w:rFonts w:ascii="Cambria Math" w:hAnsi="Cambria Math"/>
              </w:rPr>
              <m:t>T</m:t>
            </m:r>
          </m:sub>
        </m:sSub>
      </m:oMath>
      <w:r>
        <w:rPr>
          <w:rFonts w:eastAsiaTheme="minorEastAsia"/>
        </w:rPr>
        <w:t xml:space="preserve">, and </w:t>
      </w:r>
      <m:oMath>
        <m:r>
          <m:rPr>
            <m:sty m:val="p"/>
          </m:rPr>
          <w:rPr>
            <w:rFonts w:ascii="Cambria Math" w:hAnsi="Cambria Math"/>
          </w:rPr>
          <m:t>Δ</m:t>
        </m:r>
        <m:r>
          <w:rPr>
            <w:rFonts w:ascii="Cambria Math" w:hAnsi="Cambria Math"/>
          </w:rPr>
          <m:t>t</m:t>
        </m:r>
      </m:oMath>
      <w:r>
        <w:rPr>
          <w:rFonts w:eastAsiaTheme="minorEastAsia"/>
        </w:rPr>
        <w:t>:</w:t>
      </w:r>
    </w:p>
    <w:p w14:paraId="6BB0E7C1" w14:textId="77777777" w:rsidR="00632932" w:rsidRDefault="00632932" w:rsidP="00632932">
      <w:pPr>
        <w:keepLines/>
        <w:spacing w:line="480" w:lineRule="auto"/>
        <w:rPr>
          <w:rFonts w:eastAsiaTheme="minorEastAsia"/>
        </w:rPr>
      </w:pPr>
      <w:r>
        <w:rPr>
          <w:rFonts w:eastAsiaTheme="minorEastAsia"/>
        </w:rPr>
        <w:t xml:space="preserve">[2] </w:t>
      </w:r>
      <m:oMath>
        <m:r>
          <w:rPr>
            <w:rFonts w:ascii="Cambria Math" w:hAnsi="Cambria Math"/>
          </w:rPr>
          <m:t>β=</m:t>
        </m:r>
        <m:sSup>
          <m:sSupPr>
            <m:ctrlPr>
              <w:rPr>
                <w:rFonts w:ascii="Cambria Math" w:hAnsi="Cambria Math"/>
                <w:i/>
              </w:rPr>
            </m:ctrlPr>
          </m:sSupPr>
          <m:e>
            <m:r>
              <w:rPr>
                <w:rFonts w:ascii="Cambria Math" w:hAnsi="Cambria Math"/>
              </w:rPr>
              <m:t>e</m:t>
            </m:r>
          </m:e>
          <m:sup>
            <m:f>
              <m:fPr>
                <m:type m:val="lin"/>
                <m:ctrlPr>
                  <w:rPr>
                    <w:rFonts w:ascii="Cambria Math" w:hAnsi="Cambria Math"/>
                    <w:i/>
                  </w:rPr>
                </m:ctrlPr>
              </m:fPr>
              <m:num>
                <m:r>
                  <w:rPr>
                    <w:rFonts w:ascii="Cambria Math" w:hAnsi="Cambria Math"/>
                  </w:rPr>
                  <m:t>ln</m:t>
                </m:r>
                <m:d>
                  <m:dPr>
                    <m:ctrlPr>
                      <w:rPr>
                        <w:rFonts w:ascii="Cambria Math" w:hAnsi="Cambria Math"/>
                        <w:i/>
                      </w:rPr>
                    </m:ctrlPr>
                  </m:dPr>
                  <m:e>
                    <m:f>
                      <m:fPr>
                        <m:type m:val="lin"/>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T</m:t>
                            </m:r>
                          </m:sub>
                        </m:sSub>
                      </m:num>
                      <m:den>
                        <m:sSub>
                          <m:sSubPr>
                            <m:ctrlPr>
                              <w:rPr>
                                <w:rFonts w:ascii="Cambria Math" w:hAnsi="Cambria Math"/>
                                <w:i/>
                              </w:rPr>
                            </m:ctrlPr>
                          </m:sSubPr>
                          <m:e>
                            <m:r>
                              <w:rPr>
                                <w:rFonts w:ascii="Cambria Math" w:hAnsi="Cambria Math"/>
                              </w:rPr>
                              <m:t>p</m:t>
                            </m:r>
                          </m:e>
                          <m:sub>
                            <m:r>
                              <w:rPr>
                                <w:rFonts w:ascii="Cambria Math" w:hAnsi="Cambria Math"/>
                              </w:rPr>
                              <m:t>0</m:t>
                            </m:r>
                          </m:sub>
                        </m:sSub>
                      </m:den>
                    </m:f>
                  </m:e>
                </m:d>
              </m:num>
              <m:den>
                <m:r>
                  <m:rPr>
                    <m:sty m:val="p"/>
                  </m:rPr>
                  <w:rPr>
                    <w:rFonts w:ascii="Cambria Math" w:hAnsi="Cambria Math"/>
                  </w:rPr>
                  <m:t>Δ</m:t>
                </m:r>
                <m:r>
                  <w:rPr>
                    <w:rFonts w:ascii="Cambria Math" w:hAnsi="Cambria Math"/>
                  </w:rPr>
                  <m:t>t</m:t>
                </m:r>
              </m:den>
            </m:f>
          </m:sup>
        </m:sSup>
        <m:r>
          <w:rPr>
            <w:rFonts w:ascii="Cambria Math" w:hAnsi="Cambria Math"/>
          </w:rPr>
          <m:t>-1</m:t>
        </m:r>
      </m:oMath>
      <w:r>
        <w:rPr>
          <w:rFonts w:eastAsiaTheme="minorEastAsia"/>
        </w:rPr>
        <w:t xml:space="preserve">. </w:t>
      </w:r>
    </w:p>
    <w:p w14:paraId="7CB7CD46" w14:textId="77777777" w:rsidR="00632932" w:rsidRPr="003A597D" w:rsidRDefault="00632932" w:rsidP="00632932">
      <w:pPr>
        <w:keepLines/>
        <w:spacing w:line="480" w:lineRule="auto"/>
        <w:rPr>
          <w:rFonts w:eastAsiaTheme="minorEastAsia"/>
          <w:b/>
          <w:bCs/>
          <w:sz w:val="24"/>
          <w:szCs w:val="24"/>
        </w:rPr>
      </w:pPr>
      <w:r w:rsidRPr="003A597D">
        <w:rPr>
          <w:rFonts w:eastAsiaTheme="minorEastAsia"/>
          <w:b/>
          <w:bCs/>
          <w:sz w:val="24"/>
          <w:szCs w:val="24"/>
        </w:rPr>
        <w:t>Results</w:t>
      </w:r>
    </w:p>
    <w:p w14:paraId="324AE181" w14:textId="77777777" w:rsidR="00632932" w:rsidRDefault="00632932" w:rsidP="00632932">
      <w:pPr>
        <w:pStyle w:val="Heading2"/>
        <w:spacing w:line="480" w:lineRule="auto"/>
        <w:rPr>
          <w:rFonts w:eastAsiaTheme="minorEastAsia"/>
        </w:rPr>
      </w:pPr>
      <w:r>
        <w:rPr>
          <w:rFonts w:eastAsiaTheme="minorEastAsia"/>
        </w:rPr>
        <w:t>Impact of price index</w:t>
      </w:r>
    </w:p>
    <w:p w14:paraId="7DB9DB11" w14:textId="77777777" w:rsidR="00632932" w:rsidRDefault="00632932" w:rsidP="00632932">
      <w:pPr>
        <w:spacing w:line="480" w:lineRule="auto"/>
      </w:pPr>
      <w:r>
        <w:t xml:space="preserve">The average inflation-adjusted price change when calculated using the two price indices were highly correlated (Supplemental </w:t>
      </w:r>
      <w:proofErr w:type="spellStart"/>
      <w:r>
        <w:t>Tbl</w:t>
      </w:r>
      <w:proofErr w:type="spellEnd"/>
      <w:r>
        <w:t>. 1). The vaccine with the largest and smallest average inflation-adjusted price change did not differ when using the two indices. However, ranking of some vaccines did differ slightly between the two indices.</w:t>
      </w:r>
    </w:p>
    <w:tbl>
      <w:tblPr>
        <w:tblStyle w:val="TableGrid"/>
        <w:tblW w:w="0" w:type="auto"/>
        <w:tblLook w:val="04A0" w:firstRow="1" w:lastRow="0" w:firstColumn="1" w:lastColumn="0" w:noHBand="0" w:noVBand="1"/>
      </w:tblPr>
      <w:tblGrid>
        <w:gridCol w:w="3116"/>
        <w:gridCol w:w="3117"/>
        <w:gridCol w:w="3117"/>
      </w:tblGrid>
      <w:tr w:rsidR="00632932" w14:paraId="0E0EAD7A" w14:textId="77777777" w:rsidTr="006674A3">
        <w:tc>
          <w:tcPr>
            <w:tcW w:w="9350" w:type="dxa"/>
            <w:gridSpan w:val="3"/>
          </w:tcPr>
          <w:p w14:paraId="5E1606C5" w14:textId="77777777" w:rsidR="00632932" w:rsidRDefault="00632932" w:rsidP="006674A3">
            <w:pPr>
              <w:pStyle w:val="FigTabTitle"/>
            </w:pPr>
            <w:r>
              <w:t xml:space="preserve">Supplemental Table 1. Correlation coefficient of the annual percent change in cost for each vaccine when using the Personal Consumption Expenditures (PCE) index and the medical component of the Consumer Price Index (CPI). </w:t>
            </w:r>
          </w:p>
        </w:tc>
      </w:tr>
      <w:tr w:rsidR="00632932" w14:paraId="6B3D556A" w14:textId="77777777" w:rsidTr="006674A3">
        <w:tc>
          <w:tcPr>
            <w:tcW w:w="3116" w:type="dxa"/>
          </w:tcPr>
          <w:p w14:paraId="6421E91A" w14:textId="77777777" w:rsidR="00632932" w:rsidRPr="00360D3D" w:rsidRDefault="00632932" w:rsidP="006674A3">
            <w:pPr>
              <w:rPr>
                <w:b/>
                <w:bCs/>
              </w:rPr>
            </w:pPr>
          </w:p>
        </w:tc>
        <w:tc>
          <w:tcPr>
            <w:tcW w:w="6234" w:type="dxa"/>
            <w:gridSpan w:val="2"/>
          </w:tcPr>
          <w:p w14:paraId="03F864BD" w14:textId="77777777" w:rsidR="00632932" w:rsidRPr="00360D3D" w:rsidRDefault="00632932" w:rsidP="006674A3">
            <w:pPr>
              <w:jc w:val="center"/>
              <w:rPr>
                <w:b/>
                <w:bCs/>
              </w:rPr>
            </w:pPr>
            <w:r w:rsidRPr="00360D3D">
              <w:rPr>
                <w:b/>
                <w:bCs/>
              </w:rPr>
              <w:t>Cost Type</w:t>
            </w:r>
          </w:p>
        </w:tc>
      </w:tr>
      <w:tr w:rsidR="00632932" w14:paraId="474063EA" w14:textId="77777777" w:rsidTr="006674A3">
        <w:tc>
          <w:tcPr>
            <w:tcW w:w="3116" w:type="dxa"/>
          </w:tcPr>
          <w:p w14:paraId="2B02AA89" w14:textId="77777777" w:rsidR="00632932" w:rsidRPr="00360D3D" w:rsidRDefault="00632932" w:rsidP="006674A3">
            <w:pPr>
              <w:rPr>
                <w:b/>
                <w:bCs/>
              </w:rPr>
            </w:pPr>
            <w:r w:rsidRPr="00360D3D">
              <w:rPr>
                <w:b/>
                <w:bCs/>
              </w:rPr>
              <w:t>Age Group</w:t>
            </w:r>
          </w:p>
        </w:tc>
        <w:tc>
          <w:tcPr>
            <w:tcW w:w="3117" w:type="dxa"/>
          </w:tcPr>
          <w:p w14:paraId="20551A52" w14:textId="77777777" w:rsidR="00632932" w:rsidRPr="00360D3D" w:rsidRDefault="00632932" w:rsidP="006674A3">
            <w:pPr>
              <w:rPr>
                <w:b/>
                <w:bCs/>
              </w:rPr>
            </w:pPr>
            <w:r w:rsidRPr="00360D3D">
              <w:rPr>
                <w:b/>
                <w:bCs/>
              </w:rPr>
              <w:t>Private</w:t>
            </w:r>
          </w:p>
        </w:tc>
        <w:tc>
          <w:tcPr>
            <w:tcW w:w="3117" w:type="dxa"/>
          </w:tcPr>
          <w:p w14:paraId="7BDF7960" w14:textId="77777777" w:rsidR="00632932" w:rsidRPr="00360D3D" w:rsidRDefault="00632932" w:rsidP="006674A3">
            <w:pPr>
              <w:rPr>
                <w:b/>
                <w:bCs/>
              </w:rPr>
            </w:pPr>
            <w:r w:rsidRPr="00360D3D">
              <w:rPr>
                <w:b/>
                <w:bCs/>
              </w:rPr>
              <w:t>CDC</w:t>
            </w:r>
          </w:p>
        </w:tc>
      </w:tr>
      <w:tr w:rsidR="00632932" w14:paraId="365D7F9B" w14:textId="77777777" w:rsidTr="006674A3">
        <w:tc>
          <w:tcPr>
            <w:tcW w:w="3116" w:type="dxa"/>
          </w:tcPr>
          <w:p w14:paraId="0C45F495" w14:textId="77777777" w:rsidR="00632932" w:rsidRDefault="00632932" w:rsidP="006674A3">
            <w:r>
              <w:t>Pediatric</w:t>
            </w:r>
          </w:p>
        </w:tc>
        <w:tc>
          <w:tcPr>
            <w:tcW w:w="3117" w:type="dxa"/>
          </w:tcPr>
          <w:p w14:paraId="72C4B32B" w14:textId="77777777" w:rsidR="00632932" w:rsidRDefault="00632932" w:rsidP="006674A3">
            <w:r>
              <w:t>0.990*</w:t>
            </w:r>
          </w:p>
        </w:tc>
        <w:tc>
          <w:tcPr>
            <w:tcW w:w="3117" w:type="dxa"/>
          </w:tcPr>
          <w:p w14:paraId="7F1A7DEA" w14:textId="77777777" w:rsidR="00632932" w:rsidRDefault="00632932" w:rsidP="006674A3">
            <w:r>
              <w:t>0.967*</w:t>
            </w:r>
          </w:p>
        </w:tc>
      </w:tr>
      <w:tr w:rsidR="00632932" w14:paraId="7119B18D" w14:textId="77777777" w:rsidTr="006674A3">
        <w:tc>
          <w:tcPr>
            <w:tcW w:w="3116" w:type="dxa"/>
          </w:tcPr>
          <w:p w14:paraId="3BF5320E" w14:textId="77777777" w:rsidR="00632932" w:rsidRDefault="00632932" w:rsidP="006674A3">
            <w:r>
              <w:t>Adult</w:t>
            </w:r>
          </w:p>
        </w:tc>
        <w:tc>
          <w:tcPr>
            <w:tcW w:w="3117" w:type="dxa"/>
          </w:tcPr>
          <w:p w14:paraId="488E0745" w14:textId="77777777" w:rsidR="00632932" w:rsidRDefault="00632932" w:rsidP="006674A3">
            <w:r>
              <w:t>0.988*</w:t>
            </w:r>
          </w:p>
        </w:tc>
        <w:tc>
          <w:tcPr>
            <w:tcW w:w="3117" w:type="dxa"/>
          </w:tcPr>
          <w:p w14:paraId="0BB9C726" w14:textId="77777777" w:rsidR="00632932" w:rsidRDefault="00632932" w:rsidP="006674A3">
            <w:r>
              <w:t>0.993*</w:t>
            </w:r>
          </w:p>
        </w:tc>
      </w:tr>
      <w:tr w:rsidR="00632932" w14:paraId="5A8A259F" w14:textId="77777777" w:rsidTr="006674A3">
        <w:tc>
          <w:tcPr>
            <w:tcW w:w="9350" w:type="dxa"/>
            <w:gridSpan w:val="3"/>
          </w:tcPr>
          <w:p w14:paraId="01BD69A2" w14:textId="77777777" w:rsidR="00632932" w:rsidRDefault="00632932" w:rsidP="006674A3">
            <w:r>
              <w:t>*p-value &lt;&lt; 0.005</w:t>
            </w:r>
          </w:p>
        </w:tc>
      </w:tr>
    </w:tbl>
    <w:p w14:paraId="00D22055" w14:textId="77777777" w:rsidR="00632932" w:rsidRDefault="00632932" w:rsidP="00632932">
      <w:pPr>
        <w:spacing w:line="480" w:lineRule="auto"/>
      </w:pPr>
    </w:p>
    <w:p w14:paraId="182EFFA6" w14:textId="77777777" w:rsidR="00632932" w:rsidRDefault="00632932" w:rsidP="00632932">
      <w:pPr>
        <w:pStyle w:val="FigTabTitle"/>
      </w:pPr>
      <w:r>
        <w:lastRenderedPageBreak/>
        <w:t xml:space="preserve">Supplemental Figure 1. Comparison between annual percentage change calculations with inflation-adjustments made using two price indices, the health care component of the Personal Consumption Expenditures (PCE) index and the medical component of the Consumer Price Index (CPI). </w:t>
      </w:r>
      <w:r w:rsidRPr="00433F8A">
        <w:rPr>
          <w:b w:val="0"/>
          <w:bCs w:val="0"/>
        </w:rPr>
        <w:t>Points have been jittered around year to allow for easier interpretation.</w:t>
      </w:r>
      <w:r>
        <w:t xml:space="preserve"> </w:t>
      </w:r>
    </w:p>
    <w:p w14:paraId="5E124192" w14:textId="77777777" w:rsidR="00632932" w:rsidRDefault="00632932" w:rsidP="00632932">
      <w:pPr>
        <w:spacing w:line="480" w:lineRule="auto"/>
      </w:pPr>
      <w:r>
        <w:rPr>
          <w:noProof/>
        </w:rPr>
        <w:drawing>
          <wp:inline distT="0" distB="0" distL="0" distR="0" wp14:anchorId="1D0A15FA" wp14:editId="26F9CD79">
            <wp:extent cx="6505575" cy="3252788"/>
            <wp:effectExtent l="0" t="0" r="0" b="5080"/>
            <wp:docPr id="4" name="Picture 4"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scatter chart&#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6522503" cy="3261252"/>
                    </a:xfrm>
                    <a:prstGeom prst="rect">
                      <a:avLst/>
                    </a:prstGeom>
                  </pic:spPr>
                </pic:pic>
              </a:graphicData>
            </a:graphic>
          </wp:inline>
        </w:drawing>
      </w:r>
    </w:p>
    <w:p w14:paraId="7D6A6134" w14:textId="77777777" w:rsidR="00632932" w:rsidRPr="00F47204" w:rsidRDefault="00632932" w:rsidP="00632932">
      <w:r w:rsidRPr="00464E95">
        <w:rPr>
          <w:i/>
          <w:iCs w:val="0"/>
        </w:rPr>
        <w:t>Note(s)</w:t>
      </w:r>
      <w:r w:rsidRPr="00FF7041">
        <w:t>:</w:t>
      </w:r>
      <w:r>
        <w:t xml:space="preserve"> In each panel, each vaccine is represented by two data points, one with the inflation-adjustment made using the medical component of the CPI and one with the inflation-adjustment made using the health care component of the PCE. </w:t>
      </w:r>
      <w:r>
        <w:br w:type="page"/>
      </w:r>
    </w:p>
    <w:p w14:paraId="75200445" w14:textId="77777777" w:rsidR="00632932" w:rsidRDefault="00632932" w:rsidP="00632932">
      <w:pPr>
        <w:pStyle w:val="Heading2"/>
        <w:spacing w:line="480" w:lineRule="auto"/>
      </w:pPr>
      <w:r>
        <w:rPr>
          <w:rFonts w:eastAsiaTheme="minorEastAsia"/>
        </w:rPr>
        <w:lastRenderedPageBreak/>
        <w:t xml:space="preserve">Impact of </w:t>
      </w:r>
      <w:r>
        <w:t>the HPV vaccine Gardasil®9 on temporal analysis</w:t>
      </w:r>
    </w:p>
    <w:p w14:paraId="6850B8FC" w14:textId="77777777" w:rsidR="00632932" w:rsidRPr="000C1A84" w:rsidRDefault="00632932" w:rsidP="00632932">
      <w:pPr>
        <w:spacing w:line="480" w:lineRule="auto"/>
      </w:pPr>
      <w:r>
        <w:t xml:space="preserve">The HPV vaccine Gardasil®9 had the largest increase in costs per year, almost double the amount of the vaccine with the second largest increase in cost per year.  Despite the large difference in annual price increase for Gardasil®9 and the other vaccines, the impact on the annual percent change is minimal when comparing the annual percent change in vaccine costs stratified by </w:t>
      </w:r>
      <w:proofErr w:type="gramStart"/>
      <w:r>
        <w:t>time period</w:t>
      </w:r>
      <w:proofErr w:type="gramEnd"/>
      <w:r>
        <w:t xml:space="preserve">. Removing Gardasil®9 has from the 2010 and later group does not change the non-overlapping or overlapping average and IQR of the two time periods for the private and CDC price, respectively (Supplemental </w:t>
      </w:r>
      <w:proofErr w:type="spellStart"/>
      <w:r>
        <w:t>Tbl</w:t>
      </w:r>
      <w:proofErr w:type="spellEnd"/>
      <w:r>
        <w:t xml:space="preserve">. 2).  </w:t>
      </w:r>
    </w:p>
    <w:p w14:paraId="7BD5875E" w14:textId="77777777" w:rsidR="00632932" w:rsidRDefault="00632932" w:rsidP="00632932">
      <w:pPr>
        <w:pStyle w:val="FigTabTitle"/>
      </w:pPr>
    </w:p>
    <w:tbl>
      <w:tblPr>
        <w:tblW w:w="8905" w:type="dxa"/>
        <w:tblLook w:val="04A0" w:firstRow="1" w:lastRow="0" w:firstColumn="1" w:lastColumn="0" w:noHBand="0" w:noVBand="1"/>
      </w:tblPr>
      <w:tblGrid>
        <w:gridCol w:w="3325"/>
        <w:gridCol w:w="1098"/>
        <w:gridCol w:w="1242"/>
        <w:gridCol w:w="1098"/>
        <w:gridCol w:w="1422"/>
        <w:gridCol w:w="720"/>
      </w:tblGrid>
      <w:tr w:rsidR="00632932" w:rsidRPr="00800469" w14:paraId="0DF81484" w14:textId="77777777" w:rsidTr="006674A3">
        <w:trPr>
          <w:trHeight w:val="273"/>
        </w:trPr>
        <w:tc>
          <w:tcPr>
            <w:tcW w:w="8905"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14:paraId="49B70999" w14:textId="77777777" w:rsidR="00632932" w:rsidRPr="00800469" w:rsidRDefault="00632932" w:rsidP="006674A3">
            <w:pPr>
              <w:spacing w:after="0"/>
              <w:rPr>
                <w:rFonts w:ascii="Calibri" w:eastAsia="Times New Roman" w:hAnsi="Calibri" w:cs="Calibri"/>
                <w:b/>
                <w:bCs/>
                <w:iCs w:val="0"/>
                <w:color w:val="000000"/>
              </w:rPr>
            </w:pPr>
            <w:r>
              <w:t xml:space="preserve">Supplemental Table 2. Summary statistics of annual percentage (%) change in vaccine costs, stratified by cost type (private sector cost and CDC cost), and </w:t>
            </w:r>
            <w:proofErr w:type="gramStart"/>
            <w:r>
              <w:t>time period</w:t>
            </w:r>
            <w:proofErr w:type="gramEnd"/>
            <w:r>
              <w:t xml:space="preserve"> (i.e., 2009 and earlier vs 2010 and later), from cost data found on the CDC Vaccine Price List.</w:t>
            </w:r>
          </w:p>
        </w:tc>
      </w:tr>
      <w:tr w:rsidR="00632932" w:rsidRPr="00800469" w14:paraId="5F62CB19" w14:textId="77777777" w:rsidTr="006674A3">
        <w:trPr>
          <w:trHeight w:val="273"/>
        </w:trPr>
        <w:tc>
          <w:tcPr>
            <w:tcW w:w="33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37CEF1" w14:textId="77777777" w:rsidR="00632932" w:rsidRPr="00800469" w:rsidRDefault="00632932" w:rsidP="006674A3">
            <w:pPr>
              <w:spacing w:after="0"/>
              <w:rPr>
                <w:rFonts w:ascii="Calibri" w:eastAsia="Times New Roman" w:hAnsi="Calibri" w:cs="Calibri"/>
                <w:iCs w:val="0"/>
                <w:color w:val="000000"/>
              </w:rPr>
            </w:pPr>
            <w:r w:rsidRPr="00800469">
              <w:rPr>
                <w:rFonts w:ascii="Calibri" w:eastAsia="Times New Roman" w:hAnsi="Calibri" w:cs="Calibri"/>
                <w:iCs w:val="0"/>
                <w:color w:val="000000"/>
              </w:rPr>
              <w:t> </w:t>
            </w:r>
          </w:p>
        </w:tc>
        <w:tc>
          <w:tcPr>
            <w:tcW w:w="2340" w:type="dxa"/>
            <w:gridSpan w:val="2"/>
            <w:tcBorders>
              <w:top w:val="single" w:sz="4" w:space="0" w:color="auto"/>
              <w:left w:val="nil"/>
              <w:bottom w:val="single" w:sz="4" w:space="0" w:color="auto"/>
              <w:right w:val="single" w:sz="4" w:space="0" w:color="000000" w:themeColor="text1"/>
            </w:tcBorders>
            <w:shd w:val="clear" w:color="auto" w:fill="auto"/>
            <w:noWrap/>
            <w:vAlign w:val="bottom"/>
            <w:hideMark/>
          </w:tcPr>
          <w:p w14:paraId="550AB5DD" w14:textId="77777777" w:rsidR="00632932" w:rsidRPr="00800469" w:rsidRDefault="00632932" w:rsidP="006674A3">
            <w:pPr>
              <w:spacing w:after="0"/>
              <w:jc w:val="center"/>
              <w:rPr>
                <w:rFonts w:ascii="Calibri" w:eastAsia="Times New Roman" w:hAnsi="Calibri" w:cs="Calibri"/>
                <w:b/>
                <w:bCs/>
                <w:iCs w:val="0"/>
                <w:color w:val="000000"/>
              </w:rPr>
            </w:pPr>
            <w:r w:rsidRPr="00800469">
              <w:rPr>
                <w:rFonts w:ascii="Calibri" w:eastAsia="Times New Roman" w:hAnsi="Calibri" w:cs="Calibri"/>
                <w:b/>
                <w:bCs/>
                <w:iCs w:val="0"/>
                <w:color w:val="000000"/>
              </w:rPr>
              <w:t xml:space="preserve">Private </w:t>
            </w:r>
          </w:p>
        </w:tc>
        <w:tc>
          <w:tcPr>
            <w:tcW w:w="2520" w:type="dxa"/>
            <w:gridSpan w:val="2"/>
            <w:tcBorders>
              <w:top w:val="single" w:sz="4" w:space="0" w:color="auto"/>
              <w:left w:val="nil"/>
              <w:bottom w:val="single" w:sz="4" w:space="0" w:color="auto"/>
              <w:right w:val="single" w:sz="4" w:space="0" w:color="000000" w:themeColor="text1"/>
            </w:tcBorders>
            <w:shd w:val="clear" w:color="auto" w:fill="auto"/>
            <w:noWrap/>
            <w:vAlign w:val="bottom"/>
            <w:hideMark/>
          </w:tcPr>
          <w:p w14:paraId="16EFAF9D" w14:textId="77777777" w:rsidR="00632932" w:rsidRPr="00800469" w:rsidRDefault="00632932" w:rsidP="006674A3">
            <w:pPr>
              <w:spacing w:after="0"/>
              <w:jc w:val="center"/>
              <w:rPr>
                <w:rFonts w:ascii="Calibri" w:eastAsia="Times New Roman" w:hAnsi="Calibri" w:cs="Calibri"/>
                <w:b/>
                <w:bCs/>
                <w:iCs w:val="0"/>
                <w:color w:val="000000"/>
              </w:rPr>
            </w:pPr>
            <w:r w:rsidRPr="00800469">
              <w:rPr>
                <w:rFonts w:ascii="Calibri" w:eastAsia="Times New Roman" w:hAnsi="Calibri" w:cs="Calibri"/>
                <w:b/>
                <w:bCs/>
                <w:iCs w:val="0"/>
                <w:color w:val="000000"/>
              </w:rPr>
              <w:t>CDC</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14:paraId="0430CE30" w14:textId="77777777" w:rsidR="00632932" w:rsidRPr="00800469" w:rsidRDefault="00632932" w:rsidP="006674A3">
            <w:pPr>
              <w:spacing w:after="0"/>
              <w:rPr>
                <w:rFonts w:ascii="Calibri" w:eastAsia="Times New Roman" w:hAnsi="Calibri" w:cs="Calibri"/>
                <w:b/>
                <w:bCs/>
                <w:iCs w:val="0"/>
                <w:color w:val="000000"/>
              </w:rPr>
            </w:pPr>
            <w:r w:rsidRPr="00800469">
              <w:rPr>
                <w:rFonts w:ascii="Calibri" w:eastAsia="Times New Roman" w:hAnsi="Calibri" w:cs="Calibri"/>
                <w:b/>
                <w:bCs/>
                <w:iCs w:val="0"/>
                <w:color w:val="000000"/>
              </w:rPr>
              <w:t> </w:t>
            </w:r>
          </w:p>
        </w:tc>
      </w:tr>
      <w:tr w:rsidR="00632932" w:rsidRPr="00800469" w14:paraId="6F92775C" w14:textId="77777777" w:rsidTr="006674A3">
        <w:trPr>
          <w:trHeight w:val="273"/>
        </w:trPr>
        <w:tc>
          <w:tcPr>
            <w:tcW w:w="3325" w:type="dxa"/>
            <w:tcBorders>
              <w:top w:val="nil"/>
              <w:left w:val="single" w:sz="4" w:space="0" w:color="auto"/>
              <w:bottom w:val="single" w:sz="4" w:space="0" w:color="auto"/>
              <w:right w:val="single" w:sz="4" w:space="0" w:color="auto"/>
            </w:tcBorders>
            <w:shd w:val="clear" w:color="auto" w:fill="auto"/>
            <w:noWrap/>
            <w:vAlign w:val="bottom"/>
            <w:hideMark/>
          </w:tcPr>
          <w:p w14:paraId="6C1658BE" w14:textId="77777777" w:rsidR="00632932" w:rsidRPr="00800469" w:rsidRDefault="00632932" w:rsidP="006674A3">
            <w:pPr>
              <w:spacing w:after="0"/>
              <w:rPr>
                <w:rFonts w:ascii="Calibri" w:eastAsia="Times New Roman" w:hAnsi="Calibri" w:cs="Calibri"/>
                <w:b/>
                <w:bCs/>
                <w:iCs w:val="0"/>
                <w:color w:val="000000"/>
              </w:rPr>
            </w:pPr>
            <w:r w:rsidRPr="00800469">
              <w:rPr>
                <w:rFonts w:ascii="Calibri" w:eastAsia="Times New Roman" w:hAnsi="Calibri" w:cs="Calibri"/>
                <w:b/>
                <w:bCs/>
                <w:iCs w:val="0"/>
                <w:color w:val="000000"/>
              </w:rPr>
              <w:t> Time period</w:t>
            </w:r>
          </w:p>
        </w:tc>
        <w:tc>
          <w:tcPr>
            <w:tcW w:w="1098" w:type="dxa"/>
            <w:tcBorders>
              <w:top w:val="nil"/>
              <w:left w:val="nil"/>
              <w:bottom w:val="single" w:sz="4" w:space="0" w:color="auto"/>
              <w:right w:val="single" w:sz="4" w:space="0" w:color="auto"/>
            </w:tcBorders>
            <w:shd w:val="clear" w:color="auto" w:fill="auto"/>
            <w:noWrap/>
            <w:vAlign w:val="bottom"/>
            <w:hideMark/>
          </w:tcPr>
          <w:p w14:paraId="305768FC" w14:textId="77777777" w:rsidR="00632932" w:rsidRPr="00800469" w:rsidRDefault="00632932" w:rsidP="006674A3">
            <w:pPr>
              <w:spacing w:after="0"/>
              <w:jc w:val="center"/>
              <w:rPr>
                <w:rFonts w:ascii="Calibri" w:eastAsia="Times New Roman" w:hAnsi="Calibri" w:cs="Calibri"/>
                <w:b/>
                <w:bCs/>
                <w:iCs w:val="0"/>
                <w:color w:val="000000"/>
              </w:rPr>
            </w:pPr>
            <w:r w:rsidRPr="00800469">
              <w:rPr>
                <w:rFonts w:ascii="Calibri" w:eastAsia="Times New Roman" w:hAnsi="Calibri" w:cs="Calibri"/>
                <w:b/>
                <w:bCs/>
                <w:iCs w:val="0"/>
                <w:color w:val="000000"/>
              </w:rPr>
              <w:t>Average</w:t>
            </w:r>
          </w:p>
        </w:tc>
        <w:tc>
          <w:tcPr>
            <w:tcW w:w="1242" w:type="dxa"/>
            <w:tcBorders>
              <w:top w:val="nil"/>
              <w:left w:val="nil"/>
              <w:bottom w:val="single" w:sz="4" w:space="0" w:color="auto"/>
              <w:right w:val="single" w:sz="4" w:space="0" w:color="auto"/>
            </w:tcBorders>
            <w:shd w:val="clear" w:color="auto" w:fill="auto"/>
            <w:noWrap/>
            <w:vAlign w:val="bottom"/>
            <w:hideMark/>
          </w:tcPr>
          <w:p w14:paraId="24635E0C" w14:textId="77777777" w:rsidR="00632932" w:rsidRPr="00800469" w:rsidRDefault="00632932" w:rsidP="006674A3">
            <w:pPr>
              <w:spacing w:after="0"/>
              <w:jc w:val="center"/>
              <w:rPr>
                <w:rFonts w:ascii="Calibri" w:eastAsia="Times New Roman" w:hAnsi="Calibri" w:cs="Calibri"/>
                <w:b/>
                <w:bCs/>
                <w:iCs w:val="0"/>
                <w:color w:val="000000"/>
              </w:rPr>
            </w:pPr>
            <w:r w:rsidRPr="00800469">
              <w:rPr>
                <w:rFonts w:ascii="Calibri" w:eastAsia="Times New Roman" w:hAnsi="Calibri" w:cs="Calibri"/>
                <w:b/>
                <w:bCs/>
                <w:iCs w:val="0"/>
                <w:color w:val="000000"/>
              </w:rPr>
              <w:t>IQR</w:t>
            </w:r>
          </w:p>
        </w:tc>
        <w:tc>
          <w:tcPr>
            <w:tcW w:w="1098" w:type="dxa"/>
            <w:tcBorders>
              <w:top w:val="nil"/>
              <w:left w:val="nil"/>
              <w:bottom w:val="single" w:sz="4" w:space="0" w:color="auto"/>
              <w:right w:val="single" w:sz="4" w:space="0" w:color="auto"/>
            </w:tcBorders>
            <w:shd w:val="clear" w:color="auto" w:fill="auto"/>
            <w:noWrap/>
            <w:vAlign w:val="bottom"/>
            <w:hideMark/>
          </w:tcPr>
          <w:p w14:paraId="131BA550" w14:textId="77777777" w:rsidR="00632932" w:rsidRPr="00800469" w:rsidRDefault="00632932" w:rsidP="006674A3">
            <w:pPr>
              <w:spacing w:after="0"/>
              <w:jc w:val="center"/>
              <w:rPr>
                <w:rFonts w:ascii="Calibri" w:eastAsia="Times New Roman" w:hAnsi="Calibri" w:cs="Calibri"/>
                <w:b/>
                <w:bCs/>
                <w:iCs w:val="0"/>
                <w:color w:val="000000"/>
              </w:rPr>
            </w:pPr>
            <w:r w:rsidRPr="00800469">
              <w:rPr>
                <w:rFonts w:ascii="Calibri" w:eastAsia="Times New Roman" w:hAnsi="Calibri" w:cs="Calibri"/>
                <w:b/>
                <w:bCs/>
                <w:iCs w:val="0"/>
                <w:color w:val="000000"/>
              </w:rPr>
              <w:t>Average</w:t>
            </w:r>
          </w:p>
        </w:tc>
        <w:tc>
          <w:tcPr>
            <w:tcW w:w="1422" w:type="dxa"/>
            <w:tcBorders>
              <w:top w:val="nil"/>
              <w:left w:val="nil"/>
              <w:bottom w:val="single" w:sz="4" w:space="0" w:color="auto"/>
              <w:right w:val="single" w:sz="4" w:space="0" w:color="auto"/>
            </w:tcBorders>
            <w:shd w:val="clear" w:color="auto" w:fill="auto"/>
            <w:noWrap/>
            <w:vAlign w:val="bottom"/>
            <w:hideMark/>
          </w:tcPr>
          <w:p w14:paraId="26A1B552" w14:textId="77777777" w:rsidR="00632932" w:rsidRPr="00800469" w:rsidRDefault="00632932" w:rsidP="006674A3">
            <w:pPr>
              <w:spacing w:after="0"/>
              <w:jc w:val="center"/>
              <w:rPr>
                <w:rFonts w:ascii="Calibri" w:eastAsia="Times New Roman" w:hAnsi="Calibri" w:cs="Calibri"/>
                <w:b/>
                <w:bCs/>
                <w:iCs w:val="0"/>
                <w:color w:val="000000"/>
              </w:rPr>
            </w:pPr>
            <w:r w:rsidRPr="00800469">
              <w:rPr>
                <w:rFonts w:ascii="Calibri" w:eastAsia="Times New Roman" w:hAnsi="Calibri" w:cs="Calibri"/>
                <w:b/>
                <w:bCs/>
                <w:iCs w:val="0"/>
                <w:color w:val="000000"/>
              </w:rPr>
              <w:t>IQR</w:t>
            </w:r>
          </w:p>
        </w:tc>
        <w:tc>
          <w:tcPr>
            <w:tcW w:w="720" w:type="dxa"/>
            <w:tcBorders>
              <w:top w:val="nil"/>
              <w:left w:val="nil"/>
              <w:bottom w:val="single" w:sz="4" w:space="0" w:color="auto"/>
              <w:right w:val="single" w:sz="4" w:space="0" w:color="auto"/>
            </w:tcBorders>
            <w:shd w:val="clear" w:color="auto" w:fill="auto"/>
            <w:noWrap/>
            <w:vAlign w:val="bottom"/>
            <w:hideMark/>
          </w:tcPr>
          <w:p w14:paraId="24B5DAAA" w14:textId="77777777" w:rsidR="00632932" w:rsidRPr="00800469" w:rsidRDefault="00632932" w:rsidP="006674A3">
            <w:pPr>
              <w:spacing w:after="0"/>
              <w:jc w:val="center"/>
              <w:rPr>
                <w:rFonts w:ascii="Calibri" w:eastAsia="Times New Roman" w:hAnsi="Calibri" w:cs="Calibri"/>
                <w:b/>
                <w:bCs/>
                <w:iCs w:val="0"/>
                <w:color w:val="000000"/>
              </w:rPr>
            </w:pPr>
            <w:r w:rsidRPr="00800469">
              <w:rPr>
                <w:rFonts w:ascii="Calibri" w:eastAsia="Times New Roman" w:hAnsi="Calibri" w:cs="Calibri"/>
                <w:b/>
                <w:bCs/>
                <w:iCs w:val="0"/>
                <w:color w:val="000000"/>
              </w:rPr>
              <w:t>N</w:t>
            </w:r>
          </w:p>
        </w:tc>
      </w:tr>
      <w:tr w:rsidR="00632932" w:rsidRPr="00800469" w14:paraId="56A5A2F9" w14:textId="77777777" w:rsidTr="006674A3">
        <w:trPr>
          <w:trHeight w:val="273"/>
        </w:trPr>
        <w:tc>
          <w:tcPr>
            <w:tcW w:w="3325" w:type="dxa"/>
            <w:tcBorders>
              <w:top w:val="nil"/>
              <w:left w:val="single" w:sz="4" w:space="0" w:color="auto"/>
              <w:bottom w:val="single" w:sz="4" w:space="0" w:color="auto"/>
              <w:right w:val="single" w:sz="4" w:space="0" w:color="auto"/>
            </w:tcBorders>
            <w:shd w:val="clear" w:color="auto" w:fill="auto"/>
            <w:noWrap/>
            <w:vAlign w:val="bottom"/>
            <w:hideMark/>
          </w:tcPr>
          <w:p w14:paraId="60F9E8D3" w14:textId="77777777" w:rsidR="00632932" w:rsidRPr="00800469" w:rsidRDefault="00632932" w:rsidP="006674A3">
            <w:pPr>
              <w:spacing w:after="0"/>
              <w:rPr>
                <w:rFonts w:ascii="Calibri" w:eastAsia="Times New Roman" w:hAnsi="Calibri" w:cs="Calibri"/>
                <w:iCs w:val="0"/>
                <w:color w:val="000000"/>
              </w:rPr>
            </w:pPr>
            <w:r>
              <w:rPr>
                <w:rFonts w:ascii="Calibri" w:eastAsia="Times New Roman" w:hAnsi="Calibri" w:cs="Calibri"/>
                <w:iCs w:val="0"/>
                <w:color w:val="000000"/>
              </w:rPr>
              <w:t>Before 2010</w:t>
            </w:r>
          </w:p>
        </w:tc>
        <w:tc>
          <w:tcPr>
            <w:tcW w:w="1098" w:type="dxa"/>
            <w:tcBorders>
              <w:top w:val="nil"/>
              <w:left w:val="nil"/>
              <w:bottom w:val="single" w:sz="4" w:space="0" w:color="auto"/>
              <w:right w:val="single" w:sz="4" w:space="0" w:color="auto"/>
            </w:tcBorders>
            <w:shd w:val="clear" w:color="auto" w:fill="auto"/>
            <w:noWrap/>
            <w:vAlign w:val="bottom"/>
            <w:hideMark/>
          </w:tcPr>
          <w:p w14:paraId="6E65CFC6" w14:textId="77777777" w:rsidR="00632932" w:rsidRPr="00800469" w:rsidRDefault="00632932" w:rsidP="006674A3">
            <w:pPr>
              <w:spacing w:after="0"/>
              <w:jc w:val="center"/>
              <w:rPr>
                <w:rFonts w:eastAsia="Times New Roman" w:cstheme="minorHAnsi"/>
                <w:color w:val="000000"/>
              </w:rPr>
            </w:pPr>
            <w:r w:rsidRPr="00800469">
              <w:rPr>
                <w:rFonts w:cstheme="minorHAnsi"/>
                <w:color w:val="000000"/>
              </w:rPr>
              <w:t>0.04</w:t>
            </w:r>
          </w:p>
        </w:tc>
        <w:tc>
          <w:tcPr>
            <w:tcW w:w="1242" w:type="dxa"/>
            <w:tcBorders>
              <w:top w:val="nil"/>
              <w:left w:val="nil"/>
              <w:bottom w:val="single" w:sz="4" w:space="0" w:color="auto"/>
              <w:right w:val="single" w:sz="4" w:space="0" w:color="auto"/>
            </w:tcBorders>
            <w:shd w:val="clear" w:color="auto" w:fill="auto"/>
            <w:noWrap/>
            <w:vAlign w:val="bottom"/>
            <w:hideMark/>
          </w:tcPr>
          <w:p w14:paraId="52E0D910" w14:textId="77777777" w:rsidR="00632932" w:rsidRPr="00800469" w:rsidRDefault="00632932" w:rsidP="006674A3">
            <w:pPr>
              <w:spacing w:after="0"/>
              <w:jc w:val="center"/>
              <w:rPr>
                <w:rFonts w:eastAsia="Times New Roman" w:cstheme="minorHAnsi"/>
                <w:color w:val="000000"/>
              </w:rPr>
            </w:pPr>
            <w:r w:rsidRPr="00800469">
              <w:rPr>
                <w:rFonts w:cstheme="minorHAnsi"/>
                <w:color w:val="000000" w:themeColor="text1"/>
              </w:rPr>
              <w:t>-0.95; 0.59</w:t>
            </w:r>
          </w:p>
        </w:tc>
        <w:tc>
          <w:tcPr>
            <w:tcW w:w="1098" w:type="dxa"/>
            <w:tcBorders>
              <w:top w:val="nil"/>
              <w:left w:val="nil"/>
              <w:bottom w:val="single" w:sz="4" w:space="0" w:color="auto"/>
              <w:right w:val="single" w:sz="4" w:space="0" w:color="auto"/>
            </w:tcBorders>
            <w:shd w:val="clear" w:color="auto" w:fill="auto"/>
            <w:noWrap/>
            <w:vAlign w:val="bottom"/>
            <w:hideMark/>
          </w:tcPr>
          <w:p w14:paraId="16F417A7" w14:textId="77777777" w:rsidR="00632932" w:rsidRPr="00800469" w:rsidRDefault="00632932" w:rsidP="006674A3">
            <w:pPr>
              <w:spacing w:after="0"/>
              <w:jc w:val="center"/>
              <w:rPr>
                <w:rFonts w:eastAsia="Times New Roman" w:cstheme="minorHAnsi"/>
                <w:color w:val="000000"/>
              </w:rPr>
            </w:pPr>
            <w:r w:rsidRPr="00800469">
              <w:rPr>
                <w:rFonts w:cstheme="minorHAnsi"/>
                <w:color w:val="000000"/>
              </w:rPr>
              <w:t>0.53</w:t>
            </w:r>
          </w:p>
        </w:tc>
        <w:tc>
          <w:tcPr>
            <w:tcW w:w="1422" w:type="dxa"/>
            <w:tcBorders>
              <w:top w:val="nil"/>
              <w:left w:val="nil"/>
              <w:bottom w:val="single" w:sz="4" w:space="0" w:color="auto"/>
              <w:right w:val="single" w:sz="4" w:space="0" w:color="auto"/>
            </w:tcBorders>
            <w:shd w:val="clear" w:color="auto" w:fill="auto"/>
            <w:noWrap/>
            <w:vAlign w:val="bottom"/>
            <w:hideMark/>
          </w:tcPr>
          <w:p w14:paraId="2D3C172B" w14:textId="77777777" w:rsidR="00632932" w:rsidRPr="00800469" w:rsidRDefault="00632932" w:rsidP="006674A3">
            <w:pPr>
              <w:spacing w:after="0"/>
              <w:jc w:val="center"/>
              <w:rPr>
                <w:rFonts w:eastAsia="Times New Roman" w:cstheme="minorHAnsi"/>
                <w:color w:val="000000"/>
              </w:rPr>
            </w:pPr>
            <w:r w:rsidRPr="00800469">
              <w:rPr>
                <w:rFonts w:cstheme="minorHAnsi"/>
                <w:color w:val="000000" w:themeColor="text1"/>
              </w:rPr>
              <w:t>-0.32; 1.15</w:t>
            </w:r>
          </w:p>
        </w:tc>
        <w:tc>
          <w:tcPr>
            <w:tcW w:w="720" w:type="dxa"/>
            <w:tcBorders>
              <w:top w:val="nil"/>
              <w:left w:val="nil"/>
              <w:bottom w:val="single" w:sz="4" w:space="0" w:color="auto"/>
              <w:right w:val="single" w:sz="4" w:space="0" w:color="auto"/>
            </w:tcBorders>
            <w:shd w:val="clear" w:color="auto" w:fill="auto"/>
            <w:noWrap/>
            <w:vAlign w:val="bottom"/>
            <w:hideMark/>
          </w:tcPr>
          <w:p w14:paraId="75519A9E" w14:textId="77777777" w:rsidR="00632932" w:rsidRPr="00800469" w:rsidRDefault="00632932" w:rsidP="006674A3">
            <w:pPr>
              <w:spacing w:after="0"/>
              <w:jc w:val="center"/>
              <w:rPr>
                <w:rFonts w:eastAsia="Times New Roman" w:cstheme="minorHAnsi"/>
                <w:color w:val="000000"/>
              </w:rPr>
            </w:pPr>
            <w:r w:rsidRPr="00800469">
              <w:rPr>
                <w:rFonts w:eastAsia="Times New Roman" w:cstheme="minorHAnsi"/>
                <w:color w:val="000000"/>
              </w:rPr>
              <w:t>30</w:t>
            </w:r>
          </w:p>
        </w:tc>
      </w:tr>
      <w:tr w:rsidR="00632932" w:rsidRPr="00800469" w14:paraId="3A883094" w14:textId="77777777" w:rsidTr="006674A3">
        <w:trPr>
          <w:trHeight w:val="273"/>
        </w:trPr>
        <w:tc>
          <w:tcPr>
            <w:tcW w:w="3325" w:type="dxa"/>
            <w:tcBorders>
              <w:top w:val="nil"/>
              <w:left w:val="single" w:sz="4" w:space="0" w:color="auto"/>
              <w:bottom w:val="single" w:sz="4" w:space="0" w:color="auto"/>
              <w:right w:val="single" w:sz="4" w:space="0" w:color="auto"/>
            </w:tcBorders>
            <w:shd w:val="clear" w:color="auto" w:fill="auto"/>
            <w:noWrap/>
            <w:vAlign w:val="bottom"/>
            <w:hideMark/>
          </w:tcPr>
          <w:p w14:paraId="2B6A02CD" w14:textId="77777777" w:rsidR="00632932" w:rsidRPr="00800469" w:rsidRDefault="00632932" w:rsidP="006674A3">
            <w:pPr>
              <w:spacing w:after="0"/>
              <w:rPr>
                <w:rFonts w:ascii="Calibri" w:eastAsia="Times New Roman" w:hAnsi="Calibri" w:cs="Calibri"/>
                <w:iCs w:val="0"/>
                <w:color w:val="000000"/>
              </w:rPr>
            </w:pPr>
            <w:r w:rsidRPr="00800469">
              <w:rPr>
                <w:rFonts w:ascii="Calibri" w:eastAsia="Times New Roman" w:hAnsi="Calibri" w:cs="Calibri"/>
                <w:iCs w:val="0"/>
                <w:color w:val="000000"/>
              </w:rPr>
              <w:t xml:space="preserve">2010 and later (with </w:t>
            </w:r>
            <w:r w:rsidRPr="00800469">
              <w:t>Gardasil®9)</w:t>
            </w:r>
          </w:p>
        </w:tc>
        <w:tc>
          <w:tcPr>
            <w:tcW w:w="1098" w:type="dxa"/>
            <w:tcBorders>
              <w:top w:val="nil"/>
              <w:left w:val="nil"/>
              <w:bottom w:val="single" w:sz="4" w:space="0" w:color="auto"/>
              <w:right w:val="single" w:sz="4" w:space="0" w:color="auto"/>
            </w:tcBorders>
            <w:shd w:val="clear" w:color="auto" w:fill="auto"/>
            <w:noWrap/>
            <w:vAlign w:val="bottom"/>
            <w:hideMark/>
          </w:tcPr>
          <w:p w14:paraId="1CFA2BDF" w14:textId="77777777" w:rsidR="00632932" w:rsidRPr="00800469" w:rsidRDefault="00632932" w:rsidP="006674A3">
            <w:pPr>
              <w:spacing w:after="0"/>
              <w:jc w:val="center"/>
              <w:rPr>
                <w:rFonts w:eastAsia="Times New Roman" w:cstheme="minorHAnsi"/>
                <w:color w:val="000000"/>
              </w:rPr>
            </w:pPr>
            <w:r w:rsidRPr="00800469">
              <w:rPr>
                <w:rFonts w:cstheme="minorHAnsi"/>
                <w:color w:val="000000"/>
              </w:rPr>
              <w:t>2.55</w:t>
            </w:r>
          </w:p>
        </w:tc>
        <w:tc>
          <w:tcPr>
            <w:tcW w:w="1242" w:type="dxa"/>
            <w:tcBorders>
              <w:top w:val="nil"/>
              <w:left w:val="nil"/>
              <w:bottom w:val="single" w:sz="4" w:space="0" w:color="auto"/>
              <w:right w:val="single" w:sz="4" w:space="0" w:color="auto"/>
            </w:tcBorders>
            <w:shd w:val="clear" w:color="auto" w:fill="auto"/>
            <w:noWrap/>
            <w:vAlign w:val="bottom"/>
            <w:hideMark/>
          </w:tcPr>
          <w:p w14:paraId="4471C2BC" w14:textId="77777777" w:rsidR="00632932" w:rsidRPr="00800469" w:rsidRDefault="00632932" w:rsidP="006674A3">
            <w:pPr>
              <w:spacing w:after="0"/>
              <w:jc w:val="center"/>
              <w:rPr>
                <w:rFonts w:eastAsia="Times New Roman" w:cstheme="minorHAnsi"/>
                <w:color w:val="000000"/>
              </w:rPr>
            </w:pPr>
            <w:r w:rsidRPr="00800469">
              <w:rPr>
                <w:rFonts w:cstheme="minorHAnsi"/>
                <w:color w:val="000000" w:themeColor="text1"/>
              </w:rPr>
              <w:t>1.09; 4.02</w:t>
            </w:r>
          </w:p>
        </w:tc>
        <w:tc>
          <w:tcPr>
            <w:tcW w:w="1098" w:type="dxa"/>
            <w:tcBorders>
              <w:top w:val="nil"/>
              <w:left w:val="nil"/>
              <w:bottom w:val="single" w:sz="4" w:space="0" w:color="auto"/>
              <w:right w:val="single" w:sz="4" w:space="0" w:color="auto"/>
            </w:tcBorders>
            <w:shd w:val="clear" w:color="auto" w:fill="auto"/>
            <w:noWrap/>
            <w:vAlign w:val="bottom"/>
            <w:hideMark/>
          </w:tcPr>
          <w:p w14:paraId="5B486D07" w14:textId="77777777" w:rsidR="00632932" w:rsidRPr="00800469" w:rsidRDefault="00632932" w:rsidP="006674A3">
            <w:pPr>
              <w:spacing w:after="0"/>
              <w:jc w:val="center"/>
              <w:rPr>
                <w:rFonts w:eastAsia="Times New Roman" w:cstheme="minorHAnsi"/>
                <w:color w:val="000000"/>
              </w:rPr>
            </w:pPr>
            <w:r w:rsidRPr="00800469">
              <w:rPr>
                <w:rFonts w:cstheme="minorHAnsi"/>
                <w:color w:val="000000"/>
              </w:rPr>
              <w:t>1.48</w:t>
            </w:r>
          </w:p>
        </w:tc>
        <w:tc>
          <w:tcPr>
            <w:tcW w:w="1422" w:type="dxa"/>
            <w:tcBorders>
              <w:top w:val="nil"/>
              <w:left w:val="nil"/>
              <w:bottom w:val="single" w:sz="4" w:space="0" w:color="auto"/>
              <w:right w:val="single" w:sz="4" w:space="0" w:color="auto"/>
            </w:tcBorders>
            <w:shd w:val="clear" w:color="auto" w:fill="auto"/>
            <w:noWrap/>
            <w:vAlign w:val="bottom"/>
            <w:hideMark/>
          </w:tcPr>
          <w:p w14:paraId="048B915E" w14:textId="77777777" w:rsidR="00632932" w:rsidRPr="00800469" w:rsidRDefault="00632932" w:rsidP="006674A3">
            <w:pPr>
              <w:spacing w:after="0"/>
              <w:jc w:val="center"/>
              <w:rPr>
                <w:rFonts w:eastAsia="Times New Roman" w:cstheme="minorHAnsi"/>
                <w:color w:val="000000"/>
              </w:rPr>
            </w:pPr>
            <w:r w:rsidRPr="00800469">
              <w:rPr>
                <w:rFonts w:cstheme="minorHAnsi"/>
                <w:color w:val="000000" w:themeColor="text1"/>
              </w:rPr>
              <w:t>-0.07; 2.41</w:t>
            </w:r>
          </w:p>
        </w:tc>
        <w:tc>
          <w:tcPr>
            <w:tcW w:w="720" w:type="dxa"/>
            <w:tcBorders>
              <w:top w:val="nil"/>
              <w:left w:val="nil"/>
              <w:bottom w:val="single" w:sz="4" w:space="0" w:color="auto"/>
              <w:right w:val="single" w:sz="4" w:space="0" w:color="auto"/>
            </w:tcBorders>
            <w:shd w:val="clear" w:color="auto" w:fill="auto"/>
            <w:noWrap/>
            <w:vAlign w:val="bottom"/>
            <w:hideMark/>
          </w:tcPr>
          <w:p w14:paraId="7954853B" w14:textId="77777777" w:rsidR="00632932" w:rsidRPr="00800469" w:rsidRDefault="00632932" w:rsidP="006674A3">
            <w:pPr>
              <w:spacing w:after="0"/>
              <w:jc w:val="center"/>
              <w:rPr>
                <w:rFonts w:eastAsia="Times New Roman" w:cstheme="minorHAnsi"/>
                <w:color w:val="000000"/>
              </w:rPr>
            </w:pPr>
            <w:r w:rsidRPr="00800469">
              <w:rPr>
                <w:rFonts w:eastAsia="Times New Roman" w:cstheme="minorHAnsi"/>
                <w:iCs w:val="0"/>
                <w:color w:val="000000"/>
              </w:rPr>
              <w:t>20</w:t>
            </w:r>
          </w:p>
        </w:tc>
      </w:tr>
      <w:tr w:rsidR="00632932" w:rsidRPr="00800469" w14:paraId="2B0479FC" w14:textId="77777777" w:rsidTr="006674A3">
        <w:trPr>
          <w:trHeight w:val="273"/>
        </w:trPr>
        <w:tc>
          <w:tcPr>
            <w:tcW w:w="3325" w:type="dxa"/>
            <w:tcBorders>
              <w:top w:val="nil"/>
              <w:left w:val="single" w:sz="4" w:space="0" w:color="auto"/>
              <w:bottom w:val="single" w:sz="4" w:space="0" w:color="auto"/>
              <w:right w:val="single" w:sz="4" w:space="0" w:color="auto"/>
            </w:tcBorders>
            <w:shd w:val="clear" w:color="auto" w:fill="auto"/>
            <w:noWrap/>
            <w:vAlign w:val="bottom"/>
            <w:hideMark/>
          </w:tcPr>
          <w:p w14:paraId="15BC7942" w14:textId="77777777" w:rsidR="00632932" w:rsidRPr="00800469" w:rsidRDefault="00632932" w:rsidP="006674A3">
            <w:pPr>
              <w:spacing w:after="0"/>
              <w:rPr>
                <w:rFonts w:ascii="Calibri" w:eastAsia="Times New Roman" w:hAnsi="Calibri" w:cs="Calibri"/>
                <w:iCs w:val="0"/>
                <w:color w:val="000000"/>
              </w:rPr>
            </w:pPr>
            <w:r w:rsidRPr="00800469">
              <w:rPr>
                <w:rFonts w:ascii="Calibri" w:eastAsia="Times New Roman" w:hAnsi="Calibri" w:cs="Calibri"/>
                <w:iCs w:val="0"/>
                <w:color w:val="000000"/>
              </w:rPr>
              <w:t xml:space="preserve">2010 and later (without </w:t>
            </w:r>
            <w:r w:rsidRPr="00800469">
              <w:t xml:space="preserve">Gardasil®9) </w:t>
            </w:r>
          </w:p>
        </w:tc>
        <w:tc>
          <w:tcPr>
            <w:tcW w:w="1098" w:type="dxa"/>
            <w:tcBorders>
              <w:top w:val="nil"/>
              <w:left w:val="nil"/>
              <w:bottom w:val="single" w:sz="4" w:space="0" w:color="auto"/>
              <w:right w:val="single" w:sz="4" w:space="0" w:color="auto"/>
            </w:tcBorders>
            <w:shd w:val="clear" w:color="auto" w:fill="auto"/>
            <w:noWrap/>
            <w:vAlign w:val="bottom"/>
            <w:hideMark/>
          </w:tcPr>
          <w:p w14:paraId="7A848422" w14:textId="77777777" w:rsidR="00632932" w:rsidRPr="00800469" w:rsidRDefault="00632932" w:rsidP="006674A3">
            <w:pPr>
              <w:spacing w:after="0"/>
              <w:jc w:val="center"/>
              <w:rPr>
                <w:rFonts w:eastAsia="Times New Roman" w:cstheme="minorHAnsi"/>
                <w:color w:val="000000"/>
              </w:rPr>
            </w:pPr>
            <w:r w:rsidRPr="00800469">
              <w:rPr>
                <w:rStyle w:val="cf01"/>
                <w:rFonts w:cstheme="minorHAnsi"/>
              </w:rPr>
              <w:t xml:space="preserve">2.39 </w:t>
            </w:r>
          </w:p>
        </w:tc>
        <w:tc>
          <w:tcPr>
            <w:tcW w:w="1242" w:type="dxa"/>
            <w:tcBorders>
              <w:top w:val="nil"/>
              <w:left w:val="nil"/>
              <w:bottom w:val="single" w:sz="4" w:space="0" w:color="auto"/>
              <w:right w:val="single" w:sz="4" w:space="0" w:color="auto"/>
            </w:tcBorders>
            <w:shd w:val="clear" w:color="auto" w:fill="auto"/>
            <w:noWrap/>
            <w:vAlign w:val="bottom"/>
            <w:hideMark/>
          </w:tcPr>
          <w:p w14:paraId="48CDFE2B" w14:textId="77777777" w:rsidR="00632932" w:rsidRPr="00800469" w:rsidRDefault="00632932" w:rsidP="006674A3">
            <w:pPr>
              <w:spacing w:after="0"/>
              <w:jc w:val="center"/>
              <w:rPr>
                <w:rFonts w:eastAsia="Times New Roman" w:cstheme="minorHAnsi"/>
                <w:color w:val="000000"/>
              </w:rPr>
            </w:pPr>
            <w:r w:rsidRPr="00800469">
              <w:rPr>
                <w:rStyle w:val="cf01"/>
                <w:rFonts w:cstheme="minorHAnsi"/>
              </w:rPr>
              <w:t>1.05; 3.98</w:t>
            </w:r>
          </w:p>
        </w:tc>
        <w:tc>
          <w:tcPr>
            <w:tcW w:w="1098" w:type="dxa"/>
            <w:tcBorders>
              <w:top w:val="nil"/>
              <w:left w:val="nil"/>
              <w:bottom w:val="single" w:sz="4" w:space="0" w:color="auto"/>
              <w:right w:val="single" w:sz="4" w:space="0" w:color="auto"/>
            </w:tcBorders>
            <w:shd w:val="clear" w:color="auto" w:fill="auto"/>
            <w:noWrap/>
            <w:vAlign w:val="bottom"/>
            <w:hideMark/>
          </w:tcPr>
          <w:p w14:paraId="219C8E2A" w14:textId="77777777" w:rsidR="00632932" w:rsidRPr="00800469" w:rsidRDefault="00632932" w:rsidP="006674A3">
            <w:pPr>
              <w:spacing w:after="0"/>
              <w:jc w:val="center"/>
              <w:rPr>
                <w:rFonts w:eastAsia="Times New Roman" w:cstheme="minorHAnsi"/>
                <w:color w:val="000000"/>
              </w:rPr>
            </w:pPr>
            <w:r w:rsidRPr="00800469">
              <w:rPr>
                <w:rStyle w:val="cf01"/>
                <w:rFonts w:cstheme="minorHAnsi"/>
              </w:rPr>
              <w:t xml:space="preserve">1.28 </w:t>
            </w:r>
          </w:p>
        </w:tc>
        <w:tc>
          <w:tcPr>
            <w:tcW w:w="1422" w:type="dxa"/>
            <w:tcBorders>
              <w:top w:val="nil"/>
              <w:left w:val="nil"/>
              <w:bottom w:val="single" w:sz="4" w:space="0" w:color="auto"/>
              <w:right w:val="single" w:sz="4" w:space="0" w:color="auto"/>
            </w:tcBorders>
            <w:shd w:val="clear" w:color="auto" w:fill="auto"/>
            <w:noWrap/>
            <w:vAlign w:val="bottom"/>
            <w:hideMark/>
          </w:tcPr>
          <w:p w14:paraId="0E06B33C" w14:textId="77777777" w:rsidR="00632932" w:rsidRPr="00800469" w:rsidRDefault="00632932" w:rsidP="006674A3">
            <w:pPr>
              <w:spacing w:after="0"/>
              <w:jc w:val="center"/>
              <w:rPr>
                <w:rFonts w:eastAsia="Times New Roman" w:cstheme="minorHAnsi"/>
                <w:color w:val="000000"/>
              </w:rPr>
            </w:pPr>
            <w:r w:rsidRPr="00800469">
              <w:rPr>
                <w:rStyle w:val="cf01"/>
                <w:rFonts w:cstheme="minorHAnsi"/>
              </w:rPr>
              <w:t>-0.32; 1.80</w:t>
            </w:r>
          </w:p>
        </w:tc>
        <w:tc>
          <w:tcPr>
            <w:tcW w:w="720" w:type="dxa"/>
            <w:tcBorders>
              <w:top w:val="nil"/>
              <w:left w:val="nil"/>
              <w:bottom w:val="single" w:sz="4" w:space="0" w:color="auto"/>
              <w:right w:val="single" w:sz="4" w:space="0" w:color="auto"/>
            </w:tcBorders>
            <w:shd w:val="clear" w:color="auto" w:fill="auto"/>
            <w:noWrap/>
            <w:vAlign w:val="bottom"/>
            <w:hideMark/>
          </w:tcPr>
          <w:p w14:paraId="3216AD56" w14:textId="77777777" w:rsidR="00632932" w:rsidRPr="00800469" w:rsidRDefault="00632932" w:rsidP="006674A3">
            <w:pPr>
              <w:spacing w:after="0"/>
              <w:jc w:val="center"/>
              <w:rPr>
                <w:rFonts w:eastAsia="Times New Roman" w:cstheme="minorHAnsi"/>
                <w:color w:val="000000"/>
              </w:rPr>
            </w:pPr>
            <w:r w:rsidRPr="00800469">
              <w:rPr>
                <w:rFonts w:eastAsia="Times New Roman" w:cstheme="minorHAnsi"/>
                <w:color w:val="000000"/>
              </w:rPr>
              <w:t>19</w:t>
            </w:r>
          </w:p>
        </w:tc>
      </w:tr>
    </w:tbl>
    <w:p w14:paraId="65C885CC" w14:textId="77777777" w:rsidR="00632932" w:rsidRDefault="00632932" w:rsidP="00632932">
      <w:pPr>
        <w:spacing w:line="480" w:lineRule="auto"/>
      </w:pPr>
    </w:p>
    <w:p w14:paraId="58C1C75D" w14:textId="77777777" w:rsidR="00632932" w:rsidRPr="0046656F" w:rsidRDefault="00632932" w:rsidP="00632932">
      <w:pPr>
        <w:keepLines/>
        <w:spacing w:line="480" w:lineRule="auto"/>
      </w:pPr>
    </w:p>
    <w:p w14:paraId="1F157A64" w14:textId="77777777" w:rsidR="000533E3" w:rsidRDefault="000533E3"/>
    <w:sectPr w:rsidR="000533E3" w:rsidSect="002E79F7">
      <w:pgSz w:w="12240" w:h="15840"/>
      <w:pgMar w:top="1440" w:right="1440" w:bottom="144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932"/>
    <w:rsid w:val="000533E3"/>
    <w:rsid w:val="0006054F"/>
    <w:rsid w:val="00632932"/>
    <w:rsid w:val="00BF33C6"/>
    <w:rsid w:val="00D446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F6ACA"/>
  <w15:chartTrackingRefBased/>
  <w15:docId w15:val="{E8299A8C-ED6A-47AB-889F-AC478D807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2932"/>
    <w:pPr>
      <w:spacing w:after="120" w:line="240" w:lineRule="auto"/>
    </w:pPr>
    <w:rPr>
      <w:iCs/>
      <w:kern w:val="0"/>
      <w14:ligatures w14:val="none"/>
    </w:rPr>
  </w:style>
  <w:style w:type="paragraph" w:styleId="Heading1">
    <w:name w:val="heading 1"/>
    <w:basedOn w:val="Normal"/>
    <w:next w:val="Normal"/>
    <w:link w:val="Heading1Char"/>
    <w:uiPriority w:val="9"/>
    <w:qFormat/>
    <w:rsid w:val="00632932"/>
    <w:pPr>
      <w:keepNext/>
      <w:keepLines/>
      <w:spacing w:before="240" w:after="0"/>
      <w:outlineLvl w:val="0"/>
    </w:pPr>
    <w:rPr>
      <w:rFonts w:eastAsiaTheme="majorEastAsia" w:cstheme="majorBidi"/>
      <w:b/>
      <w:bCs/>
      <w:sz w:val="24"/>
      <w:szCs w:val="24"/>
    </w:rPr>
  </w:style>
  <w:style w:type="paragraph" w:styleId="Heading2">
    <w:name w:val="heading 2"/>
    <w:basedOn w:val="Normal"/>
    <w:next w:val="Normal"/>
    <w:link w:val="Heading2Char"/>
    <w:uiPriority w:val="9"/>
    <w:unhideWhenUsed/>
    <w:qFormat/>
    <w:rsid w:val="00632932"/>
    <w:pPr>
      <w:keepNext/>
      <w:keepLines/>
      <w:spacing w:before="240" w:after="0"/>
      <w:outlineLvl w:val="1"/>
    </w:pPr>
    <w:rPr>
      <w:rFonts w:eastAsiaTheme="majorEastAsia" w:cstheme="majorBidi"/>
      <w:i/>
      <w:iCs w:val="0"/>
      <w:sz w:val="24"/>
      <w:szCs w:val="24"/>
    </w:rPr>
  </w:style>
  <w:style w:type="paragraph" w:styleId="Heading4">
    <w:name w:val="heading 4"/>
    <w:basedOn w:val="Normal"/>
    <w:next w:val="Normal"/>
    <w:link w:val="Heading4Char"/>
    <w:uiPriority w:val="9"/>
    <w:semiHidden/>
    <w:unhideWhenUsed/>
    <w:qFormat/>
    <w:rsid w:val="00632932"/>
    <w:pPr>
      <w:keepNext/>
      <w:keepLines/>
      <w:spacing w:before="40" w:after="0"/>
      <w:outlineLvl w:val="3"/>
    </w:pPr>
    <w:rPr>
      <w:rFonts w:asciiTheme="majorHAnsi" w:eastAsiaTheme="majorEastAsia" w:hAnsiTheme="majorHAnsi" w:cstheme="majorBidi"/>
      <w:i/>
      <w:iCs w:val="0"/>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2932"/>
    <w:rPr>
      <w:rFonts w:eastAsiaTheme="majorEastAsia" w:cstheme="majorBidi"/>
      <w:b/>
      <w:bCs/>
      <w:iCs/>
      <w:kern w:val="0"/>
      <w:sz w:val="24"/>
      <w:szCs w:val="24"/>
      <w14:ligatures w14:val="none"/>
    </w:rPr>
  </w:style>
  <w:style w:type="character" w:customStyle="1" w:styleId="Heading2Char">
    <w:name w:val="Heading 2 Char"/>
    <w:basedOn w:val="DefaultParagraphFont"/>
    <w:link w:val="Heading2"/>
    <w:uiPriority w:val="9"/>
    <w:rsid w:val="00632932"/>
    <w:rPr>
      <w:rFonts w:eastAsiaTheme="majorEastAsia" w:cstheme="majorBidi"/>
      <w:i/>
      <w:kern w:val="0"/>
      <w:sz w:val="24"/>
      <w:szCs w:val="24"/>
      <w14:ligatures w14:val="none"/>
    </w:rPr>
  </w:style>
  <w:style w:type="paragraph" w:customStyle="1" w:styleId="FigTabTitle">
    <w:name w:val="Fig/Tab Title"/>
    <w:basedOn w:val="Heading4"/>
    <w:link w:val="FigTabTitleChar"/>
    <w:qFormat/>
    <w:rsid w:val="00632932"/>
    <w:rPr>
      <w:rFonts w:asciiTheme="minorHAnsi" w:hAnsiTheme="minorHAnsi"/>
      <w:b/>
      <w:bCs/>
      <w:i w:val="0"/>
      <w:iCs/>
      <w:color w:val="auto"/>
      <w:sz w:val="24"/>
      <w:szCs w:val="24"/>
    </w:rPr>
  </w:style>
  <w:style w:type="character" w:customStyle="1" w:styleId="FigTabTitleChar">
    <w:name w:val="Fig/Tab Title Char"/>
    <w:basedOn w:val="Heading2Char"/>
    <w:link w:val="FigTabTitle"/>
    <w:rsid w:val="00632932"/>
    <w:rPr>
      <w:rFonts w:eastAsiaTheme="majorEastAsia" w:cstheme="majorBidi"/>
      <w:b/>
      <w:bCs/>
      <w:i w:val="0"/>
      <w:iCs/>
      <w:kern w:val="0"/>
      <w:sz w:val="24"/>
      <w:szCs w:val="24"/>
      <w14:ligatures w14:val="none"/>
    </w:rPr>
  </w:style>
  <w:style w:type="table" w:styleId="TableGrid">
    <w:name w:val="Table Grid"/>
    <w:basedOn w:val="TableNormal"/>
    <w:uiPriority w:val="39"/>
    <w:rsid w:val="0063293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632932"/>
    <w:rPr>
      <w:rFonts w:ascii="Segoe UI" w:hAnsi="Segoe UI" w:cs="Segoe UI" w:hint="default"/>
      <w:sz w:val="18"/>
      <w:szCs w:val="18"/>
    </w:rPr>
  </w:style>
  <w:style w:type="character" w:customStyle="1" w:styleId="Heading4Char">
    <w:name w:val="Heading 4 Char"/>
    <w:basedOn w:val="DefaultParagraphFont"/>
    <w:link w:val="Heading4"/>
    <w:uiPriority w:val="9"/>
    <w:semiHidden/>
    <w:rsid w:val="00632932"/>
    <w:rPr>
      <w:rFonts w:asciiTheme="majorHAnsi" w:eastAsiaTheme="majorEastAsia" w:hAnsiTheme="majorHAnsi" w:cstheme="majorBidi"/>
      <w:i/>
      <w:color w:val="2F5496" w:themeColor="accent1" w:themeShade="BF"/>
      <w:kern w:val="0"/>
      <w14:ligatures w14:val="none"/>
    </w:rPr>
  </w:style>
  <w:style w:type="character" w:styleId="LineNumber">
    <w:name w:val="line number"/>
    <w:basedOn w:val="DefaultParagraphFont"/>
    <w:uiPriority w:val="99"/>
    <w:semiHidden/>
    <w:unhideWhenUsed/>
    <w:rsid w:val="006329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tiff"/><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4C424EFF3349241B78BD9197A9E98DD" ma:contentTypeVersion="14" ma:contentTypeDescription="Create a new document." ma:contentTypeScope="" ma:versionID="84803c83b536e8771ac3bbd1dfb0739a">
  <xsd:schema xmlns:xsd="http://www.w3.org/2001/XMLSchema" xmlns:xs="http://www.w3.org/2001/XMLSchema" xmlns:p="http://schemas.microsoft.com/office/2006/metadata/properties" xmlns:ns2="e8b8e949-30ca-4a27-8b24-88a3f930260f" xmlns:ns3="b6e2d352-9487-4f4c-aa7d-8bca44aca0be" targetNamespace="http://schemas.microsoft.com/office/2006/metadata/properties" ma:root="true" ma:fieldsID="d0c8e46f2a3fb71a826c35bc4acec1ee" ns2:_="" ns3:_="">
    <xsd:import namespace="e8b8e949-30ca-4a27-8b24-88a3f930260f"/>
    <xsd:import namespace="b6e2d352-9487-4f4c-aa7d-8bca44aca0b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b8e949-30ca-4a27-8b24-88a3f93026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9353dbe8-8260-4ccf-8219-3d2995e6fa1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e2d352-9487-4f4c-aa7d-8bca44aca0b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7a45265-03d4-4d85-9b38-00ab3a16ec1d}" ma:internalName="TaxCatchAll" ma:showField="CatchAllData" ma:web="b6e2d352-9487-4f4c-aa7d-8bca44aca0be">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8b8e949-30ca-4a27-8b24-88a3f930260f">
      <Terms xmlns="http://schemas.microsoft.com/office/infopath/2007/PartnerControls"/>
    </lcf76f155ced4ddcb4097134ff3c332f>
    <TaxCatchAll xmlns="b6e2d352-9487-4f4c-aa7d-8bca44aca0be" xsi:nil="true"/>
  </documentManagement>
</p:properties>
</file>

<file path=customXml/itemProps1.xml><?xml version="1.0" encoding="utf-8"?>
<ds:datastoreItem xmlns:ds="http://schemas.openxmlformats.org/officeDocument/2006/customXml" ds:itemID="{04FC3AF2-85CA-424A-84DF-4A6C55D79D7F}"/>
</file>

<file path=customXml/itemProps2.xml><?xml version="1.0" encoding="utf-8"?>
<ds:datastoreItem xmlns:ds="http://schemas.openxmlformats.org/officeDocument/2006/customXml" ds:itemID="{562153A5-9350-475A-8BDC-D2D865410783}"/>
</file>

<file path=customXml/itemProps3.xml><?xml version="1.0" encoding="utf-8"?>
<ds:datastoreItem xmlns:ds="http://schemas.openxmlformats.org/officeDocument/2006/customXml" ds:itemID="{710E5B06-A183-45BA-BD20-0305E6CFEB8C}"/>
</file>

<file path=docProps/app.xml><?xml version="1.0" encoding="utf-8"?>
<Properties xmlns="http://schemas.openxmlformats.org/officeDocument/2006/extended-properties" xmlns:vt="http://schemas.openxmlformats.org/officeDocument/2006/docPropsVTypes">
  <Template>Normal</Template>
  <TotalTime>1</TotalTime>
  <Pages>4</Pages>
  <Words>617</Words>
  <Characters>3519</Characters>
  <Application>Microsoft Office Word</Application>
  <DocSecurity>0</DocSecurity>
  <Lines>29</Lines>
  <Paragraphs>8</Paragraphs>
  <ScaleCrop>false</ScaleCrop>
  <Company/>
  <LinksUpToDate>false</LinksUpToDate>
  <CharactersWithSpaces>4128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Kaul, Rajreni (Reni) (CDC/NCIRD/ISD)</dc:creator>
  <cp:keywords/>
  <dc:description/>
  <cp:lastModifiedBy>Kaul, Rajreni (Reni) (CDC/NCIRD/ISD)</cp:lastModifiedBy>
  <cp:revision>1</cp:revision>
  <dcterms:created xsi:type="dcterms:W3CDTF">2024-06-26T20:10:00Z</dcterms:created>
  <dcterms:modified xsi:type="dcterms:W3CDTF">2024-06-26T20:11:00Z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2024-06-26T20:11:04Z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f6940221-c726-4e19-b9cc-230e16cd83a0</vt:lpwstr>
  </property>
  <property fmtid="{D5CDD505-2E9C-101B-9397-08002B2CF9AE}" pid="8" name="MSIP_Label_7b94a7b8-f06c-4dfe-bdcc-9b548fd58c31_ContentBits">
    <vt:lpwstr>0</vt:lpwstr>
  </property>
  <property fmtid="{D5CDD505-2E9C-101B-9397-08002B2CF9AE}" pid="9" name="ContentTypeId">
    <vt:lpwstr>0x01010094C424EFF3349241B78BD9197A9E98DD</vt:lpwstr>
  </property>
</Properties>
</file>