
<file path=[Content_Types].xml><?xml version="1.0" encoding="utf-8"?>
<Types xmlns="http://schemas.openxmlformats.org/package/2006/content-types">
  <Default Extension="rels" ContentType="application/vnd.openxmlformats-package.relationships+xml"/>
  <Default Extension="tif" ContentType="image/tiff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theme/themeOverride1.xml" ContentType="application/vnd.openxmlformats-officedocument.themeOverrid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6833A8B" w14:textId="77777777" w:rsidR="004B11CD" w:rsidRDefault="004B11CD" w:rsidP="004B11CD">
      <w:pPr>
        <w:spacing w:line="240" w:lineRule="auto"/>
        <w:rPr>
          <w:rFonts w:ascii="Aptos" w:hAnsi="Aptos" w:cstheme="minorHAnsi"/>
        </w:rPr>
      </w:pPr>
      <w:r>
        <w:rPr>
          <w:rFonts w:ascii="Aptos" w:hAnsi="Aptos" w:cstheme="minorHAnsi"/>
          <w:b/>
          <w:bCs/>
        </w:rPr>
        <w:t xml:space="preserve">Supplemental Table 1. </w:t>
      </w:r>
      <w:r>
        <w:rPr>
          <w:rFonts w:ascii="Aptos" w:hAnsi="Aptos" w:cstheme="minorHAnsi"/>
        </w:rPr>
        <w:t xml:space="preserve">Enrollment dates included by </w:t>
      </w:r>
      <w:proofErr w:type="gramStart"/>
      <w:r>
        <w:rPr>
          <w:rFonts w:ascii="Aptos" w:hAnsi="Aptos" w:cstheme="minorHAnsi"/>
        </w:rPr>
        <w:t>site</w:t>
      </w:r>
      <w:proofErr w:type="gramEnd"/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635"/>
        <w:gridCol w:w="4445"/>
        <w:gridCol w:w="3479"/>
        <w:gridCol w:w="3480"/>
      </w:tblGrid>
      <w:tr w:rsidR="004B11CD" w14:paraId="7488326F" w14:textId="77777777" w:rsidTr="001C316F">
        <w:trPr>
          <w:trHeight w:val="531"/>
        </w:trPr>
        <w:tc>
          <w:tcPr>
            <w:tcW w:w="1635" w:type="dxa"/>
          </w:tcPr>
          <w:p w14:paraId="2369F05E" w14:textId="77777777" w:rsidR="004B11CD" w:rsidRPr="00AF184C" w:rsidRDefault="004B11CD" w:rsidP="001C316F">
            <w:pPr>
              <w:rPr>
                <w:rFonts w:ascii="Aptos" w:hAnsi="Aptos" w:cstheme="minorHAnsi"/>
                <w:b/>
                <w:bCs/>
              </w:rPr>
            </w:pPr>
            <w:r w:rsidRPr="00AF184C">
              <w:rPr>
                <w:rFonts w:ascii="Aptos" w:hAnsi="Aptos" w:cstheme="minorHAnsi"/>
                <w:b/>
                <w:bCs/>
              </w:rPr>
              <w:t>S</w:t>
            </w:r>
            <w:r>
              <w:rPr>
                <w:rFonts w:ascii="Aptos" w:hAnsi="Aptos" w:cstheme="minorHAnsi"/>
                <w:b/>
                <w:bCs/>
              </w:rPr>
              <w:t>tate</w:t>
            </w:r>
          </w:p>
        </w:tc>
        <w:tc>
          <w:tcPr>
            <w:tcW w:w="4445" w:type="dxa"/>
          </w:tcPr>
          <w:p w14:paraId="32370204" w14:textId="77777777" w:rsidR="004B11CD" w:rsidRPr="00AF184C" w:rsidRDefault="004B11CD" w:rsidP="001C316F">
            <w:pPr>
              <w:rPr>
                <w:rFonts w:ascii="Aptos" w:hAnsi="Aptos" w:cstheme="minorHAnsi"/>
                <w:b/>
                <w:bCs/>
              </w:rPr>
            </w:pPr>
            <w:r>
              <w:rPr>
                <w:rFonts w:ascii="Aptos" w:hAnsi="Aptos" w:cstheme="minorHAnsi"/>
                <w:b/>
                <w:bCs/>
              </w:rPr>
              <w:t>Enrollment Institutions</w:t>
            </w:r>
          </w:p>
        </w:tc>
        <w:tc>
          <w:tcPr>
            <w:tcW w:w="3479" w:type="dxa"/>
          </w:tcPr>
          <w:p w14:paraId="03553251" w14:textId="77777777" w:rsidR="004B11CD" w:rsidRPr="00AF184C" w:rsidRDefault="004B11CD" w:rsidP="001C316F">
            <w:pPr>
              <w:rPr>
                <w:rFonts w:ascii="Aptos" w:hAnsi="Aptos" w:cstheme="minorHAnsi"/>
                <w:b/>
                <w:bCs/>
              </w:rPr>
            </w:pPr>
            <w:r w:rsidRPr="00AF184C">
              <w:rPr>
                <w:rFonts w:ascii="Aptos" w:hAnsi="Aptos" w:cstheme="minorHAnsi"/>
                <w:b/>
                <w:bCs/>
              </w:rPr>
              <w:t>Enrollment start date</w:t>
            </w:r>
          </w:p>
        </w:tc>
        <w:tc>
          <w:tcPr>
            <w:tcW w:w="3480" w:type="dxa"/>
          </w:tcPr>
          <w:p w14:paraId="7677FF40" w14:textId="77777777" w:rsidR="004B11CD" w:rsidRPr="00AF184C" w:rsidRDefault="004B11CD" w:rsidP="001C316F">
            <w:pPr>
              <w:rPr>
                <w:rFonts w:ascii="Aptos" w:hAnsi="Aptos" w:cstheme="minorHAnsi"/>
                <w:b/>
                <w:bCs/>
              </w:rPr>
            </w:pPr>
            <w:r w:rsidRPr="00AF184C">
              <w:rPr>
                <w:rFonts w:ascii="Aptos" w:hAnsi="Aptos" w:cstheme="minorHAnsi"/>
                <w:b/>
                <w:bCs/>
              </w:rPr>
              <w:t>Enrollment end date</w:t>
            </w:r>
          </w:p>
        </w:tc>
      </w:tr>
      <w:tr w:rsidR="004B11CD" w14:paraId="2D3D5A85" w14:textId="77777777" w:rsidTr="001C316F">
        <w:trPr>
          <w:trHeight w:val="531"/>
        </w:trPr>
        <w:tc>
          <w:tcPr>
            <w:tcW w:w="1635" w:type="dxa"/>
          </w:tcPr>
          <w:p w14:paraId="2803CABB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Arizona</w:t>
            </w:r>
          </w:p>
        </w:tc>
        <w:tc>
          <w:tcPr>
            <w:tcW w:w="4445" w:type="dxa"/>
          </w:tcPr>
          <w:p w14:paraId="34852BE5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Arizona State University, </w:t>
            </w:r>
          </w:p>
          <w:p w14:paraId="73F1C05D" w14:textId="77777777" w:rsidR="004B11CD" w:rsidRDefault="004B11CD" w:rsidP="001C316F">
            <w:pPr>
              <w:rPr>
                <w:rFonts w:ascii="Aptos" w:hAnsi="Aptos" w:cstheme="minorHAnsi"/>
              </w:rPr>
            </w:pPr>
            <w:proofErr w:type="spellStart"/>
            <w:r>
              <w:rPr>
                <w:rFonts w:ascii="Aptos" w:hAnsi="Aptos" w:cstheme="minorHAnsi"/>
              </w:rPr>
              <w:t>Valleywise</w:t>
            </w:r>
            <w:proofErr w:type="spellEnd"/>
            <w:r>
              <w:rPr>
                <w:rFonts w:ascii="Aptos" w:hAnsi="Aptos" w:cstheme="minorHAnsi"/>
              </w:rPr>
              <w:t xml:space="preserve"> Health,</w:t>
            </w:r>
          </w:p>
          <w:p w14:paraId="1C6D9743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Phoenix Children’s Hospital</w:t>
            </w:r>
          </w:p>
        </w:tc>
        <w:tc>
          <w:tcPr>
            <w:tcW w:w="3479" w:type="dxa"/>
          </w:tcPr>
          <w:p w14:paraId="3350B956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October 23, 2023</w:t>
            </w:r>
          </w:p>
        </w:tc>
        <w:tc>
          <w:tcPr>
            <w:tcW w:w="3480" w:type="dxa"/>
          </w:tcPr>
          <w:p w14:paraId="3AE2E379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30, 2024</w:t>
            </w:r>
          </w:p>
        </w:tc>
      </w:tr>
      <w:tr w:rsidR="004B11CD" w14:paraId="71D1CC1F" w14:textId="77777777" w:rsidTr="001C316F">
        <w:trPr>
          <w:trHeight w:val="531"/>
        </w:trPr>
        <w:tc>
          <w:tcPr>
            <w:tcW w:w="1635" w:type="dxa"/>
          </w:tcPr>
          <w:p w14:paraId="25C677AF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Michigan </w:t>
            </w:r>
          </w:p>
        </w:tc>
        <w:tc>
          <w:tcPr>
            <w:tcW w:w="4445" w:type="dxa"/>
          </w:tcPr>
          <w:p w14:paraId="49EA4678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University of Michigan,</w:t>
            </w:r>
          </w:p>
          <w:p w14:paraId="3B9E57E4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Henry Ford Health</w:t>
            </w:r>
          </w:p>
        </w:tc>
        <w:tc>
          <w:tcPr>
            <w:tcW w:w="3479" w:type="dxa"/>
          </w:tcPr>
          <w:p w14:paraId="449E87B1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December 1, 2023</w:t>
            </w:r>
          </w:p>
        </w:tc>
        <w:tc>
          <w:tcPr>
            <w:tcW w:w="3480" w:type="dxa"/>
          </w:tcPr>
          <w:p w14:paraId="10C85E2E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25, 2024</w:t>
            </w:r>
          </w:p>
        </w:tc>
      </w:tr>
      <w:tr w:rsidR="004B11CD" w14:paraId="334BAFF6" w14:textId="77777777" w:rsidTr="001C316F">
        <w:trPr>
          <w:trHeight w:val="519"/>
        </w:trPr>
        <w:tc>
          <w:tcPr>
            <w:tcW w:w="1635" w:type="dxa"/>
          </w:tcPr>
          <w:p w14:paraId="1890B10F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Missouri </w:t>
            </w:r>
          </w:p>
        </w:tc>
        <w:tc>
          <w:tcPr>
            <w:tcW w:w="4445" w:type="dxa"/>
          </w:tcPr>
          <w:p w14:paraId="01E5403B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Barnes Jewish Memorial Hospital,</w:t>
            </w:r>
          </w:p>
          <w:p w14:paraId="52DDB840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St. Louis Children’s Hospital</w:t>
            </w:r>
          </w:p>
        </w:tc>
        <w:tc>
          <w:tcPr>
            <w:tcW w:w="3479" w:type="dxa"/>
          </w:tcPr>
          <w:p w14:paraId="1EF25E86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October 10, 2023</w:t>
            </w:r>
          </w:p>
        </w:tc>
        <w:tc>
          <w:tcPr>
            <w:tcW w:w="3480" w:type="dxa"/>
          </w:tcPr>
          <w:p w14:paraId="5320FB0B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30, 2024</w:t>
            </w:r>
          </w:p>
        </w:tc>
      </w:tr>
      <w:tr w:rsidR="004B11CD" w14:paraId="0104B0D0" w14:textId="77777777" w:rsidTr="001C316F">
        <w:trPr>
          <w:trHeight w:val="531"/>
        </w:trPr>
        <w:tc>
          <w:tcPr>
            <w:tcW w:w="1635" w:type="dxa"/>
          </w:tcPr>
          <w:p w14:paraId="79AA3779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Ohio </w:t>
            </w:r>
          </w:p>
        </w:tc>
        <w:tc>
          <w:tcPr>
            <w:tcW w:w="4445" w:type="dxa"/>
          </w:tcPr>
          <w:p w14:paraId="121F0543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University Hospitals at Cleveland,</w:t>
            </w:r>
          </w:p>
          <w:p w14:paraId="4B1988D2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Cleveland Veterans’ Health Administration</w:t>
            </w:r>
          </w:p>
        </w:tc>
        <w:tc>
          <w:tcPr>
            <w:tcW w:w="3479" w:type="dxa"/>
          </w:tcPr>
          <w:p w14:paraId="2DA2C3F2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November 27, 2023</w:t>
            </w:r>
          </w:p>
        </w:tc>
        <w:tc>
          <w:tcPr>
            <w:tcW w:w="3480" w:type="dxa"/>
          </w:tcPr>
          <w:p w14:paraId="5843E4B8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11, 2024</w:t>
            </w:r>
          </w:p>
          <w:p w14:paraId="3FAA3D76" w14:textId="77777777" w:rsidR="004B11CD" w:rsidRDefault="004B11CD" w:rsidP="001C316F">
            <w:pPr>
              <w:rPr>
                <w:rFonts w:ascii="Aptos" w:hAnsi="Aptos" w:cstheme="minorHAnsi"/>
              </w:rPr>
            </w:pPr>
          </w:p>
        </w:tc>
      </w:tr>
      <w:tr w:rsidR="004B11CD" w14:paraId="19FEF821" w14:textId="77777777" w:rsidTr="001C316F">
        <w:trPr>
          <w:trHeight w:val="531"/>
        </w:trPr>
        <w:tc>
          <w:tcPr>
            <w:tcW w:w="1635" w:type="dxa"/>
          </w:tcPr>
          <w:p w14:paraId="2BFFBFFB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Pennsylvania </w:t>
            </w:r>
          </w:p>
        </w:tc>
        <w:tc>
          <w:tcPr>
            <w:tcW w:w="4445" w:type="dxa"/>
          </w:tcPr>
          <w:p w14:paraId="0D74BE4E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University of Pittsburgh Medical Center,</w:t>
            </w:r>
          </w:p>
          <w:p w14:paraId="52B56534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Children’s Hospital of Pittsburgh</w:t>
            </w:r>
          </w:p>
        </w:tc>
        <w:tc>
          <w:tcPr>
            <w:tcW w:w="3479" w:type="dxa"/>
          </w:tcPr>
          <w:p w14:paraId="13F85A31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November 8, 2023</w:t>
            </w:r>
          </w:p>
        </w:tc>
        <w:tc>
          <w:tcPr>
            <w:tcW w:w="3480" w:type="dxa"/>
          </w:tcPr>
          <w:p w14:paraId="39A8C0F3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25, 2024</w:t>
            </w:r>
          </w:p>
        </w:tc>
      </w:tr>
      <w:tr w:rsidR="004B11CD" w14:paraId="5FF2FBBF" w14:textId="77777777" w:rsidTr="001C316F">
        <w:trPr>
          <w:trHeight w:val="519"/>
        </w:trPr>
        <w:tc>
          <w:tcPr>
            <w:tcW w:w="1635" w:type="dxa"/>
          </w:tcPr>
          <w:p w14:paraId="6581D943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Texas </w:t>
            </w:r>
          </w:p>
        </w:tc>
        <w:tc>
          <w:tcPr>
            <w:tcW w:w="4445" w:type="dxa"/>
          </w:tcPr>
          <w:p w14:paraId="4178BFEC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Baylor Scott &amp; White Health</w:t>
            </w:r>
          </w:p>
        </w:tc>
        <w:tc>
          <w:tcPr>
            <w:tcW w:w="3479" w:type="dxa"/>
          </w:tcPr>
          <w:p w14:paraId="50679FBE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October 3, 2023</w:t>
            </w:r>
          </w:p>
        </w:tc>
        <w:tc>
          <w:tcPr>
            <w:tcW w:w="3480" w:type="dxa"/>
          </w:tcPr>
          <w:p w14:paraId="32682227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30, 2024</w:t>
            </w:r>
          </w:p>
        </w:tc>
      </w:tr>
      <w:tr w:rsidR="004B11CD" w14:paraId="7ADCD428" w14:textId="77777777" w:rsidTr="001C316F">
        <w:trPr>
          <w:trHeight w:val="512"/>
        </w:trPr>
        <w:tc>
          <w:tcPr>
            <w:tcW w:w="1635" w:type="dxa"/>
          </w:tcPr>
          <w:p w14:paraId="07B0B677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 xml:space="preserve">Washington </w:t>
            </w:r>
          </w:p>
        </w:tc>
        <w:tc>
          <w:tcPr>
            <w:tcW w:w="4445" w:type="dxa"/>
          </w:tcPr>
          <w:p w14:paraId="2154B22C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Kaiser Permanente Washington</w:t>
            </w:r>
          </w:p>
        </w:tc>
        <w:tc>
          <w:tcPr>
            <w:tcW w:w="3479" w:type="dxa"/>
          </w:tcPr>
          <w:p w14:paraId="49440BA3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October 11, 2023</w:t>
            </w:r>
          </w:p>
        </w:tc>
        <w:tc>
          <w:tcPr>
            <w:tcW w:w="3480" w:type="dxa"/>
          </w:tcPr>
          <w:p w14:paraId="527F5B42" w14:textId="77777777" w:rsidR="004B11CD" w:rsidRDefault="004B11CD" w:rsidP="001C316F">
            <w:pPr>
              <w:rPr>
                <w:rFonts w:ascii="Aptos" w:hAnsi="Aptos" w:cstheme="minorHAnsi"/>
              </w:rPr>
            </w:pPr>
            <w:r>
              <w:rPr>
                <w:rFonts w:ascii="Aptos" w:hAnsi="Aptos" w:cstheme="minorHAnsi"/>
              </w:rPr>
              <w:t>April 29, 2024</w:t>
            </w:r>
          </w:p>
        </w:tc>
      </w:tr>
    </w:tbl>
    <w:p w14:paraId="04C3F2ED" w14:textId="77777777" w:rsidR="004B11CD" w:rsidRDefault="004B11CD" w:rsidP="004B11CD">
      <w:pPr>
        <w:spacing w:line="480" w:lineRule="auto"/>
        <w:rPr>
          <w:rFonts w:ascii="Aptos" w:hAnsi="Aptos" w:cstheme="minorHAnsi"/>
        </w:rPr>
      </w:pPr>
      <w:r>
        <w:rPr>
          <w:rFonts w:ascii="Aptos" w:hAnsi="Aptos" w:cstheme="minorHAnsi"/>
        </w:rPr>
        <w:br w:type="page"/>
      </w:r>
    </w:p>
    <w:p w14:paraId="6C4B3341" w14:textId="2853563A" w:rsidR="004B11CD" w:rsidRDefault="004B11CD" w:rsidP="004B11CD">
      <w:pPr>
        <w:spacing w:line="480" w:lineRule="auto"/>
      </w:pPr>
      <w:r>
        <w:rPr>
          <w:rFonts w:ascii="Aptos" w:hAnsi="Aptos" w:cstheme="minorHAnsi"/>
          <w:b/>
          <w:bCs/>
        </w:rPr>
        <w:lastRenderedPageBreak/>
        <w:t>Supplemental Figure 1.</w:t>
      </w:r>
      <w:r>
        <w:rPr>
          <w:rFonts w:ascii="Aptos" w:hAnsi="Aptos" w:cstheme="minorHAnsi"/>
        </w:rPr>
        <w:t xml:space="preserve"> Exclusion criteria figure</w:t>
      </w:r>
    </w:p>
    <w:p w14:paraId="1BFA378E" w14:textId="788179F2" w:rsidR="004B11CD" w:rsidRDefault="0051031C" w:rsidP="004B11CD">
      <w:pPr>
        <w:spacing w:line="480" w:lineRule="auto"/>
        <w:rPr>
          <w:rFonts w:ascii="Aptos" w:hAnsi="Aptos" w:cstheme="minorHAnsi"/>
        </w:rPr>
      </w:pPr>
      <w:r>
        <w:rPr>
          <w:rFonts w:ascii="Aptos" w:hAnsi="Aptos" w:cstheme="minorHAnsi"/>
          <w:noProof/>
        </w:rPr>
        <w:drawing>
          <wp:inline distT="0" distB="0" distL="0" distR="0" wp14:anchorId="1A303D9D" wp14:editId="09ACB094">
            <wp:extent cx="8686800" cy="4886325"/>
            <wp:effectExtent l="0" t="0" r="0" b="9525"/>
            <wp:docPr id="853697208" name="Picture 1" descr="Diagram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3697208" name="Picture 1" descr="Diagram&#10;&#10;Description automatically generated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686800" cy="4886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="004B11CD">
        <w:rPr>
          <w:rFonts w:ascii="Aptos" w:hAnsi="Aptos" w:cstheme="minorHAnsi"/>
        </w:rPr>
        <w:br w:type="page"/>
      </w:r>
    </w:p>
    <w:p w14:paraId="69320EA3" w14:textId="77777777" w:rsidR="004B11CD" w:rsidRDefault="004B11CD" w:rsidP="004B11CD">
      <w:pPr>
        <w:spacing w:after="0" w:line="240" w:lineRule="auto"/>
        <w:rPr>
          <w:rFonts w:ascii="Aptos" w:hAnsi="Aptos" w:cstheme="minorHAnsi"/>
        </w:rPr>
      </w:pPr>
      <w:r>
        <w:rPr>
          <w:rFonts w:ascii="Aptos" w:hAnsi="Aptos" w:cstheme="minorHAnsi"/>
          <w:b/>
          <w:bCs/>
        </w:rPr>
        <w:lastRenderedPageBreak/>
        <w:t>Supplemental Figure 2.</w:t>
      </w:r>
      <w:r>
        <w:rPr>
          <w:rFonts w:ascii="Aptos" w:hAnsi="Aptos" w:cstheme="minorHAnsi"/>
        </w:rPr>
        <w:t xml:space="preserve"> Age group distribution of influenza A(H1N</w:t>
      </w:r>
      <w:proofErr w:type="gramStart"/>
      <w:r>
        <w:rPr>
          <w:rFonts w:ascii="Aptos" w:hAnsi="Aptos" w:cstheme="minorHAnsi"/>
        </w:rPr>
        <w:t>1)pdm</w:t>
      </w:r>
      <w:proofErr w:type="gramEnd"/>
      <w:r>
        <w:rPr>
          <w:rFonts w:ascii="Aptos" w:hAnsi="Aptos" w:cstheme="minorHAnsi"/>
        </w:rPr>
        <w:t>09, A(H3N2), B/Victoria cases and influenza-negative control participants, October 2023 – April 2024.</w:t>
      </w:r>
    </w:p>
    <w:p w14:paraId="40686B11" w14:textId="77777777" w:rsidR="004B11CD" w:rsidRDefault="004B11CD" w:rsidP="004B11CD">
      <w:pPr>
        <w:spacing w:after="0" w:line="240" w:lineRule="auto"/>
        <w:rPr>
          <w:rFonts w:ascii="Aptos" w:hAnsi="Aptos" w:cstheme="minorHAnsi"/>
          <w:b/>
          <w:bCs/>
        </w:rPr>
      </w:pPr>
      <w:r>
        <w:rPr>
          <w:noProof/>
        </w:rPr>
        <w:drawing>
          <wp:inline distT="0" distB="0" distL="0" distR="0" wp14:anchorId="1A041307" wp14:editId="3020DAF5">
            <wp:extent cx="7323151" cy="3919993"/>
            <wp:effectExtent l="0" t="0" r="11430" b="4445"/>
            <wp:docPr id="850152352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24B10ED5-E4EC-01A0-269C-2EEA64D30C71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  <w:r>
        <w:rPr>
          <w:rFonts w:ascii="Aptos" w:hAnsi="Aptos" w:cstheme="minorHAnsi"/>
          <w:b/>
          <w:bCs/>
        </w:rPr>
        <w:br w:type="page"/>
      </w:r>
    </w:p>
    <w:p w14:paraId="00E03B94" w14:textId="77777777" w:rsidR="004B11CD" w:rsidRDefault="004B11CD" w:rsidP="004B11CD">
      <w:pPr>
        <w:spacing w:after="0" w:line="240" w:lineRule="auto"/>
        <w:rPr>
          <w:rFonts w:ascii="Aptos" w:hAnsi="Aptos" w:cstheme="minorHAnsi"/>
        </w:rPr>
      </w:pPr>
      <w:r>
        <w:rPr>
          <w:rFonts w:ascii="Aptos" w:hAnsi="Aptos" w:cstheme="minorHAnsi"/>
          <w:b/>
          <w:bCs/>
        </w:rPr>
        <w:lastRenderedPageBreak/>
        <w:t>Supplemental Figure 3.</w:t>
      </w:r>
      <w:r>
        <w:rPr>
          <w:rFonts w:ascii="Aptos" w:hAnsi="Aptos" w:cstheme="minorHAnsi"/>
        </w:rPr>
        <w:t xml:space="preserve"> Influenza-positive cases by type/subtype and percent influenza positive by week of enrollment, October 2023 – April 2024.</w:t>
      </w:r>
    </w:p>
    <w:p w14:paraId="355A4C6C" w14:textId="77777777" w:rsidR="004B11CD" w:rsidRDefault="004B11CD" w:rsidP="004B11CD">
      <w:pPr>
        <w:spacing w:line="480" w:lineRule="auto"/>
        <w:rPr>
          <w:rFonts w:ascii="Aptos" w:hAnsi="Aptos" w:cstheme="minorHAnsi"/>
        </w:rPr>
      </w:pPr>
    </w:p>
    <w:p w14:paraId="643292CA" w14:textId="77777777" w:rsidR="004B11CD" w:rsidRDefault="004B11CD" w:rsidP="004B11CD">
      <w:pPr>
        <w:spacing w:after="0" w:line="480" w:lineRule="auto"/>
        <w:rPr>
          <w:rFonts w:ascii="Aptos" w:hAnsi="Aptos" w:cstheme="minorHAnsi"/>
          <w:b/>
          <w:bCs/>
        </w:rPr>
      </w:pPr>
      <w:r>
        <w:rPr>
          <w:noProof/>
        </w:rPr>
        <w:drawing>
          <wp:inline distT="0" distB="0" distL="0" distR="0" wp14:anchorId="19979085" wp14:editId="669003A0">
            <wp:extent cx="7649155" cy="4564049"/>
            <wp:effectExtent l="0" t="0" r="9525" b="8255"/>
            <wp:docPr id="501085470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81C12181-9ECC-41C3-AE1B-78A41F6B023B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  <w:r>
        <w:rPr>
          <w:rFonts w:ascii="Aptos" w:hAnsi="Aptos" w:cstheme="minorHAnsi"/>
          <w:b/>
          <w:bCs/>
        </w:rPr>
        <w:br w:type="page"/>
      </w:r>
    </w:p>
    <w:p w14:paraId="033646A3" w14:textId="77777777" w:rsidR="004B11CD" w:rsidRDefault="004B11CD" w:rsidP="004B11CD">
      <w:pPr>
        <w:spacing w:after="0" w:line="480" w:lineRule="auto"/>
        <w:rPr>
          <w:rFonts w:ascii="Aptos" w:hAnsi="Aptos" w:cstheme="minorHAnsi"/>
        </w:rPr>
      </w:pPr>
      <w:r>
        <w:rPr>
          <w:rFonts w:ascii="Aptos" w:hAnsi="Aptos" w:cstheme="minorHAnsi"/>
          <w:b/>
          <w:bCs/>
        </w:rPr>
        <w:lastRenderedPageBreak/>
        <w:t>Supplemental Figure 4.</w:t>
      </w:r>
      <w:r>
        <w:rPr>
          <w:rFonts w:ascii="Aptos" w:hAnsi="Aptos" w:cstheme="minorHAnsi"/>
        </w:rPr>
        <w:t xml:space="preserve"> Sequenced A(H1N</w:t>
      </w:r>
      <w:proofErr w:type="gramStart"/>
      <w:r>
        <w:rPr>
          <w:rFonts w:ascii="Aptos" w:hAnsi="Aptos" w:cstheme="minorHAnsi"/>
        </w:rPr>
        <w:t>1)pdm</w:t>
      </w:r>
      <w:proofErr w:type="gramEnd"/>
      <w:r>
        <w:rPr>
          <w:rFonts w:ascii="Aptos" w:hAnsi="Aptos" w:cstheme="minorHAnsi"/>
        </w:rPr>
        <w:t>09 virus genetic subclades by week of illness onset, October 2023 – April 2024</w:t>
      </w:r>
    </w:p>
    <w:p w14:paraId="54407E95" w14:textId="77777777" w:rsidR="004B11CD" w:rsidRDefault="004B11CD" w:rsidP="004B11CD">
      <w:pPr>
        <w:spacing w:line="480" w:lineRule="auto"/>
        <w:rPr>
          <w:rFonts w:ascii="Aptos" w:hAnsi="Aptos" w:cstheme="minorHAnsi"/>
          <w:b/>
          <w:bCs/>
        </w:rPr>
      </w:pPr>
      <w:r>
        <w:rPr>
          <w:noProof/>
        </w:rPr>
        <w:drawing>
          <wp:inline distT="0" distB="0" distL="0" distR="0" wp14:anchorId="3DE7EBA4" wp14:editId="0547B63E">
            <wp:extent cx="7953375" cy="4371975"/>
            <wp:effectExtent l="0" t="0" r="9525" b="9525"/>
            <wp:docPr id="1868012248" name="Chart 1">
              <a:extLst xmlns:a="http://schemas.openxmlformats.org/drawingml/2006/main">
                <a:ext uri="{FF2B5EF4-FFF2-40B4-BE49-F238E27FC236}">
                  <a16:creationId xmlns:a16="http://schemas.microsoft.com/office/drawing/2014/main" id="{52FCD7D6-2F6C-C4C4-6879-DEE9F143ECCF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14:paraId="4944E9C8" w14:textId="77777777" w:rsidR="004B11CD" w:rsidRDefault="004B11CD" w:rsidP="004B11CD">
      <w:pPr>
        <w:spacing w:line="240" w:lineRule="auto"/>
        <w:rPr>
          <w:rFonts w:ascii="Aptos" w:hAnsi="Aptos" w:cstheme="minorHAnsi"/>
          <w:b/>
          <w:bCs/>
        </w:rPr>
      </w:pPr>
      <w:r>
        <w:rPr>
          <w:rFonts w:ascii="Aptos" w:hAnsi="Aptos" w:cstheme="minorHAnsi"/>
          <w:b/>
          <w:bCs/>
        </w:rPr>
        <w:br w:type="page"/>
      </w:r>
    </w:p>
    <w:p w14:paraId="73C96B5B" w14:textId="77777777" w:rsidR="004B11CD" w:rsidRDefault="004B11CD" w:rsidP="004B11CD">
      <w:pPr>
        <w:spacing w:line="240" w:lineRule="auto"/>
        <w:rPr>
          <w:rFonts w:ascii="Aptos" w:hAnsi="Aptos" w:cstheme="minorHAnsi"/>
          <w:bCs/>
        </w:rPr>
      </w:pPr>
      <w:r w:rsidRPr="006E5943">
        <w:rPr>
          <w:rFonts w:ascii="Aptos" w:hAnsi="Aptos" w:cstheme="minorHAnsi"/>
          <w:b/>
          <w:bCs/>
        </w:rPr>
        <w:lastRenderedPageBreak/>
        <w:t>Supplemental Table 2.</w:t>
      </w:r>
      <w:r>
        <w:rPr>
          <w:rFonts w:ascii="Aptos" w:hAnsi="Aptos" w:cstheme="minorHAnsi"/>
          <w:b/>
          <w:bCs/>
        </w:rPr>
        <w:t xml:space="preserve"> </w:t>
      </w:r>
      <w:r w:rsidRPr="00B90B78">
        <w:rPr>
          <w:rFonts w:ascii="Aptos" w:hAnsi="Aptos" w:cstheme="minorHAnsi"/>
          <w:bCs/>
        </w:rPr>
        <w:t xml:space="preserve">Adjusted vaccine effectiveness against </w:t>
      </w:r>
      <w:r>
        <w:rPr>
          <w:rFonts w:ascii="Aptos" w:hAnsi="Aptos" w:cstheme="minorHAnsi"/>
          <w:bCs/>
        </w:rPr>
        <w:t xml:space="preserve">any </w:t>
      </w:r>
      <w:r w:rsidRPr="00B90B78">
        <w:rPr>
          <w:rFonts w:ascii="Aptos" w:hAnsi="Aptos" w:cstheme="minorHAnsi"/>
          <w:bCs/>
        </w:rPr>
        <w:t>outpatient influenza-associated illness visits among patients aged ≥</w:t>
      </w:r>
      <w:r>
        <w:rPr>
          <w:rFonts w:ascii="Aptos" w:hAnsi="Aptos" w:cstheme="minorHAnsi"/>
          <w:bCs/>
        </w:rPr>
        <w:t>8</w:t>
      </w:r>
      <w:r w:rsidRPr="00B90B78">
        <w:rPr>
          <w:rFonts w:ascii="Aptos" w:hAnsi="Aptos" w:cstheme="minorHAnsi"/>
          <w:bCs/>
        </w:rPr>
        <w:t xml:space="preserve"> months enrolled at US Influenza Vaccine Effectiveness Network sites, </w:t>
      </w:r>
      <w:r>
        <w:rPr>
          <w:rFonts w:ascii="Aptos" w:hAnsi="Aptos" w:cstheme="minorHAnsi"/>
          <w:bCs/>
        </w:rPr>
        <w:t>October 2023</w:t>
      </w:r>
      <w:r w:rsidRPr="00B90B78">
        <w:rPr>
          <w:rFonts w:ascii="Aptos" w:hAnsi="Aptos" w:cstheme="minorHAnsi"/>
          <w:bCs/>
        </w:rPr>
        <w:t xml:space="preserve"> through </w:t>
      </w:r>
      <w:r>
        <w:rPr>
          <w:rFonts w:ascii="Aptos" w:hAnsi="Aptos" w:cstheme="minorHAnsi"/>
          <w:bCs/>
        </w:rPr>
        <w:t>April 2024 by time since vaccination</w:t>
      </w:r>
      <w:r w:rsidRPr="00B90B78">
        <w:rPr>
          <w:rFonts w:ascii="Aptos" w:hAnsi="Aptos" w:cstheme="minorHAnsi"/>
          <w:bCs/>
        </w:rPr>
        <w:t>.</w:t>
      </w:r>
    </w:p>
    <w:p w14:paraId="112869C3" w14:textId="77777777" w:rsidR="004B11CD" w:rsidRDefault="004B11CD" w:rsidP="004B11CD">
      <w:pPr>
        <w:spacing w:after="0" w:line="240" w:lineRule="auto"/>
        <w:rPr>
          <w:rFonts w:ascii="Aptos" w:hAnsi="Aptos" w:cstheme="minorHAnsi"/>
          <w:bCs/>
        </w:rPr>
      </w:pPr>
    </w:p>
    <w:tbl>
      <w:tblPr>
        <w:tblStyle w:val="TableGrid"/>
        <w:tblW w:w="5000" w:type="pct"/>
        <w:tblLook w:val="04A0" w:firstRow="1" w:lastRow="0" w:firstColumn="1" w:lastColumn="0" w:noHBand="0" w:noVBand="1"/>
      </w:tblPr>
      <w:tblGrid>
        <w:gridCol w:w="3792"/>
        <w:gridCol w:w="1832"/>
        <w:gridCol w:w="1610"/>
        <w:gridCol w:w="1832"/>
        <w:gridCol w:w="1613"/>
        <w:gridCol w:w="845"/>
        <w:gridCol w:w="2146"/>
      </w:tblGrid>
      <w:tr w:rsidR="004B11CD" w:rsidRPr="00B90B78" w14:paraId="11704AA1" w14:textId="77777777" w:rsidTr="001C316F">
        <w:trPr>
          <w:trHeight w:val="646"/>
        </w:trPr>
        <w:tc>
          <w:tcPr>
            <w:tcW w:w="1387" w:type="pct"/>
            <w:noWrap/>
            <w:hideMark/>
          </w:tcPr>
          <w:p w14:paraId="566E204D" w14:textId="77777777" w:rsidR="004B11CD" w:rsidRPr="007B050E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 w:rsidRPr="00B90B78">
              <w:rPr>
                <w:rFonts w:ascii="Aptos" w:eastAsia="Times New Roman" w:hAnsi="Aptos" w:cstheme="minorHAnsi"/>
              </w:rPr>
              <w:t> </w:t>
            </w:r>
            <w:r w:rsidRPr="007B050E">
              <w:rPr>
                <w:rFonts w:ascii="Aptos" w:eastAsia="Times New Roman" w:hAnsi="Aptos" w:cstheme="minorHAnsi"/>
                <w:b/>
                <w:bCs/>
              </w:rPr>
              <w:t>Age group</w:t>
            </w:r>
          </w:p>
        </w:tc>
        <w:tc>
          <w:tcPr>
            <w:tcW w:w="1259" w:type="pct"/>
            <w:gridSpan w:val="2"/>
            <w:hideMark/>
          </w:tcPr>
          <w:p w14:paraId="59DA083B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Influenza Positive (Cases)</w:t>
            </w:r>
          </w:p>
        </w:tc>
        <w:tc>
          <w:tcPr>
            <w:tcW w:w="1260" w:type="pct"/>
            <w:gridSpan w:val="2"/>
            <w:hideMark/>
          </w:tcPr>
          <w:p w14:paraId="1C7AAC9B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Influenza Negative (Controls)</w:t>
            </w:r>
          </w:p>
        </w:tc>
        <w:tc>
          <w:tcPr>
            <w:tcW w:w="1094" w:type="pct"/>
            <w:gridSpan w:val="2"/>
            <w:noWrap/>
            <w:hideMark/>
          </w:tcPr>
          <w:p w14:paraId="293C82BD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 xml:space="preserve">Vaccine </w:t>
            </w:r>
            <w:proofErr w:type="spellStart"/>
            <w:r w:rsidRPr="004E270D">
              <w:rPr>
                <w:rFonts w:ascii="Aptos" w:eastAsia="Times New Roman" w:hAnsi="Aptos" w:cstheme="minorHAnsi"/>
                <w:b/>
                <w:bCs/>
              </w:rPr>
              <w:t>Effectiveness</w:t>
            </w:r>
            <w:r w:rsidRPr="004E270D">
              <w:rPr>
                <w:rFonts w:ascii="Aptos" w:eastAsia="Times New Roman" w:hAnsi="Aptos" w:cstheme="minorHAnsi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4B11CD" w:rsidRPr="00B90B78" w14:paraId="77B94E21" w14:textId="77777777" w:rsidTr="001C316F">
        <w:trPr>
          <w:trHeight w:val="646"/>
        </w:trPr>
        <w:tc>
          <w:tcPr>
            <w:tcW w:w="1387" w:type="pct"/>
            <w:noWrap/>
            <w:hideMark/>
          </w:tcPr>
          <w:p w14:paraId="1BEBBE49" w14:textId="77777777" w:rsidR="004B11CD" w:rsidRPr="00AE7FEE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 xml:space="preserve">    </w:t>
            </w:r>
            <w:r w:rsidRPr="00AE7FEE">
              <w:rPr>
                <w:rFonts w:ascii="Aptos" w:eastAsia="Times New Roman" w:hAnsi="Aptos" w:cstheme="minorHAnsi"/>
              </w:rPr>
              <w:t>Time since vaccination (days)</w:t>
            </w:r>
          </w:p>
        </w:tc>
        <w:tc>
          <w:tcPr>
            <w:tcW w:w="670" w:type="pct"/>
            <w:hideMark/>
          </w:tcPr>
          <w:p w14:paraId="3DEFA80C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Total</w:t>
            </w:r>
          </w:p>
        </w:tc>
        <w:tc>
          <w:tcPr>
            <w:tcW w:w="589" w:type="pct"/>
            <w:hideMark/>
          </w:tcPr>
          <w:p w14:paraId="2E0EB0AC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 xml:space="preserve">No. </w:t>
            </w:r>
            <w:r w:rsidRPr="004E270D">
              <w:rPr>
                <w:rFonts w:ascii="Aptos" w:eastAsia="Times New Roman" w:hAnsi="Aptos" w:cstheme="minorHAnsi"/>
                <w:b/>
                <w:bCs/>
              </w:rPr>
              <w:t>Vaccinated</w:t>
            </w:r>
            <w:r>
              <w:rPr>
                <w:rFonts w:ascii="Aptos" w:eastAsia="Times New Roman" w:hAnsi="Aptos" w:cstheme="minorHAnsi"/>
                <w:b/>
                <w:bCs/>
              </w:rPr>
              <w:t xml:space="preserve"> (%)</w:t>
            </w:r>
          </w:p>
        </w:tc>
        <w:tc>
          <w:tcPr>
            <w:tcW w:w="670" w:type="pct"/>
            <w:hideMark/>
          </w:tcPr>
          <w:p w14:paraId="049C87EF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Total</w:t>
            </w:r>
          </w:p>
        </w:tc>
        <w:tc>
          <w:tcPr>
            <w:tcW w:w="590" w:type="pct"/>
            <w:hideMark/>
          </w:tcPr>
          <w:p w14:paraId="0417A050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 xml:space="preserve">No. </w:t>
            </w:r>
            <w:r w:rsidRPr="004E270D">
              <w:rPr>
                <w:rFonts w:ascii="Aptos" w:eastAsia="Times New Roman" w:hAnsi="Aptos" w:cstheme="minorHAnsi"/>
                <w:b/>
                <w:bCs/>
              </w:rPr>
              <w:t>Vaccinated</w:t>
            </w:r>
            <w:r>
              <w:rPr>
                <w:rFonts w:ascii="Aptos" w:eastAsia="Times New Roman" w:hAnsi="Aptos" w:cstheme="minorHAnsi"/>
                <w:b/>
                <w:bCs/>
              </w:rPr>
              <w:t xml:space="preserve"> (%)</w:t>
            </w:r>
          </w:p>
        </w:tc>
        <w:tc>
          <w:tcPr>
            <w:tcW w:w="309" w:type="pct"/>
            <w:noWrap/>
            <w:hideMark/>
          </w:tcPr>
          <w:p w14:paraId="196DD14A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VE %</w:t>
            </w:r>
          </w:p>
        </w:tc>
        <w:tc>
          <w:tcPr>
            <w:tcW w:w="785" w:type="pct"/>
            <w:noWrap/>
            <w:hideMark/>
          </w:tcPr>
          <w:p w14:paraId="2502CE83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(95% CI)</w:t>
            </w:r>
          </w:p>
        </w:tc>
      </w:tr>
      <w:tr w:rsidR="004B11CD" w:rsidRPr="00B90B78" w14:paraId="7DBBCBCE" w14:textId="77777777" w:rsidTr="001C316F">
        <w:trPr>
          <w:trHeight w:val="323"/>
        </w:trPr>
        <w:tc>
          <w:tcPr>
            <w:tcW w:w="1387" w:type="pct"/>
            <w:noWrap/>
          </w:tcPr>
          <w:p w14:paraId="1AF74053" w14:textId="77777777" w:rsidR="004B11CD" w:rsidRPr="00902B35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 w:rsidRPr="00902B35">
              <w:rPr>
                <w:rFonts w:ascii="Aptos" w:eastAsia="Times New Roman" w:hAnsi="Aptos" w:cstheme="minorHAnsi"/>
                <w:b/>
                <w:bCs/>
              </w:rPr>
              <w:t>All ages ≥8 months</w:t>
            </w:r>
          </w:p>
        </w:tc>
        <w:tc>
          <w:tcPr>
            <w:tcW w:w="670" w:type="pct"/>
          </w:tcPr>
          <w:p w14:paraId="1A6B7F3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89" w:type="pct"/>
          </w:tcPr>
          <w:p w14:paraId="28FBB99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70" w:type="pct"/>
          </w:tcPr>
          <w:p w14:paraId="5C0ADB0C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90" w:type="pct"/>
          </w:tcPr>
          <w:p w14:paraId="2782405D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309" w:type="pct"/>
            <w:noWrap/>
          </w:tcPr>
          <w:p w14:paraId="4AEC03EE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785" w:type="pct"/>
            <w:noWrap/>
          </w:tcPr>
          <w:p w14:paraId="5B5F9AA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185A90DE" w14:textId="77777777" w:rsidTr="001C316F">
        <w:trPr>
          <w:trHeight w:val="323"/>
        </w:trPr>
        <w:tc>
          <w:tcPr>
            <w:tcW w:w="1387" w:type="pct"/>
            <w:noWrap/>
            <w:hideMark/>
          </w:tcPr>
          <w:p w14:paraId="28869C51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 xml:space="preserve">14–59 </w:t>
            </w:r>
          </w:p>
        </w:tc>
        <w:tc>
          <w:tcPr>
            <w:tcW w:w="670" w:type="pct"/>
          </w:tcPr>
          <w:p w14:paraId="4F279A4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1486</w:t>
            </w:r>
          </w:p>
        </w:tc>
        <w:tc>
          <w:tcPr>
            <w:tcW w:w="589" w:type="pct"/>
          </w:tcPr>
          <w:p w14:paraId="3D56813E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58 (4)</w:t>
            </w:r>
          </w:p>
        </w:tc>
        <w:tc>
          <w:tcPr>
            <w:tcW w:w="670" w:type="pct"/>
          </w:tcPr>
          <w:p w14:paraId="3AA8ED2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3566</w:t>
            </w:r>
          </w:p>
        </w:tc>
        <w:tc>
          <w:tcPr>
            <w:tcW w:w="590" w:type="pct"/>
          </w:tcPr>
          <w:p w14:paraId="7D9E015F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491 (14)</w:t>
            </w:r>
          </w:p>
        </w:tc>
        <w:tc>
          <w:tcPr>
            <w:tcW w:w="309" w:type="pct"/>
            <w:noWrap/>
          </w:tcPr>
          <w:p w14:paraId="31A7996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64</w:t>
            </w:r>
          </w:p>
        </w:tc>
        <w:tc>
          <w:tcPr>
            <w:tcW w:w="785" w:type="pct"/>
            <w:noWrap/>
          </w:tcPr>
          <w:p w14:paraId="05B553C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(52 to 73)</w:t>
            </w:r>
          </w:p>
        </w:tc>
      </w:tr>
      <w:tr w:rsidR="004B11CD" w:rsidRPr="00B90B78" w14:paraId="6E007458" w14:textId="77777777" w:rsidTr="001C316F">
        <w:trPr>
          <w:trHeight w:val="323"/>
        </w:trPr>
        <w:tc>
          <w:tcPr>
            <w:tcW w:w="1387" w:type="pct"/>
            <w:noWrap/>
          </w:tcPr>
          <w:p w14:paraId="65745D41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60–120</w:t>
            </w:r>
          </w:p>
        </w:tc>
        <w:tc>
          <w:tcPr>
            <w:tcW w:w="670" w:type="pct"/>
          </w:tcPr>
          <w:p w14:paraId="3C2A60D4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1587</w:t>
            </w:r>
          </w:p>
        </w:tc>
        <w:tc>
          <w:tcPr>
            <w:tcW w:w="589" w:type="pct"/>
          </w:tcPr>
          <w:p w14:paraId="40D1732B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159 (10)</w:t>
            </w:r>
          </w:p>
        </w:tc>
        <w:tc>
          <w:tcPr>
            <w:tcW w:w="670" w:type="pct"/>
          </w:tcPr>
          <w:p w14:paraId="3E3BFD68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3771</w:t>
            </w:r>
          </w:p>
        </w:tc>
        <w:tc>
          <w:tcPr>
            <w:tcW w:w="590" w:type="pct"/>
          </w:tcPr>
          <w:p w14:paraId="1E754EE2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696 (18)</w:t>
            </w:r>
          </w:p>
        </w:tc>
        <w:tc>
          <w:tcPr>
            <w:tcW w:w="309" w:type="pct"/>
            <w:noWrap/>
          </w:tcPr>
          <w:p w14:paraId="155FEE40" w14:textId="77777777" w:rsidR="004B11CD" w:rsidRPr="00B90B78" w:rsidDel="00427AE0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29</w:t>
            </w:r>
          </w:p>
        </w:tc>
        <w:tc>
          <w:tcPr>
            <w:tcW w:w="785" w:type="pct"/>
            <w:noWrap/>
          </w:tcPr>
          <w:p w14:paraId="1C43BEEE" w14:textId="77777777" w:rsidR="004B11CD" w:rsidRPr="00B90B78" w:rsidDel="00427AE0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(14 to 42)</w:t>
            </w:r>
          </w:p>
        </w:tc>
      </w:tr>
      <w:tr w:rsidR="004B11CD" w:rsidRPr="00B90B78" w14:paraId="1199743E" w14:textId="77777777" w:rsidTr="001C316F">
        <w:trPr>
          <w:trHeight w:val="323"/>
        </w:trPr>
        <w:tc>
          <w:tcPr>
            <w:tcW w:w="1387" w:type="pct"/>
            <w:noWrap/>
            <w:hideMark/>
          </w:tcPr>
          <w:p w14:paraId="227C438A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&gt;120</w:t>
            </w:r>
          </w:p>
        </w:tc>
        <w:tc>
          <w:tcPr>
            <w:tcW w:w="670" w:type="pct"/>
          </w:tcPr>
          <w:p w14:paraId="1437CA7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1551</w:t>
            </w:r>
          </w:p>
        </w:tc>
        <w:tc>
          <w:tcPr>
            <w:tcW w:w="589" w:type="pct"/>
          </w:tcPr>
          <w:p w14:paraId="3B5E2B91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123 (8)</w:t>
            </w:r>
          </w:p>
        </w:tc>
        <w:tc>
          <w:tcPr>
            <w:tcW w:w="670" w:type="pct"/>
          </w:tcPr>
          <w:p w14:paraId="26BA1D5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3634</w:t>
            </w:r>
          </w:p>
        </w:tc>
        <w:tc>
          <w:tcPr>
            <w:tcW w:w="590" w:type="pct"/>
          </w:tcPr>
          <w:p w14:paraId="4D0446E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559 (15)</w:t>
            </w:r>
          </w:p>
        </w:tc>
        <w:tc>
          <w:tcPr>
            <w:tcW w:w="309" w:type="pct"/>
            <w:noWrap/>
          </w:tcPr>
          <w:p w14:paraId="382103E1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40</w:t>
            </w:r>
          </w:p>
        </w:tc>
        <w:tc>
          <w:tcPr>
            <w:tcW w:w="785" w:type="pct"/>
            <w:noWrap/>
          </w:tcPr>
          <w:p w14:paraId="659EA12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(25 to 52)</w:t>
            </w:r>
          </w:p>
        </w:tc>
      </w:tr>
      <w:tr w:rsidR="004B11CD" w:rsidRPr="00B90B78" w14:paraId="440D51BF" w14:textId="77777777" w:rsidTr="001C316F">
        <w:trPr>
          <w:trHeight w:val="323"/>
        </w:trPr>
        <w:tc>
          <w:tcPr>
            <w:tcW w:w="1387" w:type="pct"/>
            <w:noWrap/>
          </w:tcPr>
          <w:p w14:paraId="470D39E7" w14:textId="77777777" w:rsidR="004B11CD" w:rsidRPr="00902B35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 w:rsidRPr="00902B35">
              <w:rPr>
                <w:rFonts w:ascii="Aptos" w:eastAsia="Times New Roman" w:hAnsi="Aptos" w:cstheme="minorHAnsi"/>
                <w:b/>
                <w:bCs/>
              </w:rPr>
              <w:t>8 months –17 years</w:t>
            </w:r>
          </w:p>
        </w:tc>
        <w:tc>
          <w:tcPr>
            <w:tcW w:w="670" w:type="pct"/>
          </w:tcPr>
          <w:p w14:paraId="6173226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89" w:type="pct"/>
          </w:tcPr>
          <w:p w14:paraId="18FC320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70" w:type="pct"/>
          </w:tcPr>
          <w:p w14:paraId="1E16D64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90" w:type="pct"/>
          </w:tcPr>
          <w:p w14:paraId="6D276F6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309" w:type="pct"/>
            <w:noWrap/>
          </w:tcPr>
          <w:p w14:paraId="1CE9CE2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785" w:type="pct"/>
            <w:noWrap/>
          </w:tcPr>
          <w:p w14:paraId="5096CB9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0C68627A" w14:textId="77777777" w:rsidTr="001C316F">
        <w:trPr>
          <w:trHeight w:val="323"/>
        </w:trPr>
        <w:tc>
          <w:tcPr>
            <w:tcW w:w="1387" w:type="pct"/>
            <w:noWrap/>
          </w:tcPr>
          <w:p w14:paraId="4E05E9D2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14–59</w:t>
            </w:r>
          </w:p>
        </w:tc>
        <w:tc>
          <w:tcPr>
            <w:tcW w:w="670" w:type="pct"/>
          </w:tcPr>
          <w:p w14:paraId="53E80A8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575</w:t>
            </w:r>
          </w:p>
        </w:tc>
        <w:tc>
          <w:tcPr>
            <w:tcW w:w="589" w:type="pct"/>
          </w:tcPr>
          <w:p w14:paraId="07E8FD2B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12 (2)</w:t>
            </w:r>
          </w:p>
        </w:tc>
        <w:tc>
          <w:tcPr>
            <w:tcW w:w="670" w:type="pct"/>
          </w:tcPr>
          <w:p w14:paraId="1045147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1086</w:t>
            </w:r>
          </w:p>
        </w:tc>
        <w:tc>
          <w:tcPr>
            <w:tcW w:w="590" w:type="pct"/>
          </w:tcPr>
          <w:p w14:paraId="452EFBC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118 (11)</w:t>
            </w:r>
          </w:p>
        </w:tc>
        <w:tc>
          <w:tcPr>
            <w:tcW w:w="309" w:type="pct"/>
            <w:noWrap/>
          </w:tcPr>
          <w:p w14:paraId="367D3C36" w14:textId="77777777" w:rsidR="004B11CD" w:rsidRPr="003411F0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83</w:t>
            </w:r>
            <w:r>
              <w:rPr>
                <w:rFonts w:ascii="Aptos" w:eastAsia="Times New Roman" w:hAnsi="Aptos" w:cstheme="minorHAnsi"/>
                <w:vertAlign w:val="superscript"/>
              </w:rPr>
              <w:t>b</w:t>
            </w:r>
          </w:p>
        </w:tc>
        <w:tc>
          <w:tcPr>
            <w:tcW w:w="785" w:type="pct"/>
            <w:noWrap/>
          </w:tcPr>
          <w:p w14:paraId="7D7BAB5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(70 to 91)</w:t>
            </w:r>
          </w:p>
        </w:tc>
      </w:tr>
      <w:tr w:rsidR="004B11CD" w:rsidRPr="00B90B78" w14:paraId="473A9538" w14:textId="77777777" w:rsidTr="001C316F">
        <w:trPr>
          <w:trHeight w:val="323"/>
        </w:trPr>
        <w:tc>
          <w:tcPr>
            <w:tcW w:w="1387" w:type="pct"/>
            <w:noWrap/>
          </w:tcPr>
          <w:p w14:paraId="1B969533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60–120</w:t>
            </w:r>
          </w:p>
        </w:tc>
        <w:tc>
          <w:tcPr>
            <w:tcW w:w="670" w:type="pct"/>
          </w:tcPr>
          <w:p w14:paraId="7AE685D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594</w:t>
            </w:r>
          </w:p>
        </w:tc>
        <w:tc>
          <w:tcPr>
            <w:tcW w:w="589" w:type="pct"/>
          </w:tcPr>
          <w:p w14:paraId="78A876EB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31 (5)</w:t>
            </w:r>
          </w:p>
        </w:tc>
        <w:tc>
          <w:tcPr>
            <w:tcW w:w="670" w:type="pct"/>
          </w:tcPr>
          <w:p w14:paraId="71E7070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1094</w:t>
            </w:r>
          </w:p>
        </w:tc>
        <w:tc>
          <w:tcPr>
            <w:tcW w:w="590" w:type="pct"/>
          </w:tcPr>
          <w:p w14:paraId="4705D33D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126 (12)</w:t>
            </w:r>
          </w:p>
        </w:tc>
        <w:tc>
          <w:tcPr>
            <w:tcW w:w="309" w:type="pct"/>
            <w:noWrap/>
          </w:tcPr>
          <w:p w14:paraId="4585A57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51</w:t>
            </w:r>
          </w:p>
        </w:tc>
        <w:tc>
          <w:tcPr>
            <w:tcW w:w="785" w:type="pct"/>
            <w:noWrap/>
          </w:tcPr>
          <w:p w14:paraId="332901E6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(27 to 69)</w:t>
            </w:r>
          </w:p>
        </w:tc>
      </w:tr>
      <w:tr w:rsidR="004B11CD" w:rsidRPr="00B90B78" w14:paraId="1F470DE0" w14:textId="77777777" w:rsidTr="001C316F">
        <w:trPr>
          <w:trHeight w:val="323"/>
        </w:trPr>
        <w:tc>
          <w:tcPr>
            <w:tcW w:w="1387" w:type="pct"/>
            <w:noWrap/>
          </w:tcPr>
          <w:p w14:paraId="2D7B55D1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&gt;120</w:t>
            </w:r>
          </w:p>
        </w:tc>
        <w:tc>
          <w:tcPr>
            <w:tcW w:w="670" w:type="pct"/>
          </w:tcPr>
          <w:p w14:paraId="6F980FE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582</w:t>
            </w:r>
          </w:p>
        </w:tc>
        <w:tc>
          <w:tcPr>
            <w:tcW w:w="589" w:type="pct"/>
          </w:tcPr>
          <w:p w14:paraId="37A7477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19 (3)</w:t>
            </w:r>
          </w:p>
        </w:tc>
        <w:tc>
          <w:tcPr>
            <w:tcW w:w="670" w:type="pct"/>
          </w:tcPr>
          <w:p w14:paraId="276CA62D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1070</w:t>
            </w:r>
          </w:p>
        </w:tc>
        <w:tc>
          <w:tcPr>
            <w:tcW w:w="590" w:type="pct"/>
          </w:tcPr>
          <w:p w14:paraId="0E2FC3F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102 (10)</w:t>
            </w:r>
          </w:p>
        </w:tc>
        <w:tc>
          <w:tcPr>
            <w:tcW w:w="309" w:type="pct"/>
            <w:noWrap/>
          </w:tcPr>
          <w:p w14:paraId="597CEC36" w14:textId="77777777" w:rsidR="004B11CD" w:rsidRPr="003411F0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68</w:t>
            </w:r>
            <w:r>
              <w:rPr>
                <w:rFonts w:ascii="Aptos" w:eastAsia="Times New Roman" w:hAnsi="Aptos" w:cstheme="minorHAnsi"/>
                <w:vertAlign w:val="superscript"/>
              </w:rPr>
              <w:t>b</w:t>
            </w:r>
          </w:p>
        </w:tc>
        <w:tc>
          <w:tcPr>
            <w:tcW w:w="785" w:type="pct"/>
            <w:noWrap/>
          </w:tcPr>
          <w:p w14:paraId="287EB08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(48 to 81)</w:t>
            </w:r>
          </w:p>
        </w:tc>
      </w:tr>
      <w:tr w:rsidR="004B11CD" w:rsidRPr="00B90B78" w14:paraId="01F13E4D" w14:textId="77777777" w:rsidTr="001C316F">
        <w:trPr>
          <w:trHeight w:val="323"/>
        </w:trPr>
        <w:tc>
          <w:tcPr>
            <w:tcW w:w="1387" w:type="pct"/>
            <w:noWrap/>
          </w:tcPr>
          <w:p w14:paraId="03EC1442" w14:textId="77777777" w:rsidR="004B11CD" w:rsidRPr="00902B35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 w:rsidRPr="00902B35">
              <w:rPr>
                <w:rFonts w:ascii="Aptos" w:eastAsia="Times New Roman" w:hAnsi="Aptos" w:cstheme="minorHAnsi"/>
                <w:b/>
                <w:bCs/>
              </w:rPr>
              <w:t>18–64 years</w:t>
            </w:r>
          </w:p>
        </w:tc>
        <w:tc>
          <w:tcPr>
            <w:tcW w:w="670" w:type="pct"/>
          </w:tcPr>
          <w:p w14:paraId="12D1DF3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89" w:type="pct"/>
          </w:tcPr>
          <w:p w14:paraId="186C7C5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70" w:type="pct"/>
          </w:tcPr>
          <w:p w14:paraId="14EB2D7D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90" w:type="pct"/>
          </w:tcPr>
          <w:p w14:paraId="1D3CCF0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309" w:type="pct"/>
            <w:noWrap/>
          </w:tcPr>
          <w:p w14:paraId="40DE34D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785" w:type="pct"/>
            <w:noWrap/>
          </w:tcPr>
          <w:p w14:paraId="279E60B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2CED60F3" w14:textId="77777777" w:rsidTr="001C316F">
        <w:trPr>
          <w:trHeight w:val="323"/>
        </w:trPr>
        <w:tc>
          <w:tcPr>
            <w:tcW w:w="1387" w:type="pct"/>
            <w:noWrap/>
          </w:tcPr>
          <w:p w14:paraId="1EEFC014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 xml:space="preserve">14–59 </w:t>
            </w:r>
          </w:p>
        </w:tc>
        <w:tc>
          <w:tcPr>
            <w:tcW w:w="670" w:type="pct"/>
          </w:tcPr>
          <w:p w14:paraId="6EA88A4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839</w:t>
            </w:r>
          </w:p>
        </w:tc>
        <w:tc>
          <w:tcPr>
            <w:tcW w:w="589" w:type="pct"/>
          </w:tcPr>
          <w:p w14:paraId="52CD631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36 (4)</w:t>
            </w:r>
          </w:p>
        </w:tc>
        <w:tc>
          <w:tcPr>
            <w:tcW w:w="670" w:type="pct"/>
          </w:tcPr>
          <w:p w14:paraId="2C5F441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2097</w:t>
            </w:r>
          </w:p>
        </w:tc>
        <w:tc>
          <w:tcPr>
            <w:tcW w:w="590" w:type="pct"/>
          </w:tcPr>
          <w:p w14:paraId="5DC4254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257 (12)</w:t>
            </w:r>
          </w:p>
        </w:tc>
        <w:tc>
          <w:tcPr>
            <w:tcW w:w="309" w:type="pct"/>
            <w:noWrap/>
          </w:tcPr>
          <w:p w14:paraId="48D72FD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57</w:t>
            </w:r>
          </w:p>
        </w:tc>
        <w:tc>
          <w:tcPr>
            <w:tcW w:w="785" w:type="pct"/>
            <w:noWrap/>
          </w:tcPr>
          <w:p w14:paraId="02525E0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(39 to 71)</w:t>
            </w:r>
          </w:p>
        </w:tc>
      </w:tr>
      <w:tr w:rsidR="004B11CD" w:rsidRPr="00B90B78" w14:paraId="18859349" w14:textId="77777777" w:rsidTr="001C316F">
        <w:trPr>
          <w:trHeight w:val="323"/>
        </w:trPr>
        <w:tc>
          <w:tcPr>
            <w:tcW w:w="1387" w:type="pct"/>
            <w:noWrap/>
          </w:tcPr>
          <w:p w14:paraId="29AD052D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60–120</w:t>
            </w:r>
          </w:p>
        </w:tc>
        <w:tc>
          <w:tcPr>
            <w:tcW w:w="670" w:type="pct"/>
          </w:tcPr>
          <w:p w14:paraId="6DAC50FB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895</w:t>
            </w:r>
          </w:p>
        </w:tc>
        <w:tc>
          <w:tcPr>
            <w:tcW w:w="589" w:type="pct"/>
          </w:tcPr>
          <w:p w14:paraId="06ABB1E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92 (10)</w:t>
            </w:r>
          </w:p>
        </w:tc>
        <w:tc>
          <w:tcPr>
            <w:tcW w:w="670" w:type="pct"/>
          </w:tcPr>
          <w:p w14:paraId="03D3F8F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2184</w:t>
            </w:r>
          </w:p>
        </w:tc>
        <w:tc>
          <w:tcPr>
            <w:tcW w:w="590" w:type="pct"/>
          </w:tcPr>
          <w:p w14:paraId="760277E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344 (16)</w:t>
            </w:r>
          </w:p>
        </w:tc>
        <w:tc>
          <w:tcPr>
            <w:tcW w:w="309" w:type="pct"/>
            <w:noWrap/>
          </w:tcPr>
          <w:p w14:paraId="57BF2C9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23</w:t>
            </w:r>
          </w:p>
        </w:tc>
        <w:tc>
          <w:tcPr>
            <w:tcW w:w="785" w:type="pct"/>
            <w:noWrap/>
          </w:tcPr>
          <w:p w14:paraId="5C1E7BF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(0 to 40)</w:t>
            </w:r>
          </w:p>
        </w:tc>
      </w:tr>
      <w:tr w:rsidR="004B11CD" w:rsidRPr="00B90B78" w14:paraId="433C111E" w14:textId="77777777" w:rsidTr="001C316F">
        <w:trPr>
          <w:trHeight w:val="323"/>
        </w:trPr>
        <w:tc>
          <w:tcPr>
            <w:tcW w:w="1387" w:type="pct"/>
            <w:noWrap/>
          </w:tcPr>
          <w:p w14:paraId="57701CFA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&gt;120</w:t>
            </w:r>
          </w:p>
        </w:tc>
        <w:tc>
          <w:tcPr>
            <w:tcW w:w="670" w:type="pct"/>
          </w:tcPr>
          <w:p w14:paraId="03148B46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873</w:t>
            </w:r>
          </w:p>
        </w:tc>
        <w:tc>
          <w:tcPr>
            <w:tcW w:w="589" w:type="pct"/>
          </w:tcPr>
          <w:p w14:paraId="462FB7D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70 (8)</w:t>
            </w:r>
          </w:p>
        </w:tc>
        <w:tc>
          <w:tcPr>
            <w:tcW w:w="670" w:type="pct"/>
          </w:tcPr>
          <w:p w14:paraId="2FACDB4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2111</w:t>
            </w:r>
          </w:p>
        </w:tc>
        <w:tc>
          <w:tcPr>
            <w:tcW w:w="590" w:type="pct"/>
          </w:tcPr>
          <w:p w14:paraId="1563E17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271 (13)</w:t>
            </w:r>
          </w:p>
        </w:tc>
        <w:tc>
          <w:tcPr>
            <w:tcW w:w="309" w:type="pct"/>
            <w:noWrap/>
          </w:tcPr>
          <w:p w14:paraId="33CC98EC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37</w:t>
            </w:r>
          </w:p>
        </w:tc>
        <w:tc>
          <w:tcPr>
            <w:tcW w:w="785" w:type="pct"/>
            <w:noWrap/>
          </w:tcPr>
          <w:p w14:paraId="4B136CA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(16 to 53)</w:t>
            </w:r>
          </w:p>
        </w:tc>
      </w:tr>
      <w:tr w:rsidR="004B11CD" w:rsidRPr="00B90B78" w14:paraId="675633D1" w14:textId="77777777" w:rsidTr="001C316F">
        <w:trPr>
          <w:trHeight w:val="323"/>
        </w:trPr>
        <w:tc>
          <w:tcPr>
            <w:tcW w:w="1387" w:type="pct"/>
            <w:noWrap/>
          </w:tcPr>
          <w:p w14:paraId="72698C8E" w14:textId="77777777" w:rsidR="004B11CD" w:rsidRPr="00902B35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 w:rsidRPr="00902B35">
              <w:rPr>
                <w:rFonts w:ascii="Aptos" w:eastAsia="Times New Roman" w:hAnsi="Aptos" w:cstheme="minorHAnsi"/>
                <w:b/>
                <w:bCs/>
              </w:rPr>
              <w:t>≥65 years</w:t>
            </w:r>
          </w:p>
        </w:tc>
        <w:tc>
          <w:tcPr>
            <w:tcW w:w="670" w:type="pct"/>
          </w:tcPr>
          <w:p w14:paraId="5642099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89" w:type="pct"/>
          </w:tcPr>
          <w:p w14:paraId="3E75BB6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70" w:type="pct"/>
          </w:tcPr>
          <w:p w14:paraId="45A2E29D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590" w:type="pct"/>
          </w:tcPr>
          <w:p w14:paraId="14DC817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309" w:type="pct"/>
            <w:noWrap/>
          </w:tcPr>
          <w:p w14:paraId="6A5FA9A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785" w:type="pct"/>
            <w:noWrap/>
          </w:tcPr>
          <w:p w14:paraId="72FCCD2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4C184FF0" w14:textId="77777777" w:rsidTr="001C316F">
        <w:trPr>
          <w:trHeight w:val="323"/>
        </w:trPr>
        <w:tc>
          <w:tcPr>
            <w:tcW w:w="1387" w:type="pct"/>
            <w:noWrap/>
          </w:tcPr>
          <w:p w14:paraId="710EC80B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 xml:space="preserve">14–59 </w:t>
            </w:r>
          </w:p>
        </w:tc>
        <w:tc>
          <w:tcPr>
            <w:tcW w:w="670" w:type="pct"/>
          </w:tcPr>
          <w:p w14:paraId="5F1D362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72</w:t>
            </w:r>
          </w:p>
        </w:tc>
        <w:tc>
          <w:tcPr>
            <w:tcW w:w="589" w:type="pct"/>
          </w:tcPr>
          <w:p w14:paraId="7EB315DC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10 (14)</w:t>
            </w:r>
          </w:p>
        </w:tc>
        <w:tc>
          <w:tcPr>
            <w:tcW w:w="670" w:type="pct"/>
          </w:tcPr>
          <w:p w14:paraId="375A92C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383</w:t>
            </w:r>
          </w:p>
        </w:tc>
        <w:tc>
          <w:tcPr>
            <w:tcW w:w="590" w:type="pct"/>
          </w:tcPr>
          <w:p w14:paraId="28BCDD71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116 (30)</w:t>
            </w:r>
          </w:p>
        </w:tc>
        <w:tc>
          <w:tcPr>
            <w:tcW w:w="309" w:type="pct"/>
            <w:noWrap/>
          </w:tcPr>
          <w:p w14:paraId="7087FE08" w14:textId="77777777" w:rsidR="004B11CD" w:rsidRPr="0066057B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63</w:t>
            </w:r>
            <w:r>
              <w:rPr>
                <w:rFonts w:ascii="Aptos" w:eastAsia="Times New Roman" w:hAnsi="Aptos" w:cstheme="minorHAnsi"/>
                <w:vertAlign w:val="superscript"/>
              </w:rPr>
              <w:t>b</w:t>
            </w:r>
          </w:p>
        </w:tc>
        <w:tc>
          <w:tcPr>
            <w:tcW w:w="785" w:type="pct"/>
            <w:noWrap/>
          </w:tcPr>
          <w:p w14:paraId="2C296BC6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(28 to 83)</w:t>
            </w:r>
          </w:p>
        </w:tc>
      </w:tr>
      <w:tr w:rsidR="004B11CD" w:rsidRPr="00B90B78" w14:paraId="4D03D086" w14:textId="77777777" w:rsidTr="001C316F">
        <w:trPr>
          <w:trHeight w:val="323"/>
        </w:trPr>
        <w:tc>
          <w:tcPr>
            <w:tcW w:w="1387" w:type="pct"/>
            <w:noWrap/>
          </w:tcPr>
          <w:p w14:paraId="5BBF8F31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60–120</w:t>
            </w:r>
          </w:p>
        </w:tc>
        <w:tc>
          <w:tcPr>
            <w:tcW w:w="670" w:type="pct"/>
          </w:tcPr>
          <w:p w14:paraId="5EE51EF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98</w:t>
            </w:r>
          </w:p>
        </w:tc>
        <w:tc>
          <w:tcPr>
            <w:tcW w:w="589" w:type="pct"/>
          </w:tcPr>
          <w:p w14:paraId="16E1031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36 (37)</w:t>
            </w:r>
          </w:p>
        </w:tc>
        <w:tc>
          <w:tcPr>
            <w:tcW w:w="670" w:type="pct"/>
          </w:tcPr>
          <w:p w14:paraId="513FF5F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493</w:t>
            </w:r>
          </w:p>
        </w:tc>
        <w:tc>
          <w:tcPr>
            <w:tcW w:w="590" w:type="pct"/>
          </w:tcPr>
          <w:p w14:paraId="1DCB436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226 (46)</w:t>
            </w:r>
          </w:p>
        </w:tc>
        <w:tc>
          <w:tcPr>
            <w:tcW w:w="309" w:type="pct"/>
            <w:noWrap/>
          </w:tcPr>
          <w:p w14:paraId="19E5448C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15</w:t>
            </w:r>
          </w:p>
        </w:tc>
        <w:tc>
          <w:tcPr>
            <w:tcW w:w="785" w:type="pct"/>
            <w:noWrap/>
          </w:tcPr>
          <w:p w14:paraId="0B8373F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(-37 to 48)</w:t>
            </w:r>
          </w:p>
        </w:tc>
      </w:tr>
      <w:tr w:rsidR="004B11CD" w:rsidRPr="00B90B78" w14:paraId="5DEB6C97" w14:textId="77777777" w:rsidTr="001C316F">
        <w:trPr>
          <w:trHeight w:val="323"/>
        </w:trPr>
        <w:tc>
          <w:tcPr>
            <w:tcW w:w="1387" w:type="pct"/>
            <w:noWrap/>
          </w:tcPr>
          <w:p w14:paraId="266374B4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 w:rsidRPr="00B90B78">
              <w:rPr>
                <w:rFonts w:ascii="Aptos" w:eastAsia="Times New Roman" w:hAnsi="Aptos" w:cstheme="minorHAnsi"/>
              </w:rPr>
              <w:t xml:space="preserve">   </w:t>
            </w:r>
            <w:r>
              <w:rPr>
                <w:rFonts w:ascii="Aptos" w:eastAsia="Times New Roman" w:hAnsi="Aptos" w:cstheme="minorHAnsi"/>
              </w:rPr>
              <w:t>&gt;120</w:t>
            </w:r>
          </w:p>
        </w:tc>
        <w:tc>
          <w:tcPr>
            <w:tcW w:w="670" w:type="pct"/>
          </w:tcPr>
          <w:p w14:paraId="5080F6EE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96</w:t>
            </w:r>
          </w:p>
        </w:tc>
        <w:tc>
          <w:tcPr>
            <w:tcW w:w="589" w:type="pct"/>
          </w:tcPr>
          <w:p w14:paraId="7E8DE49F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34 (35)</w:t>
            </w:r>
          </w:p>
        </w:tc>
        <w:tc>
          <w:tcPr>
            <w:tcW w:w="670" w:type="pct"/>
          </w:tcPr>
          <w:p w14:paraId="248891A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453</w:t>
            </w:r>
          </w:p>
        </w:tc>
        <w:tc>
          <w:tcPr>
            <w:tcW w:w="590" w:type="pct"/>
          </w:tcPr>
          <w:p w14:paraId="2647E70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186 (41)</w:t>
            </w:r>
          </w:p>
        </w:tc>
        <w:tc>
          <w:tcPr>
            <w:tcW w:w="309" w:type="pct"/>
            <w:noWrap/>
          </w:tcPr>
          <w:p w14:paraId="2F76654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</w:t>
            </w:r>
          </w:p>
        </w:tc>
        <w:tc>
          <w:tcPr>
            <w:tcW w:w="785" w:type="pct"/>
            <w:noWrap/>
          </w:tcPr>
          <w:p w14:paraId="6C1788E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(-35 to 51)</w:t>
            </w:r>
          </w:p>
        </w:tc>
      </w:tr>
    </w:tbl>
    <w:p w14:paraId="2BB1CE13" w14:textId="77777777" w:rsidR="004B11CD" w:rsidRPr="00B90B78" w:rsidRDefault="004B11CD" w:rsidP="004B11CD">
      <w:pPr>
        <w:spacing w:after="0"/>
        <w:rPr>
          <w:rFonts w:ascii="Aptos" w:hAnsi="Aptos" w:cstheme="minorHAnsi"/>
        </w:rPr>
      </w:pPr>
      <w:r w:rsidRPr="00B90B78">
        <w:rPr>
          <w:rFonts w:ascii="Aptos" w:hAnsi="Aptos" w:cstheme="minorHAnsi"/>
        </w:rPr>
        <w:t>Abbreviations: CI, confidence interval</w:t>
      </w:r>
      <w:r>
        <w:rPr>
          <w:rFonts w:ascii="Aptos" w:hAnsi="Aptos" w:cstheme="minorHAnsi"/>
        </w:rPr>
        <w:t>; VE, vaccine effectiveness</w:t>
      </w:r>
    </w:p>
    <w:p w14:paraId="5F3B73FC" w14:textId="77777777" w:rsidR="004B11CD" w:rsidRPr="00B90B78" w:rsidRDefault="004B11CD" w:rsidP="004B11CD">
      <w:pPr>
        <w:spacing w:after="0"/>
        <w:rPr>
          <w:rFonts w:ascii="Aptos" w:hAnsi="Aptos" w:cstheme="minorHAnsi"/>
        </w:rPr>
      </w:pPr>
      <w:r w:rsidRPr="00B90B78">
        <w:rPr>
          <w:rFonts w:ascii="Aptos" w:hAnsi="Aptos" w:cstheme="minorHAnsi"/>
          <w:vertAlign w:val="superscript"/>
        </w:rPr>
        <w:t>a</w:t>
      </w:r>
      <w:r w:rsidRPr="00B90B78">
        <w:rPr>
          <w:rFonts w:ascii="Aptos" w:hAnsi="Aptos" w:cstheme="minorHAnsi"/>
        </w:rPr>
        <w:t xml:space="preserve"> Models adjusted </w:t>
      </w:r>
      <w:r>
        <w:rPr>
          <w:rFonts w:ascii="Aptos" w:hAnsi="Aptos" w:cstheme="minorHAnsi"/>
        </w:rPr>
        <w:t>fo</w:t>
      </w:r>
      <w:r w:rsidRPr="00B865AF">
        <w:rPr>
          <w:rFonts w:ascii="Aptos" w:hAnsi="Aptos" w:cstheme="minorHAnsi"/>
        </w:rPr>
        <w:t xml:space="preserve">r study site, age, </w:t>
      </w:r>
      <w:r>
        <w:rPr>
          <w:rFonts w:ascii="Aptos" w:hAnsi="Aptos" w:cstheme="minorHAnsi"/>
        </w:rPr>
        <w:t>presence of ≥1 underlying health condition,</w:t>
      </w:r>
      <w:r w:rsidRPr="00B865AF">
        <w:rPr>
          <w:rFonts w:ascii="Aptos" w:hAnsi="Aptos" w:cstheme="minorHAnsi"/>
        </w:rPr>
        <w:t xml:space="preserve"> and month of illness onset.</w:t>
      </w:r>
      <w:r>
        <w:rPr>
          <w:rFonts w:ascii="Aptos" w:hAnsi="Aptos" w:cstheme="minorHAnsi"/>
        </w:rPr>
        <w:t xml:space="preserve">  95% confidence intervals that exclude</w:t>
      </w:r>
      <w:r w:rsidRPr="00B90B78">
        <w:rPr>
          <w:rFonts w:ascii="Aptos" w:hAnsi="Aptos" w:cstheme="minorHAnsi"/>
        </w:rPr>
        <w:t xml:space="preserve"> 0</w:t>
      </w:r>
      <w:r>
        <w:rPr>
          <w:rFonts w:ascii="Aptos" w:hAnsi="Aptos" w:cstheme="minorHAnsi"/>
        </w:rPr>
        <w:t xml:space="preserve">% </w:t>
      </w:r>
      <w:r w:rsidRPr="00B90B78">
        <w:rPr>
          <w:rFonts w:ascii="Aptos" w:hAnsi="Aptos" w:cstheme="minorHAnsi"/>
        </w:rPr>
        <w:t xml:space="preserve">are considered statistically </w:t>
      </w:r>
      <w:proofErr w:type="gramStart"/>
      <w:r w:rsidRPr="00B90B78">
        <w:rPr>
          <w:rFonts w:ascii="Aptos" w:hAnsi="Aptos" w:cstheme="minorHAnsi"/>
        </w:rPr>
        <w:t>significant</w:t>
      </w:r>
      <w:proofErr w:type="gramEnd"/>
    </w:p>
    <w:p w14:paraId="06DD7686" w14:textId="77777777" w:rsidR="004B11CD" w:rsidRPr="0066057B" w:rsidRDefault="004B11CD" w:rsidP="004B11CD">
      <w:pPr>
        <w:spacing w:line="480" w:lineRule="auto"/>
        <w:rPr>
          <w:rFonts w:ascii="Aptos" w:hAnsi="Aptos" w:cstheme="minorHAnsi"/>
          <w:bCs/>
        </w:rPr>
      </w:pPr>
      <w:r>
        <w:rPr>
          <w:rFonts w:ascii="Aptos" w:hAnsi="Aptos" w:cstheme="minorHAnsi"/>
          <w:bCs/>
          <w:vertAlign w:val="superscript"/>
        </w:rPr>
        <w:t xml:space="preserve">b </w:t>
      </w:r>
      <w:r>
        <w:rPr>
          <w:rFonts w:ascii="Aptos" w:hAnsi="Aptos" w:cstheme="minorHAnsi"/>
          <w:bCs/>
        </w:rPr>
        <w:t>Unadjusted due to small sample size</w:t>
      </w:r>
    </w:p>
    <w:p w14:paraId="79189C56" w14:textId="77777777" w:rsidR="004B11CD" w:rsidRDefault="004B11CD" w:rsidP="004B11CD">
      <w:pPr>
        <w:spacing w:line="480" w:lineRule="auto"/>
        <w:rPr>
          <w:rFonts w:ascii="Aptos" w:hAnsi="Aptos" w:cstheme="minorHAnsi"/>
        </w:rPr>
      </w:pPr>
      <w:r>
        <w:rPr>
          <w:rFonts w:ascii="Aptos" w:hAnsi="Aptos" w:cstheme="minorHAnsi"/>
        </w:rPr>
        <w:br w:type="page"/>
      </w:r>
    </w:p>
    <w:p w14:paraId="40328F25" w14:textId="77777777" w:rsidR="004B11CD" w:rsidRDefault="004B11CD" w:rsidP="004B11CD">
      <w:pPr>
        <w:spacing w:after="0" w:line="480" w:lineRule="auto"/>
        <w:rPr>
          <w:rFonts w:ascii="Aptos" w:hAnsi="Aptos" w:cstheme="minorHAnsi"/>
        </w:rPr>
      </w:pPr>
      <w:r w:rsidRPr="00E53FA7">
        <w:rPr>
          <w:rFonts w:ascii="Aptos" w:hAnsi="Aptos" w:cstheme="minorHAnsi"/>
          <w:b/>
          <w:bCs/>
        </w:rPr>
        <w:lastRenderedPageBreak/>
        <w:t>Supplemental Table 3</w:t>
      </w:r>
      <w:r>
        <w:rPr>
          <w:rFonts w:ascii="Aptos" w:hAnsi="Aptos" w:cstheme="minorHAnsi"/>
        </w:rPr>
        <w:t>. Sensitivity analyses of vaccine effectiveness against any influenza among participants of all ages</w:t>
      </w:r>
    </w:p>
    <w:tbl>
      <w:tblPr>
        <w:tblStyle w:val="TableGrid"/>
        <w:tblW w:w="5086" w:type="pct"/>
        <w:tblLook w:val="04A0" w:firstRow="1" w:lastRow="0" w:firstColumn="1" w:lastColumn="0" w:noHBand="0" w:noVBand="1"/>
      </w:tblPr>
      <w:tblGrid>
        <w:gridCol w:w="6307"/>
        <w:gridCol w:w="1123"/>
        <w:gridCol w:w="1352"/>
        <w:gridCol w:w="1123"/>
        <w:gridCol w:w="1373"/>
        <w:gridCol w:w="709"/>
        <w:gridCol w:w="1918"/>
      </w:tblGrid>
      <w:tr w:rsidR="004B11CD" w:rsidRPr="00B90B78" w14:paraId="20931912" w14:textId="77777777" w:rsidTr="001C3C1D">
        <w:trPr>
          <w:trHeight w:val="646"/>
        </w:trPr>
        <w:tc>
          <w:tcPr>
            <w:tcW w:w="2271" w:type="pct"/>
            <w:noWrap/>
            <w:hideMark/>
          </w:tcPr>
          <w:p w14:paraId="6EAA5AAD" w14:textId="77777777" w:rsidR="004B11CD" w:rsidRPr="007B050E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 w:rsidRPr="00B90B78">
              <w:rPr>
                <w:rFonts w:ascii="Aptos" w:eastAsia="Times New Roman" w:hAnsi="Aptos" w:cstheme="minorHAnsi"/>
              </w:rPr>
              <w:t> </w:t>
            </w:r>
          </w:p>
        </w:tc>
        <w:tc>
          <w:tcPr>
            <w:tcW w:w="882" w:type="pct"/>
            <w:gridSpan w:val="2"/>
            <w:hideMark/>
          </w:tcPr>
          <w:p w14:paraId="18658FB1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Influenza Positive (Cases)</w:t>
            </w:r>
          </w:p>
        </w:tc>
        <w:tc>
          <w:tcPr>
            <w:tcW w:w="903" w:type="pct"/>
            <w:gridSpan w:val="2"/>
            <w:hideMark/>
          </w:tcPr>
          <w:p w14:paraId="0B46420F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Influenza Negative (Controls)</w:t>
            </w:r>
          </w:p>
        </w:tc>
        <w:tc>
          <w:tcPr>
            <w:tcW w:w="944" w:type="pct"/>
            <w:gridSpan w:val="2"/>
            <w:noWrap/>
            <w:hideMark/>
          </w:tcPr>
          <w:p w14:paraId="2160FB3D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 xml:space="preserve">Vaccine </w:t>
            </w:r>
            <w:proofErr w:type="spellStart"/>
            <w:r w:rsidRPr="004E270D">
              <w:rPr>
                <w:rFonts w:ascii="Aptos" w:eastAsia="Times New Roman" w:hAnsi="Aptos" w:cstheme="minorHAnsi"/>
                <w:b/>
                <w:bCs/>
              </w:rPr>
              <w:t>Effectiveness</w:t>
            </w:r>
            <w:r w:rsidRPr="004E270D">
              <w:rPr>
                <w:rFonts w:ascii="Aptos" w:eastAsia="Times New Roman" w:hAnsi="Aptos" w:cstheme="minorHAnsi"/>
                <w:b/>
                <w:bCs/>
                <w:vertAlign w:val="superscript"/>
              </w:rPr>
              <w:t>a</w:t>
            </w:r>
            <w:proofErr w:type="spellEnd"/>
          </w:p>
        </w:tc>
      </w:tr>
      <w:tr w:rsidR="004B11CD" w:rsidRPr="00B90B78" w14:paraId="6D0E2B25" w14:textId="77777777" w:rsidTr="001C3C1D">
        <w:trPr>
          <w:trHeight w:val="646"/>
        </w:trPr>
        <w:tc>
          <w:tcPr>
            <w:tcW w:w="2271" w:type="pct"/>
            <w:noWrap/>
            <w:hideMark/>
          </w:tcPr>
          <w:p w14:paraId="46358D13" w14:textId="77777777" w:rsidR="004B11CD" w:rsidRPr="00AE7FEE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 xml:space="preserve">    Sensitivity Analysis</w:t>
            </w:r>
          </w:p>
        </w:tc>
        <w:tc>
          <w:tcPr>
            <w:tcW w:w="407" w:type="pct"/>
            <w:hideMark/>
          </w:tcPr>
          <w:p w14:paraId="0F71DAF6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Total</w:t>
            </w:r>
          </w:p>
        </w:tc>
        <w:tc>
          <w:tcPr>
            <w:tcW w:w="475" w:type="pct"/>
            <w:hideMark/>
          </w:tcPr>
          <w:p w14:paraId="1DE9C6AB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 xml:space="preserve">No. </w:t>
            </w:r>
            <w:r w:rsidRPr="004E270D">
              <w:rPr>
                <w:rFonts w:ascii="Aptos" w:eastAsia="Times New Roman" w:hAnsi="Aptos" w:cstheme="minorHAnsi"/>
                <w:b/>
                <w:bCs/>
              </w:rPr>
              <w:t>Vaccinated</w:t>
            </w:r>
            <w:r>
              <w:rPr>
                <w:rFonts w:ascii="Aptos" w:eastAsia="Times New Roman" w:hAnsi="Aptos" w:cstheme="minorHAnsi"/>
                <w:b/>
                <w:bCs/>
              </w:rPr>
              <w:t xml:space="preserve"> (%)</w:t>
            </w:r>
          </w:p>
        </w:tc>
        <w:tc>
          <w:tcPr>
            <w:tcW w:w="407" w:type="pct"/>
            <w:hideMark/>
          </w:tcPr>
          <w:p w14:paraId="2C77438C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Total</w:t>
            </w:r>
          </w:p>
        </w:tc>
        <w:tc>
          <w:tcPr>
            <w:tcW w:w="497" w:type="pct"/>
            <w:hideMark/>
          </w:tcPr>
          <w:p w14:paraId="766718E3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 xml:space="preserve">No. </w:t>
            </w:r>
            <w:r w:rsidRPr="004E270D">
              <w:rPr>
                <w:rFonts w:ascii="Aptos" w:eastAsia="Times New Roman" w:hAnsi="Aptos" w:cstheme="minorHAnsi"/>
                <w:b/>
                <w:bCs/>
              </w:rPr>
              <w:t>Vaccinated</w:t>
            </w:r>
            <w:r>
              <w:rPr>
                <w:rFonts w:ascii="Aptos" w:eastAsia="Times New Roman" w:hAnsi="Aptos" w:cstheme="minorHAnsi"/>
                <w:b/>
                <w:bCs/>
              </w:rPr>
              <w:t xml:space="preserve"> (%)</w:t>
            </w:r>
          </w:p>
        </w:tc>
        <w:tc>
          <w:tcPr>
            <w:tcW w:w="250" w:type="pct"/>
            <w:noWrap/>
            <w:hideMark/>
          </w:tcPr>
          <w:p w14:paraId="6C32C428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VE %</w:t>
            </w:r>
          </w:p>
        </w:tc>
        <w:tc>
          <w:tcPr>
            <w:tcW w:w="694" w:type="pct"/>
            <w:noWrap/>
            <w:hideMark/>
          </w:tcPr>
          <w:p w14:paraId="729C30EF" w14:textId="77777777" w:rsidR="004B11CD" w:rsidRPr="004E270D" w:rsidRDefault="004B11CD" w:rsidP="001C316F">
            <w:pPr>
              <w:jc w:val="center"/>
              <w:rPr>
                <w:rFonts w:ascii="Aptos" w:eastAsia="Times New Roman" w:hAnsi="Aptos" w:cstheme="minorHAnsi"/>
                <w:b/>
                <w:bCs/>
              </w:rPr>
            </w:pPr>
            <w:r w:rsidRPr="004E270D">
              <w:rPr>
                <w:rFonts w:ascii="Aptos" w:eastAsia="Times New Roman" w:hAnsi="Aptos" w:cstheme="minorHAnsi"/>
                <w:b/>
                <w:bCs/>
              </w:rPr>
              <w:t>(95% CI)</w:t>
            </w:r>
          </w:p>
        </w:tc>
      </w:tr>
      <w:tr w:rsidR="004B11CD" w:rsidRPr="00B90B78" w14:paraId="7B7CE1EF" w14:textId="77777777" w:rsidTr="001C3C1D">
        <w:trPr>
          <w:trHeight w:val="323"/>
        </w:trPr>
        <w:tc>
          <w:tcPr>
            <w:tcW w:w="2271" w:type="pct"/>
            <w:noWrap/>
          </w:tcPr>
          <w:p w14:paraId="539A210D" w14:textId="77777777" w:rsidR="004B11CD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>Primary analysis</w:t>
            </w:r>
          </w:p>
        </w:tc>
        <w:tc>
          <w:tcPr>
            <w:tcW w:w="407" w:type="pct"/>
          </w:tcPr>
          <w:p w14:paraId="5AF2DE3E" w14:textId="3A9F8393" w:rsidR="004B11CD" w:rsidRPr="00B90B78" w:rsidRDefault="00E7299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1780</w:t>
            </w:r>
          </w:p>
        </w:tc>
        <w:tc>
          <w:tcPr>
            <w:tcW w:w="475" w:type="pct"/>
          </w:tcPr>
          <w:p w14:paraId="3244C74B" w14:textId="6D2405A6" w:rsidR="004B11CD" w:rsidRPr="00B90B78" w:rsidRDefault="00E7299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439</w:t>
            </w:r>
            <w:r>
              <w:rPr>
                <w:rFonts w:ascii="Aptos" w:eastAsia="Times New Roman" w:hAnsi="Aptos" w:cstheme="minorHAnsi"/>
              </w:rPr>
              <w:t xml:space="preserve"> </w:t>
            </w:r>
            <w:r w:rsidR="004B11CD">
              <w:rPr>
                <w:rFonts w:ascii="Aptos" w:eastAsia="Times New Roman" w:hAnsi="Aptos" w:cstheme="minorHAnsi"/>
              </w:rPr>
              <w:t>(2</w:t>
            </w:r>
            <w:r>
              <w:rPr>
                <w:rFonts w:ascii="Aptos" w:eastAsia="Times New Roman" w:hAnsi="Aptos" w:cstheme="minorHAnsi"/>
              </w:rPr>
              <w:t>5</w:t>
            </w:r>
            <w:r w:rsidR="004B11CD">
              <w:rPr>
                <w:rFonts w:ascii="Aptos" w:eastAsia="Times New Roman" w:hAnsi="Aptos" w:cstheme="minorHAnsi"/>
              </w:rPr>
              <w:t>)</w:t>
            </w:r>
          </w:p>
        </w:tc>
        <w:tc>
          <w:tcPr>
            <w:tcW w:w="407" w:type="pct"/>
          </w:tcPr>
          <w:p w14:paraId="139E48C3" w14:textId="19F99C74" w:rsidR="004B11CD" w:rsidRPr="00B90B78" w:rsidRDefault="00E7299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4849</w:t>
            </w:r>
          </w:p>
        </w:tc>
        <w:tc>
          <w:tcPr>
            <w:tcW w:w="497" w:type="pct"/>
          </w:tcPr>
          <w:p w14:paraId="3A5A2360" w14:textId="01A76A6A" w:rsidR="004B11CD" w:rsidRPr="00B90B78" w:rsidRDefault="00E7299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1993</w:t>
            </w:r>
            <w:r>
              <w:rPr>
                <w:rFonts w:ascii="Aptos" w:eastAsia="Times New Roman" w:hAnsi="Aptos" w:cstheme="minorHAnsi"/>
              </w:rPr>
              <w:t xml:space="preserve"> </w:t>
            </w:r>
            <w:r w:rsidR="004B11CD">
              <w:rPr>
                <w:rFonts w:ascii="Aptos" w:eastAsia="Times New Roman" w:hAnsi="Aptos" w:cstheme="minorHAnsi"/>
              </w:rPr>
              <w:t>(</w:t>
            </w:r>
            <w:r>
              <w:rPr>
                <w:rFonts w:ascii="Aptos" w:eastAsia="Times New Roman" w:hAnsi="Aptos" w:cstheme="minorHAnsi"/>
              </w:rPr>
              <w:t>41</w:t>
            </w:r>
            <w:r w:rsidR="004B11CD">
              <w:rPr>
                <w:rFonts w:ascii="Aptos" w:eastAsia="Times New Roman" w:hAnsi="Aptos" w:cstheme="minorHAnsi"/>
              </w:rPr>
              <w:t>)</w:t>
            </w:r>
          </w:p>
        </w:tc>
        <w:tc>
          <w:tcPr>
            <w:tcW w:w="250" w:type="pct"/>
            <w:noWrap/>
          </w:tcPr>
          <w:p w14:paraId="2F0BFF1B" w14:textId="0EAA0DF2" w:rsidR="004B11CD" w:rsidRPr="00B90B78" w:rsidRDefault="00E7299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</w:t>
            </w:r>
          </w:p>
        </w:tc>
        <w:tc>
          <w:tcPr>
            <w:tcW w:w="694" w:type="pct"/>
            <w:noWrap/>
          </w:tcPr>
          <w:p w14:paraId="7A46717E" w14:textId="053F0BE4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</w:t>
            </w:r>
            <w:r w:rsidR="00E72999">
              <w:rPr>
                <w:rFonts w:ascii="Aptos" w:eastAsia="Times New Roman" w:hAnsi="Aptos" w:cstheme="minorHAnsi"/>
              </w:rPr>
              <w:t>36</w:t>
            </w:r>
            <w:r w:rsidR="00E72999">
              <w:rPr>
                <w:rFonts w:ascii="Aptos" w:eastAsia="Times New Roman" w:hAnsi="Aptos" w:cstheme="minorHAnsi"/>
              </w:rPr>
              <w:t xml:space="preserve"> </w:t>
            </w:r>
            <w:r>
              <w:rPr>
                <w:rFonts w:ascii="Aptos" w:eastAsia="Times New Roman" w:hAnsi="Aptos" w:cstheme="minorHAnsi"/>
              </w:rPr>
              <w:t xml:space="preserve">to </w:t>
            </w:r>
            <w:r w:rsidR="00E72999">
              <w:rPr>
                <w:rFonts w:ascii="Aptos" w:eastAsia="Times New Roman" w:hAnsi="Aptos" w:cstheme="minorHAnsi"/>
              </w:rPr>
              <w:t>51</w:t>
            </w:r>
            <w:r>
              <w:rPr>
                <w:rFonts w:ascii="Aptos" w:eastAsia="Times New Roman" w:hAnsi="Aptos" w:cstheme="minorHAnsi"/>
              </w:rPr>
              <w:t>)</w:t>
            </w:r>
          </w:p>
        </w:tc>
      </w:tr>
      <w:tr w:rsidR="004B11CD" w:rsidRPr="00B90B78" w14:paraId="77915D40" w14:textId="77777777" w:rsidTr="001C3C1D">
        <w:trPr>
          <w:trHeight w:val="323"/>
        </w:trPr>
        <w:tc>
          <w:tcPr>
            <w:tcW w:w="2271" w:type="pct"/>
            <w:noWrap/>
          </w:tcPr>
          <w:p w14:paraId="00F49513" w14:textId="77777777" w:rsidR="004B11CD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</w:p>
        </w:tc>
        <w:tc>
          <w:tcPr>
            <w:tcW w:w="407" w:type="pct"/>
          </w:tcPr>
          <w:p w14:paraId="4207A82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75" w:type="pct"/>
          </w:tcPr>
          <w:p w14:paraId="3AC9FCF7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07" w:type="pct"/>
          </w:tcPr>
          <w:p w14:paraId="71FA6226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97" w:type="pct"/>
          </w:tcPr>
          <w:p w14:paraId="2D94448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250" w:type="pct"/>
            <w:noWrap/>
          </w:tcPr>
          <w:p w14:paraId="2C15476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94" w:type="pct"/>
            <w:noWrap/>
          </w:tcPr>
          <w:p w14:paraId="4761374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58D86AEB" w14:textId="77777777" w:rsidTr="001C3C1D">
        <w:trPr>
          <w:trHeight w:val="323"/>
        </w:trPr>
        <w:tc>
          <w:tcPr>
            <w:tcW w:w="2271" w:type="pct"/>
            <w:noWrap/>
          </w:tcPr>
          <w:p w14:paraId="1EB359A3" w14:textId="77777777" w:rsidR="004B11CD" w:rsidRPr="00E53FA7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>Varying exposure information source</w:t>
            </w:r>
          </w:p>
        </w:tc>
        <w:tc>
          <w:tcPr>
            <w:tcW w:w="407" w:type="pct"/>
          </w:tcPr>
          <w:p w14:paraId="61827F9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75" w:type="pct"/>
          </w:tcPr>
          <w:p w14:paraId="666547E6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07" w:type="pct"/>
          </w:tcPr>
          <w:p w14:paraId="56843B6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97" w:type="pct"/>
          </w:tcPr>
          <w:p w14:paraId="29E82AD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250" w:type="pct"/>
            <w:noWrap/>
          </w:tcPr>
          <w:p w14:paraId="4ABFA7E9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94" w:type="pct"/>
            <w:noWrap/>
          </w:tcPr>
          <w:p w14:paraId="3599658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531780DB" w14:textId="77777777" w:rsidTr="001C3C1D">
        <w:trPr>
          <w:trHeight w:val="323"/>
        </w:trPr>
        <w:tc>
          <w:tcPr>
            <w:tcW w:w="2271" w:type="pct"/>
            <w:noWrap/>
          </w:tcPr>
          <w:p w14:paraId="018A9DC7" w14:textId="77777777" w:rsidR="004B11CD" w:rsidRPr="00E53FA7" w:rsidRDefault="004B11CD" w:rsidP="001C316F">
            <w:pPr>
              <w:rPr>
                <w:rFonts w:ascii="Aptos" w:eastAsia="Times New Roman" w:hAnsi="Aptos" w:cstheme="minorHAnsi"/>
              </w:rPr>
            </w:pPr>
            <w:r w:rsidRPr="00E53FA7">
              <w:rPr>
                <w:rFonts w:ascii="Aptos" w:eastAsia="Times New Roman" w:hAnsi="Aptos" w:cstheme="minorHAnsi"/>
              </w:rPr>
              <w:t>Defining vaccination status using self-reported information only</w:t>
            </w:r>
          </w:p>
        </w:tc>
        <w:tc>
          <w:tcPr>
            <w:tcW w:w="407" w:type="pct"/>
          </w:tcPr>
          <w:p w14:paraId="3DD39E0E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1693</w:t>
            </w:r>
          </w:p>
        </w:tc>
        <w:tc>
          <w:tcPr>
            <w:tcW w:w="475" w:type="pct"/>
          </w:tcPr>
          <w:p w14:paraId="7A6352DB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421 (25)</w:t>
            </w:r>
          </w:p>
        </w:tc>
        <w:tc>
          <w:tcPr>
            <w:tcW w:w="407" w:type="pct"/>
          </w:tcPr>
          <w:p w14:paraId="4F6E83B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4461</w:t>
            </w:r>
          </w:p>
        </w:tc>
        <w:tc>
          <w:tcPr>
            <w:tcW w:w="497" w:type="pct"/>
          </w:tcPr>
          <w:p w14:paraId="5DBFA32C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1710 (38)</w:t>
            </w:r>
          </w:p>
        </w:tc>
        <w:tc>
          <w:tcPr>
            <w:tcW w:w="250" w:type="pct"/>
            <w:noWrap/>
          </w:tcPr>
          <w:p w14:paraId="1BE3C8D2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32</w:t>
            </w:r>
          </w:p>
        </w:tc>
        <w:tc>
          <w:tcPr>
            <w:tcW w:w="694" w:type="pct"/>
            <w:noWrap/>
          </w:tcPr>
          <w:p w14:paraId="0C9BE11B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(21 to 41)</w:t>
            </w:r>
          </w:p>
        </w:tc>
      </w:tr>
      <w:tr w:rsidR="004B11CD" w:rsidRPr="00B90B78" w14:paraId="5B314813" w14:textId="77777777" w:rsidTr="001C3C1D">
        <w:trPr>
          <w:trHeight w:val="323"/>
        </w:trPr>
        <w:tc>
          <w:tcPr>
            <w:tcW w:w="2271" w:type="pct"/>
            <w:noWrap/>
          </w:tcPr>
          <w:p w14:paraId="47B7264D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Defining vaccination status using documented information only</w:t>
            </w:r>
          </w:p>
        </w:tc>
        <w:tc>
          <w:tcPr>
            <w:tcW w:w="407" w:type="pct"/>
          </w:tcPr>
          <w:p w14:paraId="5845428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1801</w:t>
            </w:r>
          </w:p>
        </w:tc>
        <w:tc>
          <w:tcPr>
            <w:tcW w:w="475" w:type="pct"/>
          </w:tcPr>
          <w:p w14:paraId="7415CD6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340 (19)</w:t>
            </w:r>
          </w:p>
        </w:tc>
        <w:tc>
          <w:tcPr>
            <w:tcW w:w="407" w:type="pct"/>
          </w:tcPr>
          <w:p w14:paraId="037576CF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4927</w:t>
            </w:r>
          </w:p>
        </w:tc>
        <w:tc>
          <w:tcPr>
            <w:tcW w:w="497" w:type="pct"/>
          </w:tcPr>
          <w:p w14:paraId="4C5B91E1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1746 (35)</w:t>
            </w:r>
          </w:p>
        </w:tc>
        <w:tc>
          <w:tcPr>
            <w:tcW w:w="250" w:type="pct"/>
            <w:noWrap/>
          </w:tcPr>
          <w:p w14:paraId="6FF844CB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</w:t>
            </w:r>
          </w:p>
        </w:tc>
        <w:tc>
          <w:tcPr>
            <w:tcW w:w="694" w:type="pct"/>
            <w:noWrap/>
          </w:tcPr>
          <w:p w14:paraId="22741AB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(35 to 52)</w:t>
            </w:r>
          </w:p>
        </w:tc>
      </w:tr>
      <w:tr w:rsidR="004B11CD" w:rsidRPr="00B90B78" w14:paraId="3F4C31CA" w14:textId="77777777" w:rsidTr="001C3C1D">
        <w:trPr>
          <w:trHeight w:val="323"/>
        </w:trPr>
        <w:tc>
          <w:tcPr>
            <w:tcW w:w="2271" w:type="pct"/>
            <w:noWrap/>
          </w:tcPr>
          <w:p w14:paraId="0CA6F532" w14:textId="77777777" w:rsidR="004B11CD" w:rsidRDefault="004B11CD" w:rsidP="001C316F">
            <w:pPr>
              <w:rPr>
                <w:rFonts w:ascii="Aptos" w:eastAsia="Times New Roman" w:hAnsi="Aptos" w:cstheme="minorHAnsi"/>
              </w:rPr>
            </w:pPr>
          </w:p>
        </w:tc>
        <w:tc>
          <w:tcPr>
            <w:tcW w:w="407" w:type="pct"/>
          </w:tcPr>
          <w:p w14:paraId="7C192F0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75" w:type="pct"/>
          </w:tcPr>
          <w:p w14:paraId="6D2E9575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07" w:type="pct"/>
          </w:tcPr>
          <w:p w14:paraId="2F28890A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97" w:type="pct"/>
          </w:tcPr>
          <w:p w14:paraId="411E0EE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250" w:type="pct"/>
            <w:noWrap/>
          </w:tcPr>
          <w:p w14:paraId="392DF488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94" w:type="pct"/>
            <w:noWrap/>
          </w:tcPr>
          <w:p w14:paraId="330AC59F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354C93D9" w14:textId="77777777" w:rsidTr="001C3C1D">
        <w:trPr>
          <w:trHeight w:val="323"/>
        </w:trPr>
        <w:tc>
          <w:tcPr>
            <w:tcW w:w="2271" w:type="pct"/>
            <w:noWrap/>
          </w:tcPr>
          <w:p w14:paraId="691EE1BB" w14:textId="77777777" w:rsidR="004B11CD" w:rsidRPr="00E53FA7" w:rsidRDefault="004B11CD" w:rsidP="001C316F">
            <w:pPr>
              <w:rPr>
                <w:rFonts w:ascii="Aptos" w:eastAsia="Times New Roman" w:hAnsi="Aptos" w:cstheme="minorHAnsi"/>
                <w:b/>
                <w:bCs/>
              </w:rPr>
            </w:pPr>
            <w:r>
              <w:rPr>
                <w:rFonts w:ascii="Aptos" w:eastAsia="Times New Roman" w:hAnsi="Aptos" w:cstheme="minorHAnsi"/>
                <w:b/>
                <w:bCs/>
              </w:rPr>
              <w:t>Varying participant inclusion criteria</w:t>
            </w:r>
          </w:p>
        </w:tc>
        <w:tc>
          <w:tcPr>
            <w:tcW w:w="407" w:type="pct"/>
          </w:tcPr>
          <w:p w14:paraId="60C6AA7C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75" w:type="pct"/>
          </w:tcPr>
          <w:p w14:paraId="408731EF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07" w:type="pct"/>
          </w:tcPr>
          <w:p w14:paraId="1D938454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497" w:type="pct"/>
          </w:tcPr>
          <w:p w14:paraId="3F485093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250" w:type="pct"/>
            <w:noWrap/>
          </w:tcPr>
          <w:p w14:paraId="5447EADF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  <w:tc>
          <w:tcPr>
            <w:tcW w:w="694" w:type="pct"/>
            <w:noWrap/>
          </w:tcPr>
          <w:p w14:paraId="660A5430" w14:textId="77777777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</w:p>
        </w:tc>
      </w:tr>
      <w:tr w:rsidR="004B11CD" w:rsidRPr="00B90B78" w14:paraId="42E689D2" w14:textId="77777777" w:rsidTr="001C3C1D">
        <w:trPr>
          <w:trHeight w:val="323"/>
        </w:trPr>
        <w:tc>
          <w:tcPr>
            <w:tcW w:w="2271" w:type="pct"/>
            <w:noWrap/>
          </w:tcPr>
          <w:p w14:paraId="55D0C093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Restricting to participants enrolled within 5 days of illness onset</w:t>
            </w:r>
          </w:p>
        </w:tc>
        <w:tc>
          <w:tcPr>
            <w:tcW w:w="407" w:type="pct"/>
          </w:tcPr>
          <w:p w14:paraId="4478B1F3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1605</w:t>
            </w:r>
          </w:p>
        </w:tc>
        <w:tc>
          <w:tcPr>
            <w:tcW w:w="475" w:type="pct"/>
          </w:tcPr>
          <w:p w14:paraId="654F9C5B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407 (25)</w:t>
            </w:r>
          </w:p>
        </w:tc>
        <w:tc>
          <w:tcPr>
            <w:tcW w:w="407" w:type="pct"/>
          </w:tcPr>
          <w:p w14:paraId="3A2E2A2C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3937</w:t>
            </w:r>
          </w:p>
        </w:tc>
        <w:tc>
          <w:tcPr>
            <w:tcW w:w="497" w:type="pct"/>
          </w:tcPr>
          <w:p w14:paraId="1814AF08" w14:textId="77777777" w:rsidR="004B11CD" w:rsidRPr="00B90B78" w:rsidDel="00427AE0" w:rsidRDefault="004B11CD" w:rsidP="001C316F">
            <w:pPr>
              <w:jc w:val="center"/>
              <w:rPr>
                <w:rFonts w:ascii="Aptos" w:hAnsi="Aptos" w:cstheme="minorHAnsi"/>
                <w:kern w:val="24"/>
              </w:rPr>
            </w:pPr>
            <w:r>
              <w:rPr>
                <w:rFonts w:ascii="Aptos" w:hAnsi="Aptos" w:cstheme="minorHAnsi"/>
                <w:kern w:val="24"/>
              </w:rPr>
              <w:t>1633 (41)</w:t>
            </w:r>
          </w:p>
        </w:tc>
        <w:tc>
          <w:tcPr>
            <w:tcW w:w="250" w:type="pct"/>
            <w:noWrap/>
          </w:tcPr>
          <w:p w14:paraId="6C8B7F99" w14:textId="5EB7D480" w:rsidR="004B11CD" w:rsidRPr="00B90B78" w:rsidDel="00427AE0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</w:t>
            </w:r>
          </w:p>
        </w:tc>
        <w:tc>
          <w:tcPr>
            <w:tcW w:w="694" w:type="pct"/>
            <w:noWrap/>
          </w:tcPr>
          <w:p w14:paraId="3EAB0B8A" w14:textId="78744AFF" w:rsidR="004B11CD" w:rsidRPr="00B90B78" w:rsidDel="00427AE0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</w:t>
            </w:r>
            <w:r w:rsidR="00AA22D9">
              <w:rPr>
                <w:rFonts w:ascii="Aptos" w:eastAsia="Times New Roman" w:hAnsi="Aptos" w:cstheme="minorHAnsi"/>
              </w:rPr>
              <w:t>35</w:t>
            </w:r>
            <w:r w:rsidR="00AA22D9">
              <w:rPr>
                <w:rFonts w:ascii="Aptos" w:eastAsia="Times New Roman" w:hAnsi="Aptos" w:cstheme="minorHAnsi"/>
              </w:rPr>
              <w:t xml:space="preserve"> </w:t>
            </w:r>
            <w:r>
              <w:rPr>
                <w:rFonts w:ascii="Aptos" w:eastAsia="Times New Roman" w:hAnsi="Aptos" w:cstheme="minorHAnsi"/>
              </w:rPr>
              <w:t xml:space="preserve">to </w:t>
            </w:r>
            <w:r w:rsidR="00AA22D9">
              <w:rPr>
                <w:rFonts w:ascii="Aptos" w:eastAsia="Times New Roman" w:hAnsi="Aptos" w:cstheme="minorHAnsi"/>
              </w:rPr>
              <w:t>52</w:t>
            </w:r>
            <w:r>
              <w:rPr>
                <w:rFonts w:ascii="Aptos" w:eastAsia="Times New Roman" w:hAnsi="Aptos" w:cstheme="minorHAnsi"/>
              </w:rPr>
              <w:t>)</w:t>
            </w:r>
          </w:p>
        </w:tc>
      </w:tr>
      <w:tr w:rsidR="004B11CD" w:rsidRPr="00B90B78" w14:paraId="41848A14" w14:textId="77777777" w:rsidTr="001C3C1D">
        <w:trPr>
          <w:trHeight w:val="323"/>
        </w:trPr>
        <w:tc>
          <w:tcPr>
            <w:tcW w:w="2271" w:type="pct"/>
            <w:noWrap/>
          </w:tcPr>
          <w:p w14:paraId="21420B37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Including SARS-CoV-2-positive participants</w:t>
            </w:r>
          </w:p>
        </w:tc>
        <w:tc>
          <w:tcPr>
            <w:tcW w:w="407" w:type="pct"/>
          </w:tcPr>
          <w:p w14:paraId="7DB51338" w14:textId="206E1E3C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1813</w:t>
            </w:r>
          </w:p>
        </w:tc>
        <w:tc>
          <w:tcPr>
            <w:tcW w:w="475" w:type="pct"/>
          </w:tcPr>
          <w:p w14:paraId="26AF4E2C" w14:textId="53D670AE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</w:t>
            </w:r>
            <w:r>
              <w:rPr>
                <w:rFonts w:ascii="Aptos" w:eastAsia="Times New Roman" w:hAnsi="Aptos" w:cstheme="minorHAnsi"/>
              </w:rPr>
              <w:t>46</w:t>
            </w:r>
            <w:r>
              <w:rPr>
                <w:rFonts w:ascii="Aptos" w:eastAsia="Times New Roman" w:hAnsi="Aptos" w:cstheme="minorHAnsi"/>
              </w:rPr>
              <w:t xml:space="preserve"> </w:t>
            </w:r>
            <w:r w:rsidR="004B11CD">
              <w:rPr>
                <w:rFonts w:ascii="Aptos" w:eastAsia="Times New Roman" w:hAnsi="Aptos" w:cstheme="minorHAnsi"/>
              </w:rPr>
              <w:t>(</w:t>
            </w:r>
            <w:r>
              <w:rPr>
                <w:rFonts w:ascii="Aptos" w:eastAsia="Times New Roman" w:hAnsi="Aptos" w:cstheme="minorHAnsi"/>
              </w:rPr>
              <w:t>2</w:t>
            </w:r>
            <w:r>
              <w:rPr>
                <w:rFonts w:ascii="Aptos" w:eastAsia="Times New Roman" w:hAnsi="Aptos" w:cstheme="minorHAnsi"/>
              </w:rPr>
              <w:t>5</w:t>
            </w:r>
            <w:r w:rsidR="004B11CD">
              <w:rPr>
                <w:rFonts w:ascii="Aptos" w:eastAsia="Times New Roman" w:hAnsi="Aptos" w:cstheme="minorHAnsi"/>
              </w:rPr>
              <w:t>)</w:t>
            </w:r>
          </w:p>
        </w:tc>
        <w:tc>
          <w:tcPr>
            <w:tcW w:w="407" w:type="pct"/>
          </w:tcPr>
          <w:p w14:paraId="2E56A728" w14:textId="64ADA84A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5860</w:t>
            </w:r>
          </w:p>
        </w:tc>
        <w:tc>
          <w:tcPr>
            <w:tcW w:w="497" w:type="pct"/>
          </w:tcPr>
          <w:p w14:paraId="4D5773B6" w14:textId="1A0C80AF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2507</w:t>
            </w:r>
            <w:r>
              <w:rPr>
                <w:rFonts w:ascii="Aptos" w:eastAsia="Times New Roman" w:hAnsi="Aptos" w:cstheme="minorHAnsi"/>
              </w:rPr>
              <w:t xml:space="preserve"> </w:t>
            </w:r>
            <w:r w:rsidR="004B11CD">
              <w:rPr>
                <w:rFonts w:ascii="Aptos" w:eastAsia="Times New Roman" w:hAnsi="Aptos" w:cstheme="minorHAnsi"/>
              </w:rPr>
              <w:t>(</w:t>
            </w:r>
            <w:r>
              <w:rPr>
                <w:rFonts w:ascii="Aptos" w:eastAsia="Times New Roman" w:hAnsi="Aptos" w:cstheme="minorHAnsi"/>
              </w:rPr>
              <w:t>43</w:t>
            </w:r>
            <w:r w:rsidR="004B11CD">
              <w:rPr>
                <w:rFonts w:ascii="Aptos" w:eastAsia="Times New Roman" w:hAnsi="Aptos" w:cstheme="minorHAnsi"/>
              </w:rPr>
              <w:t>)</w:t>
            </w:r>
          </w:p>
        </w:tc>
        <w:tc>
          <w:tcPr>
            <w:tcW w:w="250" w:type="pct"/>
            <w:noWrap/>
          </w:tcPr>
          <w:p w14:paraId="2EFEE037" w14:textId="6CB17357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48</w:t>
            </w:r>
          </w:p>
        </w:tc>
        <w:tc>
          <w:tcPr>
            <w:tcW w:w="694" w:type="pct"/>
            <w:noWrap/>
          </w:tcPr>
          <w:p w14:paraId="02EC6252" w14:textId="7773840B" w:rsidR="004B11CD" w:rsidRPr="00B90B78" w:rsidRDefault="004B11CD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</w:t>
            </w:r>
            <w:r w:rsidR="00AA22D9">
              <w:rPr>
                <w:rFonts w:ascii="Aptos" w:eastAsia="Times New Roman" w:hAnsi="Aptos" w:cstheme="minorHAnsi"/>
              </w:rPr>
              <w:t>41</w:t>
            </w:r>
            <w:r w:rsidR="00AA22D9">
              <w:rPr>
                <w:rFonts w:ascii="Aptos" w:eastAsia="Times New Roman" w:hAnsi="Aptos" w:cstheme="minorHAnsi"/>
              </w:rPr>
              <w:t xml:space="preserve"> </w:t>
            </w:r>
            <w:r>
              <w:rPr>
                <w:rFonts w:ascii="Aptos" w:eastAsia="Times New Roman" w:hAnsi="Aptos" w:cstheme="minorHAnsi"/>
              </w:rPr>
              <w:t xml:space="preserve">to </w:t>
            </w:r>
            <w:r w:rsidR="00AA22D9">
              <w:rPr>
                <w:rFonts w:ascii="Aptos" w:eastAsia="Times New Roman" w:hAnsi="Aptos" w:cstheme="minorHAnsi"/>
              </w:rPr>
              <w:t>54</w:t>
            </w:r>
            <w:r>
              <w:rPr>
                <w:rFonts w:ascii="Aptos" w:eastAsia="Times New Roman" w:hAnsi="Aptos" w:cstheme="minorHAnsi"/>
              </w:rPr>
              <w:t>)</w:t>
            </w:r>
          </w:p>
        </w:tc>
      </w:tr>
      <w:tr w:rsidR="004B11CD" w:rsidRPr="00B90B78" w14:paraId="2EB7B931" w14:textId="77777777" w:rsidTr="001C3C1D">
        <w:trPr>
          <w:trHeight w:val="323"/>
        </w:trPr>
        <w:tc>
          <w:tcPr>
            <w:tcW w:w="2271" w:type="pct"/>
            <w:noWrap/>
          </w:tcPr>
          <w:p w14:paraId="14B1F424" w14:textId="77777777" w:rsidR="004B11CD" w:rsidRPr="00E53FA7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Removing participants from Arizona</w:t>
            </w:r>
          </w:p>
        </w:tc>
        <w:tc>
          <w:tcPr>
            <w:tcW w:w="407" w:type="pct"/>
          </w:tcPr>
          <w:p w14:paraId="09EFCF84" w14:textId="259D95B4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1573</w:t>
            </w:r>
          </w:p>
        </w:tc>
        <w:tc>
          <w:tcPr>
            <w:tcW w:w="475" w:type="pct"/>
          </w:tcPr>
          <w:p w14:paraId="4FF8A48A" w14:textId="2984F009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428 (27)</w:t>
            </w:r>
          </w:p>
        </w:tc>
        <w:tc>
          <w:tcPr>
            <w:tcW w:w="407" w:type="pct"/>
          </w:tcPr>
          <w:p w14:paraId="10CD14B5" w14:textId="6BF95458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4472</w:t>
            </w:r>
          </w:p>
        </w:tc>
        <w:tc>
          <w:tcPr>
            <w:tcW w:w="497" w:type="pct"/>
          </w:tcPr>
          <w:p w14:paraId="26A01DAD" w14:textId="5725B452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1932 (44)</w:t>
            </w:r>
          </w:p>
        </w:tc>
        <w:tc>
          <w:tcPr>
            <w:tcW w:w="250" w:type="pct"/>
            <w:noWrap/>
          </w:tcPr>
          <w:p w14:paraId="679F38FB" w14:textId="5C838D79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</w:t>
            </w:r>
          </w:p>
        </w:tc>
        <w:tc>
          <w:tcPr>
            <w:tcW w:w="694" w:type="pct"/>
            <w:noWrap/>
          </w:tcPr>
          <w:p w14:paraId="6259EBCB" w14:textId="3DD73313" w:rsidR="004B11CD" w:rsidRPr="00B90B78" w:rsidRDefault="00AA22D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(35 to 52)</w:t>
            </w:r>
          </w:p>
        </w:tc>
      </w:tr>
      <w:tr w:rsidR="004B11CD" w:rsidRPr="00B90B78" w14:paraId="56F15191" w14:textId="77777777" w:rsidTr="001C3C1D">
        <w:trPr>
          <w:trHeight w:val="323"/>
        </w:trPr>
        <w:tc>
          <w:tcPr>
            <w:tcW w:w="2271" w:type="pct"/>
            <w:noWrap/>
          </w:tcPr>
          <w:p w14:paraId="59485C99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Removing participants from Michigan</w:t>
            </w:r>
          </w:p>
        </w:tc>
        <w:tc>
          <w:tcPr>
            <w:tcW w:w="407" w:type="pct"/>
          </w:tcPr>
          <w:p w14:paraId="48154494" w14:textId="03CF2AC2" w:rsidR="004B11CD" w:rsidRPr="00B90B78" w:rsidRDefault="009E236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1698</w:t>
            </w:r>
          </w:p>
        </w:tc>
        <w:tc>
          <w:tcPr>
            <w:tcW w:w="475" w:type="pct"/>
          </w:tcPr>
          <w:p w14:paraId="72F4CA4A" w14:textId="3DA81990" w:rsidR="004B11CD" w:rsidRPr="00B90B78" w:rsidRDefault="009E236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405 (24)</w:t>
            </w:r>
          </w:p>
        </w:tc>
        <w:tc>
          <w:tcPr>
            <w:tcW w:w="407" w:type="pct"/>
          </w:tcPr>
          <w:p w14:paraId="340161A2" w14:textId="74E96EEB" w:rsidR="004B11CD" w:rsidRPr="00B90B78" w:rsidRDefault="009E236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4563</w:t>
            </w:r>
          </w:p>
        </w:tc>
        <w:tc>
          <w:tcPr>
            <w:tcW w:w="497" w:type="pct"/>
          </w:tcPr>
          <w:p w14:paraId="340B5B4B" w14:textId="3A5123C2" w:rsidR="004B11CD" w:rsidRPr="00B90B78" w:rsidRDefault="009E236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1844 (40)</w:t>
            </w:r>
          </w:p>
        </w:tc>
        <w:tc>
          <w:tcPr>
            <w:tcW w:w="250" w:type="pct"/>
            <w:noWrap/>
          </w:tcPr>
          <w:p w14:paraId="32BA251D" w14:textId="55D5A304" w:rsidR="004B11CD" w:rsidRPr="003411F0" w:rsidRDefault="009E236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42</w:t>
            </w:r>
          </w:p>
        </w:tc>
        <w:tc>
          <w:tcPr>
            <w:tcW w:w="694" w:type="pct"/>
            <w:noWrap/>
          </w:tcPr>
          <w:p w14:paraId="2A2E8D59" w14:textId="7FDBAC9D" w:rsidR="004B11CD" w:rsidRPr="00B90B78" w:rsidRDefault="009E2369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(38 to 53)</w:t>
            </w:r>
          </w:p>
        </w:tc>
      </w:tr>
      <w:tr w:rsidR="004B11CD" w:rsidRPr="00B90B78" w14:paraId="060760D9" w14:textId="77777777" w:rsidTr="001C3C1D">
        <w:trPr>
          <w:trHeight w:val="323"/>
        </w:trPr>
        <w:tc>
          <w:tcPr>
            <w:tcW w:w="2271" w:type="pct"/>
            <w:noWrap/>
          </w:tcPr>
          <w:p w14:paraId="02D31766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Removing participants from Missouri</w:t>
            </w:r>
          </w:p>
        </w:tc>
        <w:tc>
          <w:tcPr>
            <w:tcW w:w="407" w:type="pct"/>
          </w:tcPr>
          <w:p w14:paraId="773550DC" w14:textId="2979ECE9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1434</w:t>
            </w:r>
          </w:p>
        </w:tc>
        <w:tc>
          <w:tcPr>
            <w:tcW w:w="475" w:type="pct"/>
          </w:tcPr>
          <w:p w14:paraId="536BF997" w14:textId="45827372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365 (25)</w:t>
            </w:r>
          </w:p>
        </w:tc>
        <w:tc>
          <w:tcPr>
            <w:tcW w:w="407" w:type="pct"/>
          </w:tcPr>
          <w:p w14:paraId="7052F563" w14:textId="3893BD39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4404</w:t>
            </w:r>
          </w:p>
        </w:tc>
        <w:tc>
          <w:tcPr>
            <w:tcW w:w="497" w:type="pct"/>
          </w:tcPr>
          <w:p w14:paraId="399CC782" w14:textId="16CF0143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1866 (42)</w:t>
            </w:r>
          </w:p>
        </w:tc>
        <w:tc>
          <w:tcPr>
            <w:tcW w:w="250" w:type="pct"/>
            <w:noWrap/>
          </w:tcPr>
          <w:p w14:paraId="4E9E9979" w14:textId="1E701ABE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50</w:t>
            </w:r>
          </w:p>
        </w:tc>
        <w:tc>
          <w:tcPr>
            <w:tcW w:w="694" w:type="pct"/>
            <w:noWrap/>
          </w:tcPr>
          <w:p w14:paraId="3572893B" w14:textId="4DBEB5BA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(41 to 57)</w:t>
            </w:r>
          </w:p>
        </w:tc>
      </w:tr>
      <w:tr w:rsidR="004B11CD" w:rsidRPr="00B90B78" w14:paraId="72562B01" w14:textId="77777777" w:rsidTr="001C3C1D">
        <w:trPr>
          <w:trHeight w:val="323"/>
        </w:trPr>
        <w:tc>
          <w:tcPr>
            <w:tcW w:w="2271" w:type="pct"/>
            <w:noWrap/>
          </w:tcPr>
          <w:p w14:paraId="641B1216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Removing participants from Ohio</w:t>
            </w:r>
          </w:p>
        </w:tc>
        <w:tc>
          <w:tcPr>
            <w:tcW w:w="407" w:type="pct"/>
          </w:tcPr>
          <w:p w14:paraId="7D91CB1A" w14:textId="284E7E15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1520</w:t>
            </w:r>
          </w:p>
        </w:tc>
        <w:tc>
          <w:tcPr>
            <w:tcW w:w="475" w:type="pct"/>
          </w:tcPr>
          <w:p w14:paraId="5D29A0FA" w14:textId="6647B97A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387 (25)</w:t>
            </w:r>
          </w:p>
        </w:tc>
        <w:tc>
          <w:tcPr>
            <w:tcW w:w="407" w:type="pct"/>
          </w:tcPr>
          <w:p w14:paraId="21116C77" w14:textId="68A372F5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4336</w:t>
            </w:r>
          </w:p>
        </w:tc>
        <w:tc>
          <w:tcPr>
            <w:tcW w:w="497" w:type="pct"/>
          </w:tcPr>
          <w:p w14:paraId="347ADC4F" w14:textId="617E0196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1831(42)</w:t>
            </w:r>
          </w:p>
        </w:tc>
        <w:tc>
          <w:tcPr>
            <w:tcW w:w="250" w:type="pct"/>
            <w:noWrap/>
          </w:tcPr>
          <w:p w14:paraId="68629CB0" w14:textId="3A0FB680" w:rsidR="004B11CD" w:rsidRPr="003411F0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46</w:t>
            </w:r>
          </w:p>
        </w:tc>
        <w:tc>
          <w:tcPr>
            <w:tcW w:w="694" w:type="pct"/>
            <w:noWrap/>
          </w:tcPr>
          <w:p w14:paraId="2A21EB8C" w14:textId="07D932A2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(38 to 54)</w:t>
            </w:r>
          </w:p>
        </w:tc>
      </w:tr>
      <w:tr w:rsidR="004B11CD" w:rsidRPr="00B90B78" w14:paraId="732B9312" w14:textId="77777777" w:rsidTr="001C3C1D">
        <w:trPr>
          <w:trHeight w:val="323"/>
        </w:trPr>
        <w:tc>
          <w:tcPr>
            <w:tcW w:w="2271" w:type="pct"/>
            <w:noWrap/>
          </w:tcPr>
          <w:p w14:paraId="6EBCBAB3" w14:textId="77777777" w:rsidR="004B11CD" w:rsidRPr="00E53FA7" w:rsidRDefault="004B11CD" w:rsidP="001C316F">
            <w:pPr>
              <w:rPr>
                <w:rFonts w:ascii="Aptos" w:eastAsia="Times New Roman" w:hAnsi="Aptos" w:cstheme="minorHAnsi"/>
              </w:rPr>
            </w:pPr>
            <w:r w:rsidRPr="00E53FA7">
              <w:rPr>
                <w:rFonts w:ascii="Aptos" w:eastAsia="Times New Roman" w:hAnsi="Aptos" w:cstheme="minorHAnsi"/>
              </w:rPr>
              <w:t>Removing participants from Pennsylvania</w:t>
            </w:r>
          </w:p>
        </w:tc>
        <w:tc>
          <w:tcPr>
            <w:tcW w:w="407" w:type="pct"/>
          </w:tcPr>
          <w:p w14:paraId="59535040" w14:textId="32781412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1422</w:t>
            </w:r>
          </w:p>
        </w:tc>
        <w:tc>
          <w:tcPr>
            <w:tcW w:w="475" w:type="pct"/>
          </w:tcPr>
          <w:p w14:paraId="6C3A7E64" w14:textId="43A6B840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337 (24)</w:t>
            </w:r>
          </w:p>
        </w:tc>
        <w:tc>
          <w:tcPr>
            <w:tcW w:w="407" w:type="pct"/>
          </w:tcPr>
          <w:p w14:paraId="1B0FA5B0" w14:textId="6DF7548D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4018</w:t>
            </w:r>
          </w:p>
        </w:tc>
        <w:tc>
          <w:tcPr>
            <w:tcW w:w="497" w:type="pct"/>
          </w:tcPr>
          <w:p w14:paraId="4253FF05" w14:textId="4473953E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1591 (40)</w:t>
            </w:r>
          </w:p>
        </w:tc>
        <w:tc>
          <w:tcPr>
            <w:tcW w:w="250" w:type="pct"/>
            <w:noWrap/>
          </w:tcPr>
          <w:p w14:paraId="2B6B317E" w14:textId="21313448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41</w:t>
            </w:r>
          </w:p>
        </w:tc>
        <w:tc>
          <w:tcPr>
            <w:tcW w:w="694" w:type="pct"/>
            <w:noWrap/>
          </w:tcPr>
          <w:p w14:paraId="4A567DF9" w14:textId="77AF6FF1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(31 to 50)</w:t>
            </w:r>
          </w:p>
        </w:tc>
      </w:tr>
      <w:tr w:rsidR="004B11CD" w:rsidRPr="00B90B78" w14:paraId="3C249622" w14:textId="77777777" w:rsidTr="001C3C1D">
        <w:trPr>
          <w:trHeight w:val="323"/>
        </w:trPr>
        <w:tc>
          <w:tcPr>
            <w:tcW w:w="2271" w:type="pct"/>
            <w:noWrap/>
          </w:tcPr>
          <w:p w14:paraId="69B5FCAB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Removing participants from Texas</w:t>
            </w:r>
          </w:p>
        </w:tc>
        <w:tc>
          <w:tcPr>
            <w:tcW w:w="407" w:type="pct"/>
          </w:tcPr>
          <w:p w14:paraId="05AB11F4" w14:textId="20665CD3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1429</w:t>
            </w:r>
          </w:p>
        </w:tc>
        <w:tc>
          <w:tcPr>
            <w:tcW w:w="475" w:type="pct"/>
          </w:tcPr>
          <w:p w14:paraId="0EDC6B5A" w14:textId="1203D044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340 (24)</w:t>
            </w:r>
          </w:p>
        </w:tc>
        <w:tc>
          <w:tcPr>
            <w:tcW w:w="407" w:type="pct"/>
          </w:tcPr>
          <w:p w14:paraId="390F0787" w14:textId="37596A5D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3400</w:t>
            </w:r>
          </w:p>
        </w:tc>
        <w:tc>
          <w:tcPr>
            <w:tcW w:w="497" w:type="pct"/>
          </w:tcPr>
          <w:p w14:paraId="10A0A9DA" w14:textId="7C524B52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1361 (40)</w:t>
            </w:r>
          </w:p>
        </w:tc>
        <w:tc>
          <w:tcPr>
            <w:tcW w:w="250" w:type="pct"/>
            <w:noWrap/>
          </w:tcPr>
          <w:p w14:paraId="7EA0C192" w14:textId="7C208B50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44</w:t>
            </w:r>
          </w:p>
        </w:tc>
        <w:tc>
          <w:tcPr>
            <w:tcW w:w="694" w:type="pct"/>
            <w:noWrap/>
          </w:tcPr>
          <w:p w14:paraId="782EF2C6" w14:textId="078D6617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(34 to 52)</w:t>
            </w:r>
          </w:p>
        </w:tc>
      </w:tr>
      <w:tr w:rsidR="004B11CD" w:rsidRPr="00B90B78" w14:paraId="28E1F69F" w14:textId="77777777" w:rsidTr="001C3C1D">
        <w:trPr>
          <w:trHeight w:val="323"/>
        </w:trPr>
        <w:tc>
          <w:tcPr>
            <w:tcW w:w="2271" w:type="pct"/>
            <w:noWrap/>
          </w:tcPr>
          <w:p w14:paraId="62A06819" w14:textId="77777777" w:rsidR="004B11CD" w:rsidRPr="00B90B78" w:rsidRDefault="004B11CD" w:rsidP="001C316F">
            <w:pPr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Removing participants from Washington</w:t>
            </w:r>
          </w:p>
        </w:tc>
        <w:tc>
          <w:tcPr>
            <w:tcW w:w="407" w:type="pct"/>
          </w:tcPr>
          <w:p w14:paraId="3EC66771" w14:textId="569234BB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1604</w:t>
            </w:r>
          </w:p>
        </w:tc>
        <w:tc>
          <w:tcPr>
            <w:tcW w:w="475" w:type="pct"/>
          </w:tcPr>
          <w:p w14:paraId="5C7B2427" w14:textId="41FDC280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372 (23)</w:t>
            </w:r>
          </w:p>
        </w:tc>
        <w:tc>
          <w:tcPr>
            <w:tcW w:w="407" w:type="pct"/>
          </w:tcPr>
          <w:p w14:paraId="7B26DEA8" w14:textId="3F1B76CD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3901</w:t>
            </w:r>
          </w:p>
        </w:tc>
        <w:tc>
          <w:tcPr>
            <w:tcW w:w="497" w:type="pct"/>
          </w:tcPr>
          <w:p w14:paraId="1D38C1DA" w14:textId="1BA96932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1533 (39)</w:t>
            </w:r>
          </w:p>
        </w:tc>
        <w:tc>
          <w:tcPr>
            <w:tcW w:w="250" w:type="pct"/>
            <w:noWrap/>
          </w:tcPr>
          <w:p w14:paraId="2571948D" w14:textId="4D356B05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46</w:t>
            </w:r>
          </w:p>
        </w:tc>
        <w:tc>
          <w:tcPr>
            <w:tcW w:w="694" w:type="pct"/>
            <w:noWrap/>
          </w:tcPr>
          <w:p w14:paraId="115C9C39" w14:textId="15578014" w:rsidR="004B11CD" w:rsidRPr="00B90B78" w:rsidRDefault="002A29E2" w:rsidP="001C316F">
            <w:pPr>
              <w:jc w:val="center"/>
              <w:rPr>
                <w:rFonts w:ascii="Aptos" w:eastAsia="Times New Roman" w:hAnsi="Aptos" w:cstheme="minorHAnsi"/>
              </w:rPr>
            </w:pPr>
            <w:r>
              <w:rPr>
                <w:rFonts w:ascii="Aptos" w:eastAsia="Times New Roman" w:hAnsi="Aptos" w:cstheme="minorHAnsi"/>
              </w:rPr>
              <w:t>(38 to 54)</w:t>
            </w:r>
          </w:p>
        </w:tc>
      </w:tr>
    </w:tbl>
    <w:p w14:paraId="7FBF0946" w14:textId="77777777" w:rsidR="004B11CD" w:rsidRDefault="004B11CD" w:rsidP="004B11CD">
      <w:pPr>
        <w:spacing w:after="0"/>
        <w:rPr>
          <w:rFonts w:ascii="Aptos" w:hAnsi="Aptos" w:cstheme="minorHAnsi"/>
        </w:rPr>
      </w:pPr>
      <w:r w:rsidRPr="00B90B78">
        <w:rPr>
          <w:rFonts w:ascii="Aptos" w:hAnsi="Aptos" w:cstheme="minorHAnsi"/>
          <w:vertAlign w:val="superscript"/>
        </w:rPr>
        <w:t>a</w:t>
      </w:r>
      <w:r w:rsidRPr="00B90B78">
        <w:rPr>
          <w:rFonts w:ascii="Aptos" w:hAnsi="Aptos" w:cstheme="minorHAnsi"/>
        </w:rPr>
        <w:t xml:space="preserve"> Models adjusted </w:t>
      </w:r>
      <w:r>
        <w:rPr>
          <w:rFonts w:ascii="Aptos" w:hAnsi="Aptos" w:cstheme="minorHAnsi"/>
        </w:rPr>
        <w:t>fo</w:t>
      </w:r>
      <w:r w:rsidRPr="00B865AF">
        <w:rPr>
          <w:rFonts w:ascii="Aptos" w:hAnsi="Aptos" w:cstheme="minorHAnsi"/>
        </w:rPr>
        <w:t xml:space="preserve">r study site, age, </w:t>
      </w:r>
      <w:r>
        <w:rPr>
          <w:rFonts w:ascii="Aptos" w:hAnsi="Aptos" w:cstheme="minorHAnsi"/>
        </w:rPr>
        <w:t>presence of ≥1 underlying health condition,</w:t>
      </w:r>
      <w:r w:rsidRPr="00B865AF">
        <w:rPr>
          <w:rFonts w:ascii="Aptos" w:hAnsi="Aptos" w:cstheme="minorHAnsi"/>
        </w:rPr>
        <w:t xml:space="preserve"> and month of illness onset.</w:t>
      </w:r>
      <w:r>
        <w:rPr>
          <w:rFonts w:ascii="Aptos" w:hAnsi="Aptos" w:cstheme="minorHAnsi"/>
        </w:rPr>
        <w:t xml:space="preserve">  95% confidence intervals that exclude</w:t>
      </w:r>
      <w:r w:rsidRPr="00B90B78">
        <w:rPr>
          <w:rFonts w:ascii="Aptos" w:hAnsi="Aptos" w:cstheme="minorHAnsi"/>
        </w:rPr>
        <w:t xml:space="preserve"> 0</w:t>
      </w:r>
      <w:r>
        <w:rPr>
          <w:rFonts w:ascii="Aptos" w:hAnsi="Aptos" w:cstheme="minorHAnsi"/>
        </w:rPr>
        <w:t xml:space="preserve">% </w:t>
      </w:r>
      <w:r w:rsidRPr="00B90B78">
        <w:rPr>
          <w:rFonts w:ascii="Aptos" w:hAnsi="Aptos" w:cstheme="minorHAnsi"/>
        </w:rPr>
        <w:t xml:space="preserve">are considered statistically </w:t>
      </w:r>
      <w:proofErr w:type="gramStart"/>
      <w:r w:rsidRPr="00B90B78">
        <w:rPr>
          <w:rFonts w:ascii="Aptos" w:hAnsi="Aptos" w:cstheme="minorHAnsi"/>
        </w:rPr>
        <w:t>significant</w:t>
      </w:r>
      <w:proofErr w:type="gramEnd"/>
    </w:p>
    <w:p w14:paraId="5ED3C8A0" w14:textId="77777777" w:rsidR="004B11CD" w:rsidRPr="002A4CBD" w:rsidRDefault="004B11CD" w:rsidP="004B11CD">
      <w:pPr>
        <w:spacing w:line="480" w:lineRule="auto"/>
        <w:rPr>
          <w:rFonts w:ascii="Aptos" w:hAnsi="Aptos" w:cstheme="minorHAnsi"/>
        </w:rPr>
      </w:pPr>
    </w:p>
    <w:p w14:paraId="6AE78025" w14:textId="77777777" w:rsidR="00836DFD" w:rsidRDefault="00836DFD"/>
    <w:sectPr w:rsidR="00836DFD" w:rsidSect="004B11CD">
      <w:pgSz w:w="15840" w:h="12240" w:orient="landscape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11CD"/>
    <w:rsid w:val="001C3C1D"/>
    <w:rsid w:val="002A29E2"/>
    <w:rsid w:val="002A55B7"/>
    <w:rsid w:val="004B11CD"/>
    <w:rsid w:val="0051031C"/>
    <w:rsid w:val="00750B34"/>
    <w:rsid w:val="00836DFD"/>
    <w:rsid w:val="009E2369"/>
    <w:rsid w:val="00AA22D9"/>
    <w:rsid w:val="00E67131"/>
    <w:rsid w:val="00E729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C4D655"/>
  <w15:chartTrackingRefBased/>
  <w15:docId w15:val="{25D8A8CF-A3B7-4B9B-B686-3A39611336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11C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4B11CD"/>
    <w:pPr>
      <w:spacing w:after="0" w:line="240" w:lineRule="auto"/>
    </w:pPr>
    <w:rPr>
      <w:kern w:val="0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E7299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chart" Target="charts/chart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chart" Target="charts/chart2.xml"/><Relationship Id="rId5" Type="http://schemas.openxmlformats.org/officeDocument/2006/relationships/chart" Target="charts/chart1.xml"/><Relationship Id="rId4" Type="http://schemas.openxmlformats.org/officeDocument/2006/relationships/image" Target="media/image1.tif"/><Relationship Id="rId9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themeOverride" Target="../theme/themeOverride1.xml"/><Relationship Id="rId2" Type="http://schemas.microsoft.com/office/2011/relationships/chartColorStyle" Target="colors1.xml"/><Relationship Id="rId1" Type="http://schemas.microsoft.com/office/2011/relationships/chartStyle" Target="style1.xml"/><Relationship Id="rId4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file:///\\cdc.gov\project\NCIRD_ID_IPACT\US_Flu_VE_Network\USFluVENet_2223-2627\CompA_2023-24_season\VE_Analyses\Final_manuscript\Epi_curves.xlsx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Chart%20in%20Microsoft%20Word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3"/>
    </mc:Choice>
    <mc:Fallback>
      <c:style val="3"/>
    </mc:Fallback>
  </mc:AlternateContent>
  <c:clrMapOvr bg1="lt1" tx1="dk1" bg2="lt2" tx2="dk2" accent1="accent1" accent2="accent2" accent3="accent3" accent4="accent4" accent5="accent5" accent6="accent6" hlink="hlink" folHlink="folHlink"/>
  <c:chart>
    <c:autoTitleDeleted val="1"/>
    <c:plotArea>
      <c:layout/>
      <c:barChart>
        <c:barDir val="col"/>
        <c:grouping val="percentStacked"/>
        <c:varyColors val="0"/>
        <c:ser>
          <c:idx val="0"/>
          <c:order val="0"/>
          <c:tx>
            <c:strRef>
              <c:f>Sheet1!$H$1</c:f>
              <c:strCache>
                <c:ptCount val="1"/>
                <c:pt idx="0">
                  <c:v>8 mos - 8 years</c:v>
                </c:pt>
              </c:strCache>
            </c:strRef>
          </c:tx>
          <c:spPr>
            <a:solidFill>
              <a:schemeClr val="accent1">
                <a:lumMod val="50000"/>
              </a:schemeClr>
            </a:solidFill>
            <a:ln>
              <a:solidFill>
                <a:schemeClr val="bg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bg1"/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A(H1N1)pdm09 
(N=806)</c:v>
                </c:pt>
                <c:pt idx="1">
                  <c:v>A(H3N2)
(N=323)</c:v>
                </c:pt>
                <c:pt idx="2">
                  <c:v>B/Victoria
(N=567)</c:v>
                </c:pt>
                <c:pt idx="3">
                  <c:v>Negative
(N=4849)</c:v>
                </c:pt>
              </c:strCache>
            </c:strRef>
          </c:cat>
          <c:val>
            <c:numRef>
              <c:f>Sheet1!$H$2:$H$5</c:f>
              <c:numCache>
                <c:formatCode>General</c:formatCode>
                <c:ptCount val="4"/>
                <c:pt idx="0">
                  <c:v>21</c:v>
                </c:pt>
                <c:pt idx="1">
                  <c:v>13</c:v>
                </c:pt>
                <c:pt idx="2">
                  <c:v>31</c:v>
                </c:pt>
                <c:pt idx="3">
                  <c:v>19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4320-44D5-B956-17B092CC11E5}"/>
            </c:ext>
          </c:extLst>
        </c:ser>
        <c:ser>
          <c:idx val="1"/>
          <c:order val="1"/>
          <c:tx>
            <c:strRef>
              <c:f>Sheet1!$I$1</c:f>
              <c:strCache>
                <c:ptCount val="1"/>
                <c:pt idx="0">
                  <c:v>9-17 years</c:v>
                </c:pt>
              </c:strCache>
            </c:strRef>
          </c:tx>
          <c:spPr>
            <a:solidFill>
              <a:schemeClr val="accent1">
                <a:lumMod val="60000"/>
                <a:lumOff val="40000"/>
              </a:schemeClr>
            </a:solidFill>
            <a:ln>
              <a:solidFill>
                <a:schemeClr val="bg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A(H1N1)pdm09 
(N=806)</c:v>
                </c:pt>
                <c:pt idx="1">
                  <c:v>A(H3N2)
(N=323)</c:v>
                </c:pt>
                <c:pt idx="2">
                  <c:v>B/Victoria
(N=567)</c:v>
                </c:pt>
                <c:pt idx="3">
                  <c:v>Negative
(N=4849)</c:v>
                </c:pt>
              </c:strCache>
            </c:strRef>
          </c:cat>
          <c:val>
            <c:numRef>
              <c:f>Sheet1!$I$2:$I$5</c:f>
              <c:numCache>
                <c:formatCode>General</c:formatCode>
                <c:ptCount val="4"/>
                <c:pt idx="0">
                  <c:v>8</c:v>
                </c:pt>
                <c:pt idx="1">
                  <c:v>8</c:v>
                </c:pt>
                <c:pt idx="2">
                  <c:v>22</c:v>
                </c:pt>
                <c:pt idx="3">
                  <c:v>8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4320-44D5-B956-17B092CC11E5}"/>
            </c:ext>
          </c:extLst>
        </c:ser>
        <c:ser>
          <c:idx val="2"/>
          <c:order val="2"/>
          <c:tx>
            <c:strRef>
              <c:f>Sheet1!$J$1</c:f>
              <c:strCache>
                <c:ptCount val="1"/>
                <c:pt idx="0">
                  <c:v>18-49 years</c:v>
                </c:pt>
              </c:strCache>
            </c:strRef>
          </c:tx>
          <c:spPr>
            <a:solidFill>
              <a:schemeClr val="accent4">
                <a:lumMod val="40000"/>
                <a:lumOff val="60000"/>
              </a:schemeClr>
            </a:solidFill>
            <a:ln>
              <a:solidFill>
                <a:schemeClr val="bg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A(H1N1)pdm09 
(N=806)</c:v>
                </c:pt>
                <c:pt idx="1">
                  <c:v>A(H3N2)
(N=323)</c:v>
                </c:pt>
                <c:pt idx="2">
                  <c:v>B/Victoria
(N=567)</c:v>
                </c:pt>
                <c:pt idx="3">
                  <c:v>Negative
(N=4849)</c:v>
                </c:pt>
              </c:strCache>
            </c:strRef>
          </c:cat>
          <c:val>
            <c:numRef>
              <c:f>Sheet1!$J$2:$J$5</c:f>
              <c:numCache>
                <c:formatCode>General</c:formatCode>
                <c:ptCount val="4"/>
                <c:pt idx="0">
                  <c:v>40</c:v>
                </c:pt>
                <c:pt idx="1">
                  <c:v>60</c:v>
                </c:pt>
                <c:pt idx="2">
                  <c:v>42</c:v>
                </c:pt>
                <c:pt idx="3">
                  <c:v>40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4320-44D5-B956-17B092CC11E5}"/>
            </c:ext>
          </c:extLst>
        </c:ser>
        <c:ser>
          <c:idx val="3"/>
          <c:order val="3"/>
          <c:tx>
            <c:strRef>
              <c:f>Sheet1!$K$1</c:f>
              <c:strCache>
                <c:ptCount val="1"/>
                <c:pt idx="0">
                  <c:v>50-64 years</c:v>
                </c:pt>
              </c:strCache>
            </c:strRef>
          </c:tx>
          <c:spPr>
            <a:solidFill>
              <a:schemeClr val="accent4">
                <a:lumMod val="60000"/>
                <a:lumOff val="40000"/>
              </a:schemeClr>
            </a:solidFill>
            <a:ln>
              <a:solidFill>
                <a:schemeClr val="bg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A(H1N1)pdm09 
(N=806)</c:v>
                </c:pt>
                <c:pt idx="1">
                  <c:v>A(H3N2)
(N=323)</c:v>
                </c:pt>
                <c:pt idx="2">
                  <c:v>B/Victoria
(N=567)</c:v>
                </c:pt>
                <c:pt idx="3">
                  <c:v>Negative
(N=4849)</c:v>
                </c:pt>
              </c:strCache>
            </c:strRef>
          </c:cat>
          <c:val>
            <c:numRef>
              <c:f>Sheet1!$K$2:$K$5</c:f>
              <c:numCache>
                <c:formatCode>General</c:formatCode>
                <c:ptCount val="4"/>
                <c:pt idx="0">
                  <c:v>19</c:v>
                </c:pt>
                <c:pt idx="1">
                  <c:v>11</c:v>
                </c:pt>
                <c:pt idx="2">
                  <c:v>4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3-4320-44D5-B956-17B092CC11E5}"/>
            </c:ext>
          </c:extLst>
        </c:ser>
        <c:ser>
          <c:idx val="4"/>
          <c:order val="4"/>
          <c:tx>
            <c:strRef>
              <c:f>Sheet1!$L$1</c:f>
              <c:strCache>
                <c:ptCount val="1"/>
                <c:pt idx="0">
                  <c:v>≥65 years</c:v>
                </c:pt>
              </c:strCache>
            </c:strRef>
          </c:tx>
          <c:spPr>
            <a:solidFill>
              <a:schemeClr val="accent4">
                <a:lumMod val="75000"/>
              </a:schemeClr>
            </a:solidFill>
            <a:ln>
              <a:solidFill>
                <a:schemeClr val="bg2"/>
              </a:solidFill>
            </a:ln>
            <a:effectLst/>
          </c:spPr>
          <c:invertIfNegative val="0"/>
          <c:dLbls>
            <c:spPr>
              <a:noFill/>
              <a:ln>
                <a:noFill/>
              </a:ln>
              <a:effectLst/>
            </c:spPr>
            <c:txPr>
              <a:bodyPr rot="0" spcFirstLastPara="1" vertOverflow="ellipsis" vert="horz" wrap="square" anchor="ctr" anchorCtr="1"/>
              <a:lstStyle/>
              <a:p>
                <a:pPr>
                  <a:defRPr sz="900" b="1" i="0" u="none" strike="noStrike" kern="1200" baseline="0">
                    <a:solidFill>
                      <a:schemeClr val="tx1">
                        <a:lumMod val="75000"/>
                        <a:lumOff val="25000"/>
                      </a:schemeClr>
                    </a:solidFill>
                    <a:latin typeface="Aptos" panose="020B0004020202020204" pitchFamily="34" charset="0"/>
                    <a:ea typeface="+mn-ea"/>
                    <a:cs typeface="+mn-cs"/>
                  </a:defRPr>
                </a:pPr>
                <a:endParaRPr lang="en-US"/>
              </a:p>
            </c:txPr>
            <c:dLblPos val="ctr"/>
            <c:showLegendKey val="0"/>
            <c:showVal val="1"/>
            <c:showCatName val="0"/>
            <c:showSerName val="0"/>
            <c:showPercent val="0"/>
            <c:showBubbleSize val="0"/>
            <c:showLeaderLines val="0"/>
            <c:extLst>
              <c:ext xmlns:c15="http://schemas.microsoft.com/office/drawing/2012/chart" uri="{CE6537A1-D6FC-4f65-9D91-7224C49458BB}">
                <c15:showLeaderLines val="1"/>
                <c15:leaderLines>
                  <c:spPr>
                    <a:ln w="9525" cap="flat" cmpd="sng" algn="ctr">
                      <a:solidFill>
                        <a:schemeClr val="tx1">
                          <a:lumMod val="35000"/>
                          <a:lumOff val="65000"/>
                        </a:schemeClr>
                      </a:solidFill>
                      <a:round/>
                    </a:ln>
                    <a:effectLst/>
                  </c:spPr>
                </c15:leaderLines>
              </c:ext>
            </c:extLst>
          </c:dLbls>
          <c:cat>
            <c:strRef>
              <c:f>Sheet1!$G$2:$G$5</c:f>
              <c:strCache>
                <c:ptCount val="4"/>
                <c:pt idx="0">
                  <c:v>A(H1N1)pdm09 
(N=806)</c:v>
                </c:pt>
                <c:pt idx="1">
                  <c:v>A(H3N2)
(N=323)</c:v>
                </c:pt>
                <c:pt idx="2">
                  <c:v>B/Victoria
(N=567)</c:v>
                </c:pt>
                <c:pt idx="3">
                  <c:v>Negative
(N=4849)</c:v>
                </c:pt>
              </c:strCache>
            </c:strRef>
          </c:cat>
          <c:val>
            <c:numRef>
              <c:f>Sheet1!$L$2:$L$5</c:f>
              <c:numCache>
                <c:formatCode>General</c:formatCode>
                <c:ptCount val="4"/>
                <c:pt idx="0">
                  <c:v>12</c:v>
                </c:pt>
                <c:pt idx="1">
                  <c:v>8</c:v>
                </c:pt>
                <c:pt idx="2">
                  <c:v>1</c:v>
                </c:pt>
                <c:pt idx="3">
                  <c:v>16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4-4320-44D5-B956-17B092CC11E5}"/>
            </c:ext>
          </c:extLst>
        </c:ser>
        <c:dLbls>
          <c:dLblPos val="ctr"/>
          <c:showLegendKey val="0"/>
          <c:showVal val="1"/>
          <c:showCatName val="0"/>
          <c:showSerName val="0"/>
          <c:showPercent val="0"/>
          <c:showBubbleSize val="0"/>
        </c:dLbls>
        <c:gapWidth val="150"/>
        <c:overlap val="100"/>
        <c:axId val="1208453840"/>
        <c:axId val="1208462960"/>
      </c:barChart>
      <c:catAx>
        <c:axId val="1208453840"/>
        <c:scaling>
          <c:orientation val="minMax"/>
        </c:scaling>
        <c:delete val="0"/>
        <c:axPos val="b"/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en-US"/>
          </a:p>
        </c:txPr>
        <c:crossAx val="1208462960"/>
        <c:crosses val="autoZero"/>
        <c:auto val="1"/>
        <c:lblAlgn val="ctr"/>
        <c:lblOffset val="100"/>
        <c:noMultiLvlLbl val="0"/>
      </c:catAx>
      <c:valAx>
        <c:axId val="1208462960"/>
        <c:scaling>
          <c:orientation val="minMax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numFmt formatCode="0%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1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Aptos" panose="020B0004020202020204" pitchFamily="34" charset="0"/>
                <a:ea typeface="+mn-ea"/>
                <a:cs typeface="+mn-cs"/>
              </a:defRPr>
            </a:pPr>
            <a:endParaRPr lang="en-US"/>
          </a:p>
        </c:txPr>
        <c:crossAx val="1208453840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1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Aptos" panose="020B0004020202020204" pitchFamily="34" charset="0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 b="1">
          <a:latin typeface="Aptos" panose="020B0004020202020204" pitchFamily="34" charset="0"/>
        </a:defRPr>
      </a:pPr>
      <a:endParaRPr lang="en-US"/>
    </a:p>
  </c:txPr>
  <c:externalData r:id="rId4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n-US"/>
              <a:t>Influenza virus detections in US</a:t>
            </a:r>
            <a:r>
              <a:rPr lang="en-US" baseline="0"/>
              <a:t> Flu VE Network outpatients, 2023-24 </a:t>
            </a:r>
            <a:endParaRPr lang="en-US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title>
    <c:autoTitleDeleted val="0"/>
    <c:plotArea>
      <c:layout/>
      <c:barChart>
        <c:barDir val="col"/>
        <c:grouping val="stacked"/>
        <c:varyColors val="0"/>
        <c:ser>
          <c:idx val="1"/>
          <c:order val="1"/>
          <c:tx>
            <c:v>A(H1N1)pdm09</c:v>
          </c:tx>
          <c:spPr>
            <a:solidFill>
              <a:schemeClr val="accent5">
                <a:lumMod val="50000"/>
              </a:schemeClr>
            </a:solidFill>
            <a:ln>
              <a:solidFill>
                <a:schemeClr val="accent5">
                  <a:lumMod val="50000"/>
                </a:schemeClr>
              </a:solidFill>
            </a:ln>
            <a:effectLst/>
          </c:spPr>
          <c:invertIfNegative val="0"/>
          <c:cat>
            <c:multiLvlStrRef>
              <c:f>'[Epi_curves.xlsx]Epi-curve'!$A$3:$B$32</c:f>
              <c:multiLvlStrCache>
                <c:ptCount val="30"/>
                <c:lvl>
                  <c:pt idx="0">
                    <c:v>41</c:v>
                  </c:pt>
                  <c:pt idx="1">
                    <c:v>42</c:v>
                  </c:pt>
                  <c:pt idx="2">
                    <c:v>43</c:v>
                  </c:pt>
                  <c:pt idx="3">
                    <c:v>44</c:v>
                  </c:pt>
                  <c:pt idx="4">
                    <c:v>45</c:v>
                  </c:pt>
                  <c:pt idx="5">
                    <c:v>46</c:v>
                  </c:pt>
                  <c:pt idx="6">
                    <c:v>47</c:v>
                  </c:pt>
                  <c:pt idx="7">
                    <c:v>48</c:v>
                  </c:pt>
                  <c:pt idx="8">
                    <c:v>49</c:v>
                  </c:pt>
                  <c:pt idx="9">
                    <c:v>50</c:v>
                  </c:pt>
                  <c:pt idx="10">
                    <c:v>51</c:v>
                  </c:pt>
                  <c:pt idx="11">
                    <c:v>52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13</c:v>
                  </c:pt>
                  <c:pt idx="25">
                    <c:v>14</c:v>
                  </c:pt>
                  <c:pt idx="26">
                    <c:v>15</c:v>
                  </c:pt>
                  <c:pt idx="27">
                    <c:v>16</c:v>
                  </c:pt>
                  <c:pt idx="28">
                    <c:v>17</c:v>
                  </c:pt>
                  <c:pt idx="29">
                    <c:v>18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'[Epi_curves.xlsx]Epi-curve'!$F$3:$F$32</c:f>
              <c:numCache>
                <c:formatCode>General</c:formatCode>
                <c:ptCount val="30"/>
                <c:pt idx="0">
                  <c:v>3</c:v>
                </c:pt>
                <c:pt idx="1">
                  <c:v>1</c:v>
                </c:pt>
                <c:pt idx="2">
                  <c:v>2</c:v>
                </c:pt>
                <c:pt idx="3">
                  <c:v>9</c:v>
                </c:pt>
                <c:pt idx="4">
                  <c:v>16</c:v>
                </c:pt>
                <c:pt idx="5">
                  <c:v>20</c:v>
                </c:pt>
                <c:pt idx="6">
                  <c:v>29</c:v>
                </c:pt>
                <c:pt idx="7">
                  <c:v>44</c:v>
                </c:pt>
                <c:pt idx="8">
                  <c:v>56</c:v>
                </c:pt>
                <c:pt idx="9">
                  <c:v>82</c:v>
                </c:pt>
                <c:pt idx="10">
                  <c:v>39</c:v>
                </c:pt>
                <c:pt idx="11">
                  <c:v>48</c:v>
                </c:pt>
                <c:pt idx="12">
                  <c:v>70</c:v>
                </c:pt>
                <c:pt idx="13">
                  <c:v>56</c:v>
                </c:pt>
                <c:pt idx="14">
                  <c:v>64</c:v>
                </c:pt>
                <c:pt idx="15">
                  <c:v>49</c:v>
                </c:pt>
                <c:pt idx="16">
                  <c:v>43</c:v>
                </c:pt>
                <c:pt idx="17">
                  <c:v>36</c:v>
                </c:pt>
                <c:pt idx="18">
                  <c:v>29</c:v>
                </c:pt>
                <c:pt idx="19">
                  <c:v>26</c:v>
                </c:pt>
                <c:pt idx="20">
                  <c:v>20</c:v>
                </c:pt>
                <c:pt idx="21">
                  <c:v>17</c:v>
                </c:pt>
                <c:pt idx="22">
                  <c:v>7</c:v>
                </c:pt>
                <c:pt idx="23">
                  <c:v>8</c:v>
                </c:pt>
                <c:pt idx="24">
                  <c:v>5</c:v>
                </c:pt>
                <c:pt idx="25">
                  <c:v>5</c:v>
                </c:pt>
                <c:pt idx="26">
                  <c:v>0</c:v>
                </c:pt>
                <c:pt idx="27">
                  <c:v>6</c:v>
                </c:pt>
                <c:pt idx="28">
                  <c:v>2</c:v>
                </c:pt>
                <c:pt idx="29">
                  <c:v>1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B175-4E8F-9D8B-6D274B627DB4}"/>
            </c:ext>
          </c:extLst>
        </c:ser>
        <c:ser>
          <c:idx val="2"/>
          <c:order val="2"/>
          <c:tx>
            <c:v>A(H3N2)</c:v>
          </c:tx>
          <c:spPr>
            <a:solidFill>
              <a:schemeClr val="accent5">
                <a:lumMod val="60000"/>
                <a:lumOff val="40000"/>
              </a:schemeClr>
            </a:solidFill>
            <a:ln>
              <a:solidFill>
                <a:schemeClr val="accent5">
                  <a:lumMod val="60000"/>
                  <a:lumOff val="40000"/>
                </a:schemeClr>
              </a:solidFill>
            </a:ln>
            <a:effectLst/>
          </c:spPr>
          <c:invertIfNegative val="0"/>
          <c:cat>
            <c:multiLvlStrRef>
              <c:f>'[Epi_curves.xlsx]Epi-curve'!$A$3:$B$32</c:f>
              <c:multiLvlStrCache>
                <c:ptCount val="30"/>
                <c:lvl>
                  <c:pt idx="0">
                    <c:v>41</c:v>
                  </c:pt>
                  <c:pt idx="1">
                    <c:v>42</c:v>
                  </c:pt>
                  <c:pt idx="2">
                    <c:v>43</c:v>
                  </c:pt>
                  <c:pt idx="3">
                    <c:v>44</c:v>
                  </c:pt>
                  <c:pt idx="4">
                    <c:v>45</c:v>
                  </c:pt>
                  <c:pt idx="5">
                    <c:v>46</c:v>
                  </c:pt>
                  <c:pt idx="6">
                    <c:v>47</c:v>
                  </c:pt>
                  <c:pt idx="7">
                    <c:v>48</c:v>
                  </c:pt>
                  <c:pt idx="8">
                    <c:v>49</c:v>
                  </c:pt>
                  <c:pt idx="9">
                    <c:v>50</c:v>
                  </c:pt>
                  <c:pt idx="10">
                    <c:v>51</c:v>
                  </c:pt>
                  <c:pt idx="11">
                    <c:v>52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13</c:v>
                  </c:pt>
                  <c:pt idx="25">
                    <c:v>14</c:v>
                  </c:pt>
                  <c:pt idx="26">
                    <c:v>15</c:v>
                  </c:pt>
                  <c:pt idx="27">
                    <c:v>16</c:v>
                  </c:pt>
                  <c:pt idx="28">
                    <c:v>17</c:v>
                  </c:pt>
                  <c:pt idx="29">
                    <c:v>18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'[Epi_curves.xlsx]Epi-curve'!$E$3:$E$32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2</c:v>
                </c:pt>
                <c:pt idx="4">
                  <c:v>4</c:v>
                </c:pt>
                <c:pt idx="5">
                  <c:v>2</c:v>
                </c:pt>
                <c:pt idx="6">
                  <c:v>1</c:v>
                </c:pt>
                <c:pt idx="7">
                  <c:v>6</c:v>
                </c:pt>
                <c:pt idx="8">
                  <c:v>5</c:v>
                </c:pt>
                <c:pt idx="9">
                  <c:v>8</c:v>
                </c:pt>
                <c:pt idx="10">
                  <c:v>14</c:v>
                </c:pt>
                <c:pt idx="11">
                  <c:v>12</c:v>
                </c:pt>
                <c:pt idx="12">
                  <c:v>15</c:v>
                </c:pt>
                <c:pt idx="13">
                  <c:v>23</c:v>
                </c:pt>
                <c:pt idx="14">
                  <c:v>26</c:v>
                </c:pt>
                <c:pt idx="15">
                  <c:v>39</c:v>
                </c:pt>
                <c:pt idx="16">
                  <c:v>30</c:v>
                </c:pt>
                <c:pt idx="17">
                  <c:v>11</c:v>
                </c:pt>
                <c:pt idx="18">
                  <c:v>21</c:v>
                </c:pt>
                <c:pt idx="19">
                  <c:v>25</c:v>
                </c:pt>
                <c:pt idx="20">
                  <c:v>23</c:v>
                </c:pt>
                <c:pt idx="21">
                  <c:v>12</c:v>
                </c:pt>
                <c:pt idx="22">
                  <c:v>11</c:v>
                </c:pt>
                <c:pt idx="23">
                  <c:v>12</c:v>
                </c:pt>
                <c:pt idx="24">
                  <c:v>7</c:v>
                </c:pt>
                <c:pt idx="25">
                  <c:v>5</c:v>
                </c:pt>
                <c:pt idx="26">
                  <c:v>5</c:v>
                </c:pt>
                <c:pt idx="27">
                  <c:v>2</c:v>
                </c:pt>
                <c:pt idx="28">
                  <c:v>1</c:v>
                </c:pt>
                <c:pt idx="2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175-4E8F-9D8B-6D274B627DB4}"/>
            </c:ext>
          </c:extLst>
        </c:ser>
        <c:ser>
          <c:idx val="3"/>
          <c:order val="3"/>
          <c:tx>
            <c:v>B/Victoria</c:v>
          </c:tx>
          <c:spPr>
            <a:solidFill>
              <a:schemeClr val="accent5">
                <a:lumMod val="20000"/>
                <a:lumOff val="80000"/>
              </a:schemeClr>
            </a:solidFill>
            <a:ln>
              <a:solidFill>
                <a:schemeClr val="accent5">
                  <a:lumMod val="20000"/>
                  <a:lumOff val="80000"/>
                </a:schemeClr>
              </a:solidFill>
            </a:ln>
            <a:effectLst/>
          </c:spPr>
          <c:invertIfNegative val="0"/>
          <c:cat>
            <c:multiLvlStrRef>
              <c:f>'[Epi_curves.xlsx]Epi-curve'!$A$3:$B$32</c:f>
              <c:multiLvlStrCache>
                <c:ptCount val="30"/>
                <c:lvl>
                  <c:pt idx="0">
                    <c:v>41</c:v>
                  </c:pt>
                  <c:pt idx="1">
                    <c:v>42</c:v>
                  </c:pt>
                  <c:pt idx="2">
                    <c:v>43</c:v>
                  </c:pt>
                  <c:pt idx="3">
                    <c:v>44</c:v>
                  </c:pt>
                  <c:pt idx="4">
                    <c:v>45</c:v>
                  </c:pt>
                  <c:pt idx="5">
                    <c:v>46</c:v>
                  </c:pt>
                  <c:pt idx="6">
                    <c:v>47</c:v>
                  </c:pt>
                  <c:pt idx="7">
                    <c:v>48</c:v>
                  </c:pt>
                  <c:pt idx="8">
                    <c:v>49</c:v>
                  </c:pt>
                  <c:pt idx="9">
                    <c:v>50</c:v>
                  </c:pt>
                  <c:pt idx="10">
                    <c:v>51</c:v>
                  </c:pt>
                  <c:pt idx="11">
                    <c:v>52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13</c:v>
                  </c:pt>
                  <c:pt idx="25">
                    <c:v>14</c:v>
                  </c:pt>
                  <c:pt idx="26">
                    <c:v>15</c:v>
                  </c:pt>
                  <c:pt idx="27">
                    <c:v>16</c:v>
                  </c:pt>
                  <c:pt idx="28">
                    <c:v>17</c:v>
                  </c:pt>
                  <c:pt idx="29">
                    <c:v>18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'[Epi_curves.xlsx]Epi-curve'!$G$3:$G$32</c:f>
              <c:numCache>
                <c:formatCode>General</c:formatCode>
                <c:ptCount val="30"/>
                <c:pt idx="0">
                  <c:v>0</c:v>
                </c:pt>
                <c:pt idx="1">
                  <c:v>0</c:v>
                </c:pt>
                <c:pt idx="2">
                  <c:v>4</c:v>
                </c:pt>
                <c:pt idx="3">
                  <c:v>6</c:v>
                </c:pt>
                <c:pt idx="4">
                  <c:v>2</c:v>
                </c:pt>
                <c:pt idx="5">
                  <c:v>4</c:v>
                </c:pt>
                <c:pt idx="6">
                  <c:v>2</c:v>
                </c:pt>
                <c:pt idx="7">
                  <c:v>8</c:v>
                </c:pt>
                <c:pt idx="8">
                  <c:v>19</c:v>
                </c:pt>
                <c:pt idx="9">
                  <c:v>14</c:v>
                </c:pt>
                <c:pt idx="10">
                  <c:v>13</c:v>
                </c:pt>
                <c:pt idx="11">
                  <c:v>14</c:v>
                </c:pt>
                <c:pt idx="12">
                  <c:v>9</c:v>
                </c:pt>
                <c:pt idx="13">
                  <c:v>25</c:v>
                </c:pt>
                <c:pt idx="14">
                  <c:v>23</c:v>
                </c:pt>
                <c:pt idx="15">
                  <c:v>37</c:v>
                </c:pt>
                <c:pt idx="16">
                  <c:v>49</c:v>
                </c:pt>
                <c:pt idx="17">
                  <c:v>36</c:v>
                </c:pt>
                <c:pt idx="18">
                  <c:v>41</c:v>
                </c:pt>
                <c:pt idx="19">
                  <c:v>44</c:v>
                </c:pt>
                <c:pt idx="20">
                  <c:v>56</c:v>
                </c:pt>
                <c:pt idx="21">
                  <c:v>37</c:v>
                </c:pt>
                <c:pt idx="22">
                  <c:v>24</c:v>
                </c:pt>
                <c:pt idx="23">
                  <c:v>12</c:v>
                </c:pt>
                <c:pt idx="24">
                  <c:v>22</c:v>
                </c:pt>
                <c:pt idx="25">
                  <c:v>12</c:v>
                </c:pt>
                <c:pt idx="26">
                  <c:v>5</c:v>
                </c:pt>
                <c:pt idx="27">
                  <c:v>4</c:v>
                </c:pt>
                <c:pt idx="28">
                  <c:v>2</c:v>
                </c:pt>
                <c:pt idx="29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2-B175-4E8F-9D8B-6D274B627D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640975999"/>
        <c:axId val="123026015"/>
        <c:extLst>
          <c:ext xmlns:c15="http://schemas.microsoft.com/office/drawing/2012/chart" uri="{02D57815-91ED-43cb-92C2-25804820EDAC}">
            <c15:filteredBarSeries>
              <c15:ser>
                <c:idx val="0"/>
                <c:order val="0"/>
                <c:tx>
                  <c:v>Negative</c:v>
                </c:tx>
                <c:spPr>
                  <a:solidFill>
                    <a:schemeClr val="bg1">
                      <a:lumMod val="85000"/>
                    </a:schemeClr>
                  </a:solidFill>
                  <a:ln>
                    <a:solidFill>
                      <a:schemeClr val="bg1">
                        <a:lumMod val="50000"/>
                      </a:schemeClr>
                    </a:solidFill>
                  </a:ln>
                  <a:effectLst/>
                </c:spPr>
                <c:invertIfNegative val="0"/>
                <c:cat>
                  <c:multiLvlStrRef>
                    <c:extLst>
                      <c:ext uri="{02D57815-91ED-43cb-92C2-25804820EDAC}">
                        <c15:formulaRef>
                          <c15:sqref>'[Epi_curves.xlsx]Epi-curve'!$A$3:$B$32</c15:sqref>
                        </c15:formulaRef>
                      </c:ext>
                    </c:extLst>
                    <c:multiLvlStrCache>
                      <c:ptCount val="30"/>
                      <c:lvl>
                        <c:pt idx="0">
                          <c:v>41</c:v>
                        </c:pt>
                        <c:pt idx="1">
                          <c:v>42</c:v>
                        </c:pt>
                        <c:pt idx="2">
                          <c:v>43</c:v>
                        </c:pt>
                        <c:pt idx="3">
                          <c:v>44</c:v>
                        </c:pt>
                        <c:pt idx="4">
                          <c:v>45</c:v>
                        </c:pt>
                        <c:pt idx="5">
                          <c:v>46</c:v>
                        </c:pt>
                        <c:pt idx="6">
                          <c:v>47</c:v>
                        </c:pt>
                        <c:pt idx="7">
                          <c:v>48</c:v>
                        </c:pt>
                        <c:pt idx="8">
                          <c:v>49</c:v>
                        </c:pt>
                        <c:pt idx="9">
                          <c:v>50</c:v>
                        </c:pt>
                        <c:pt idx="10">
                          <c:v>51</c:v>
                        </c:pt>
                        <c:pt idx="11">
                          <c:v>52</c:v>
                        </c:pt>
                        <c:pt idx="12">
                          <c:v>1</c:v>
                        </c:pt>
                        <c:pt idx="13">
                          <c:v>2</c:v>
                        </c:pt>
                        <c:pt idx="14">
                          <c:v>3</c:v>
                        </c:pt>
                        <c:pt idx="15">
                          <c:v>4</c:v>
                        </c:pt>
                        <c:pt idx="16">
                          <c:v>5</c:v>
                        </c:pt>
                        <c:pt idx="17">
                          <c:v>6</c:v>
                        </c:pt>
                        <c:pt idx="18">
                          <c:v>7</c:v>
                        </c:pt>
                        <c:pt idx="19">
                          <c:v>8</c:v>
                        </c:pt>
                        <c:pt idx="20">
                          <c:v>9</c:v>
                        </c:pt>
                        <c:pt idx="21">
                          <c:v>10</c:v>
                        </c:pt>
                        <c:pt idx="22">
                          <c:v>11</c:v>
                        </c:pt>
                        <c:pt idx="23">
                          <c:v>12</c:v>
                        </c:pt>
                        <c:pt idx="24">
                          <c:v>13</c:v>
                        </c:pt>
                        <c:pt idx="25">
                          <c:v>14</c:v>
                        </c:pt>
                        <c:pt idx="26">
                          <c:v>15</c:v>
                        </c:pt>
                        <c:pt idx="27">
                          <c:v>16</c:v>
                        </c:pt>
                        <c:pt idx="28">
                          <c:v>17</c:v>
                        </c:pt>
                        <c:pt idx="29">
                          <c:v>18</c:v>
                        </c:pt>
                      </c:lvl>
                      <c:lvl>
                        <c:pt idx="0">
                          <c:v>2023</c:v>
                        </c:pt>
                        <c:pt idx="12">
                          <c:v>2024</c:v>
                        </c:pt>
                      </c:lvl>
                    </c:multiLvlStrCache>
                  </c:multiLvlStrRef>
                </c:cat>
                <c:val>
                  <c:numRef>
                    <c:extLst>
                      <c:ext uri="{02D57815-91ED-43cb-92C2-25804820EDAC}">
                        <c15:formulaRef>
                          <c15:sqref>'[Epi_curves.xlsx]Epi-curve'!$C$3:$C$32</c15:sqref>
                        </c15:formulaRef>
                      </c:ext>
                    </c:extLst>
                    <c:numCache>
                      <c:formatCode>General</c:formatCode>
                      <c:ptCount val="30"/>
                      <c:pt idx="0">
                        <c:v>51</c:v>
                      </c:pt>
                      <c:pt idx="1">
                        <c:v>57</c:v>
                      </c:pt>
                      <c:pt idx="2">
                        <c:v>86</c:v>
                      </c:pt>
                      <c:pt idx="3">
                        <c:v>170</c:v>
                      </c:pt>
                      <c:pt idx="4">
                        <c:v>197</c:v>
                      </c:pt>
                      <c:pt idx="5">
                        <c:v>165</c:v>
                      </c:pt>
                      <c:pt idx="6">
                        <c:v>166</c:v>
                      </c:pt>
                      <c:pt idx="7">
                        <c:v>250</c:v>
                      </c:pt>
                      <c:pt idx="8">
                        <c:v>259</c:v>
                      </c:pt>
                      <c:pt idx="9">
                        <c:v>221</c:v>
                      </c:pt>
                      <c:pt idx="10">
                        <c:v>114</c:v>
                      </c:pt>
                      <c:pt idx="11">
                        <c:v>200</c:v>
                      </c:pt>
                      <c:pt idx="12">
                        <c:v>265</c:v>
                      </c:pt>
                      <c:pt idx="13">
                        <c:v>198</c:v>
                      </c:pt>
                      <c:pt idx="14">
                        <c:v>202</c:v>
                      </c:pt>
                      <c:pt idx="15">
                        <c:v>196</c:v>
                      </c:pt>
                      <c:pt idx="16">
                        <c:v>208</c:v>
                      </c:pt>
                      <c:pt idx="17">
                        <c:v>201</c:v>
                      </c:pt>
                      <c:pt idx="18">
                        <c:v>222</c:v>
                      </c:pt>
                      <c:pt idx="19">
                        <c:v>202</c:v>
                      </c:pt>
                      <c:pt idx="20">
                        <c:v>205</c:v>
                      </c:pt>
                      <c:pt idx="21">
                        <c:v>158</c:v>
                      </c:pt>
                      <c:pt idx="22">
                        <c:v>186</c:v>
                      </c:pt>
                      <c:pt idx="23">
                        <c:v>155</c:v>
                      </c:pt>
                      <c:pt idx="24">
                        <c:v>133</c:v>
                      </c:pt>
                      <c:pt idx="25">
                        <c:v>137</c:v>
                      </c:pt>
                      <c:pt idx="26">
                        <c:v>126</c:v>
                      </c:pt>
                      <c:pt idx="27">
                        <c:v>93</c:v>
                      </c:pt>
                      <c:pt idx="28">
                        <c:v>59</c:v>
                      </c:pt>
                      <c:pt idx="29">
                        <c:v>3</c:v>
                      </c:pt>
                    </c:numCache>
                  </c:numRef>
                </c:val>
                <c:extLst>
                  <c:ext xmlns:c16="http://schemas.microsoft.com/office/drawing/2014/chart" uri="{C3380CC4-5D6E-409C-BE32-E72D297353CC}">
                    <c16:uniqueId val="{00000004-B175-4E8F-9D8B-6D274B627DB4}"/>
                  </c:ext>
                </c:extLst>
              </c15:ser>
            </c15:filteredBarSeries>
          </c:ext>
        </c:extLst>
      </c:barChart>
      <c:lineChart>
        <c:grouping val="standard"/>
        <c:varyColors val="0"/>
        <c:ser>
          <c:idx val="4"/>
          <c:order val="4"/>
          <c:tx>
            <c:v>Percent influenza positive</c:v>
          </c:tx>
          <c:spPr>
            <a:ln w="28575" cap="rnd">
              <a:solidFill>
                <a:schemeClr val="accent5"/>
              </a:solidFill>
              <a:round/>
            </a:ln>
            <a:effectLst/>
          </c:spPr>
          <c:marker>
            <c:symbol val="none"/>
          </c:marker>
          <c:val>
            <c:numRef>
              <c:f>'[Epi_curves.xlsx]Epi-curve'!$J$3:$J$32</c:f>
              <c:numCache>
                <c:formatCode>0%</c:formatCode>
                <c:ptCount val="30"/>
                <c:pt idx="0">
                  <c:v>5.5555555555555552E-2</c:v>
                </c:pt>
                <c:pt idx="1">
                  <c:v>1.7241379310344827E-2</c:v>
                </c:pt>
                <c:pt idx="2">
                  <c:v>6.5217391304347824E-2</c:v>
                </c:pt>
                <c:pt idx="3">
                  <c:v>9.0909090909090912E-2</c:v>
                </c:pt>
                <c:pt idx="4">
                  <c:v>0.1004566210045662</c:v>
                </c:pt>
                <c:pt idx="5">
                  <c:v>0.13612565445026178</c:v>
                </c:pt>
                <c:pt idx="6">
                  <c:v>0.16582914572864321</c:v>
                </c:pt>
                <c:pt idx="7">
                  <c:v>0.19614147909967847</c:v>
                </c:pt>
                <c:pt idx="8">
                  <c:v>0.2404692082111437</c:v>
                </c:pt>
                <c:pt idx="9">
                  <c:v>0.32415902140672781</c:v>
                </c:pt>
                <c:pt idx="10">
                  <c:v>0.38043478260869568</c:v>
                </c:pt>
                <c:pt idx="11">
                  <c:v>0.2805755395683453</c:v>
                </c:pt>
                <c:pt idx="12">
                  <c:v>0.26592797783933519</c:v>
                </c:pt>
                <c:pt idx="13">
                  <c:v>0.35714285714285715</c:v>
                </c:pt>
                <c:pt idx="14">
                  <c:v>0.36075949367088606</c:v>
                </c:pt>
                <c:pt idx="15">
                  <c:v>0.39692307692307693</c:v>
                </c:pt>
                <c:pt idx="16">
                  <c:v>0.37160120845921452</c:v>
                </c:pt>
                <c:pt idx="17">
                  <c:v>0.29965156794425085</c:v>
                </c:pt>
                <c:pt idx="18">
                  <c:v>0.29746835443037972</c:v>
                </c:pt>
                <c:pt idx="19">
                  <c:v>0.32890365448504982</c:v>
                </c:pt>
                <c:pt idx="20">
                  <c:v>0.33870967741935482</c:v>
                </c:pt>
                <c:pt idx="21">
                  <c:v>0.29464285714285715</c:v>
                </c:pt>
                <c:pt idx="22">
                  <c:v>0.19130434782608696</c:v>
                </c:pt>
                <c:pt idx="23">
                  <c:v>0.17112299465240641</c:v>
                </c:pt>
                <c:pt idx="24">
                  <c:v>0.20833333333333334</c:v>
                </c:pt>
                <c:pt idx="25">
                  <c:v>0.14906832298136646</c:v>
                </c:pt>
                <c:pt idx="26">
                  <c:v>8.0291970802919707E-2</c:v>
                </c:pt>
                <c:pt idx="27">
                  <c:v>0.11428571428571428</c:v>
                </c:pt>
                <c:pt idx="28">
                  <c:v>7.8125E-2</c:v>
                </c:pt>
              </c:numCache>
            </c:numRef>
          </c:val>
          <c:smooth val="0"/>
          <c:extLst>
            <c:ext xmlns:c16="http://schemas.microsoft.com/office/drawing/2014/chart" uri="{C3380CC4-5D6E-409C-BE32-E72D297353CC}">
              <c16:uniqueId val="{00000003-B175-4E8F-9D8B-6D274B627DB4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marker val="1"/>
        <c:smooth val="0"/>
        <c:axId val="1661260592"/>
        <c:axId val="1661249552"/>
      </c:lineChart>
      <c:catAx>
        <c:axId val="1640975999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 of study</a:t>
                </a:r>
                <a:r>
                  <a:rPr lang="en-US" baseline="0"/>
                  <a:t> enrollment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23026015"/>
        <c:crosses val="autoZero"/>
        <c:auto val="1"/>
        <c:lblAlgn val="ctr"/>
        <c:lblOffset val="100"/>
        <c:noMultiLvlLbl val="0"/>
      </c:catAx>
      <c:valAx>
        <c:axId val="123026015"/>
        <c:scaling>
          <c:orientation val="minMax"/>
          <c:max val="150"/>
          <c:min val="0"/>
        </c:scaling>
        <c:delete val="0"/>
        <c:axPos val="l"/>
        <c:majorGridlines>
          <c:spPr>
            <a:ln w="9525" cap="flat" cmpd="sng" algn="ctr">
              <a:solidFill>
                <a:schemeClr val="tx1">
                  <a:lumMod val="15000"/>
                  <a:lumOff val="85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 influenza-positive cases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40975999"/>
        <c:crosses val="autoZero"/>
        <c:crossBetween val="between"/>
      </c:valAx>
      <c:valAx>
        <c:axId val="1661249552"/>
        <c:scaling>
          <c:orientation val="minMax"/>
        </c:scaling>
        <c:delete val="0"/>
        <c:axPos val="r"/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Percent influenza positive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0%" sourceLinked="1"/>
        <c:majorTickMark val="out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661260592"/>
        <c:crosses val="max"/>
        <c:crossBetween val="between"/>
      </c:valAx>
      <c:catAx>
        <c:axId val="1661260592"/>
        <c:scaling>
          <c:orientation val="minMax"/>
        </c:scaling>
        <c:delete val="1"/>
        <c:axPos val="b"/>
        <c:majorTickMark val="out"/>
        <c:minorTickMark val="none"/>
        <c:tickLblPos val="nextTo"/>
        <c:crossAx val="1661249552"/>
        <c:crosses val="autoZero"/>
        <c:auto val="1"/>
        <c:lblAlgn val="ctr"/>
        <c:lblOffset val="100"/>
        <c:noMultiLvlLbl val="0"/>
      </c:cat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n-U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autoTitleDeleted val="1"/>
    <c:plotArea>
      <c:layout/>
      <c:barChart>
        <c:barDir val="col"/>
        <c:grouping val="stacked"/>
        <c:varyColors val="0"/>
        <c:ser>
          <c:idx val="1"/>
          <c:order val="0"/>
          <c:tx>
            <c:strRef>
              <c:f>'[Chart in Microsoft Word]Epi-curve'!$N$2</c:f>
              <c:strCache>
                <c:ptCount val="1"/>
                <c:pt idx="0">
                  <c:v>2a.1</c:v>
                </c:pt>
              </c:strCache>
            </c:strRef>
          </c:tx>
          <c:spPr>
            <a:solidFill>
              <a:schemeClr val="accent6">
                <a:lumMod val="5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'[Chart in Microsoft Word]Epi-curve'!$A$3:$B$32</c:f>
              <c:multiLvlStrCache>
                <c:ptCount val="30"/>
                <c:lvl>
                  <c:pt idx="0">
                    <c:v>41</c:v>
                  </c:pt>
                  <c:pt idx="1">
                    <c:v>42</c:v>
                  </c:pt>
                  <c:pt idx="2">
                    <c:v>43</c:v>
                  </c:pt>
                  <c:pt idx="3">
                    <c:v>44</c:v>
                  </c:pt>
                  <c:pt idx="4">
                    <c:v>45</c:v>
                  </c:pt>
                  <c:pt idx="5">
                    <c:v>46</c:v>
                  </c:pt>
                  <c:pt idx="6">
                    <c:v>47</c:v>
                  </c:pt>
                  <c:pt idx="7">
                    <c:v>48</c:v>
                  </c:pt>
                  <c:pt idx="8">
                    <c:v>49</c:v>
                  </c:pt>
                  <c:pt idx="9">
                    <c:v>50</c:v>
                  </c:pt>
                  <c:pt idx="10">
                    <c:v>51</c:v>
                  </c:pt>
                  <c:pt idx="11">
                    <c:v>52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13</c:v>
                  </c:pt>
                  <c:pt idx="25">
                    <c:v>14</c:v>
                  </c:pt>
                  <c:pt idx="26">
                    <c:v>15</c:v>
                  </c:pt>
                  <c:pt idx="27">
                    <c:v>16</c:v>
                  </c:pt>
                  <c:pt idx="28">
                    <c:v>17</c:v>
                  </c:pt>
                  <c:pt idx="29">
                    <c:v>18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'[Chart in Microsoft Word]Epi-curve'!$N$3:$N$31</c:f>
              <c:numCache>
                <c:formatCode>General</c:formatCode>
                <c:ptCount val="29"/>
                <c:pt idx="0">
                  <c:v>2</c:v>
                </c:pt>
                <c:pt idx="1">
                  <c:v>1</c:v>
                </c:pt>
                <c:pt idx="2">
                  <c:v>2</c:v>
                </c:pt>
                <c:pt idx="3">
                  <c:v>2</c:v>
                </c:pt>
                <c:pt idx="4">
                  <c:v>10</c:v>
                </c:pt>
                <c:pt idx="5">
                  <c:v>7</c:v>
                </c:pt>
                <c:pt idx="6">
                  <c:v>14</c:v>
                </c:pt>
                <c:pt idx="7">
                  <c:v>22</c:v>
                </c:pt>
                <c:pt idx="8">
                  <c:v>40</c:v>
                </c:pt>
                <c:pt idx="9">
                  <c:v>53</c:v>
                </c:pt>
                <c:pt idx="10">
                  <c:v>24</c:v>
                </c:pt>
                <c:pt idx="11">
                  <c:v>28</c:v>
                </c:pt>
                <c:pt idx="12">
                  <c:v>41</c:v>
                </c:pt>
                <c:pt idx="13">
                  <c:v>37</c:v>
                </c:pt>
                <c:pt idx="14">
                  <c:v>43</c:v>
                </c:pt>
                <c:pt idx="15">
                  <c:v>34</c:v>
                </c:pt>
                <c:pt idx="16">
                  <c:v>29</c:v>
                </c:pt>
                <c:pt idx="17">
                  <c:v>19</c:v>
                </c:pt>
                <c:pt idx="18">
                  <c:v>21</c:v>
                </c:pt>
                <c:pt idx="19">
                  <c:v>14</c:v>
                </c:pt>
                <c:pt idx="20">
                  <c:v>9</c:v>
                </c:pt>
                <c:pt idx="21">
                  <c:v>8</c:v>
                </c:pt>
                <c:pt idx="22">
                  <c:v>2</c:v>
                </c:pt>
                <c:pt idx="23">
                  <c:v>3</c:v>
                </c:pt>
                <c:pt idx="24">
                  <c:v>1</c:v>
                </c:pt>
                <c:pt idx="25">
                  <c:v>0</c:v>
                </c:pt>
                <c:pt idx="27">
                  <c:v>3</c:v>
                </c:pt>
                <c:pt idx="28">
                  <c:v>2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77DC-4386-B842-B961E01D6492}"/>
            </c:ext>
          </c:extLst>
        </c:ser>
        <c:ser>
          <c:idx val="0"/>
          <c:order val="1"/>
          <c:tx>
            <c:strRef>
              <c:f>'[Chart in Microsoft Word]Epi-curve'!$M$2</c:f>
              <c:strCache>
                <c:ptCount val="1"/>
                <c:pt idx="0">
                  <c:v>2a</c:v>
                </c:pt>
              </c:strCache>
            </c:strRef>
          </c:tx>
          <c:spPr>
            <a:solidFill>
              <a:schemeClr val="accent6">
                <a:lumMod val="40000"/>
                <a:lumOff val="60000"/>
              </a:schemeClr>
            </a:solidFill>
            <a:ln>
              <a:noFill/>
            </a:ln>
            <a:effectLst/>
          </c:spPr>
          <c:invertIfNegative val="0"/>
          <c:cat>
            <c:multiLvlStrRef>
              <c:f>'[Chart in Microsoft Word]Epi-curve'!$A$3:$B$32</c:f>
              <c:multiLvlStrCache>
                <c:ptCount val="30"/>
                <c:lvl>
                  <c:pt idx="0">
                    <c:v>41</c:v>
                  </c:pt>
                  <c:pt idx="1">
                    <c:v>42</c:v>
                  </c:pt>
                  <c:pt idx="2">
                    <c:v>43</c:v>
                  </c:pt>
                  <c:pt idx="3">
                    <c:v>44</c:v>
                  </c:pt>
                  <c:pt idx="4">
                    <c:v>45</c:v>
                  </c:pt>
                  <c:pt idx="5">
                    <c:v>46</c:v>
                  </c:pt>
                  <c:pt idx="6">
                    <c:v>47</c:v>
                  </c:pt>
                  <c:pt idx="7">
                    <c:v>48</c:v>
                  </c:pt>
                  <c:pt idx="8">
                    <c:v>49</c:v>
                  </c:pt>
                  <c:pt idx="9">
                    <c:v>50</c:v>
                  </c:pt>
                  <c:pt idx="10">
                    <c:v>51</c:v>
                  </c:pt>
                  <c:pt idx="11">
                    <c:v>52</c:v>
                  </c:pt>
                  <c:pt idx="12">
                    <c:v>1</c:v>
                  </c:pt>
                  <c:pt idx="13">
                    <c:v>2</c:v>
                  </c:pt>
                  <c:pt idx="14">
                    <c:v>3</c:v>
                  </c:pt>
                  <c:pt idx="15">
                    <c:v>4</c:v>
                  </c:pt>
                  <c:pt idx="16">
                    <c:v>5</c:v>
                  </c:pt>
                  <c:pt idx="17">
                    <c:v>6</c:v>
                  </c:pt>
                  <c:pt idx="18">
                    <c:v>7</c:v>
                  </c:pt>
                  <c:pt idx="19">
                    <c:v>8</c:v>
                  </c:pt>
                  <c:pt idx="20">
                    <c:v>9</c:v>
                  </c:pt>
                  <c:pt idx="21">
                    <c:v>10</c:v>
                  </c:pt>
                  <c:pt idx="22">
                    <c:v>11</c:v>
                  </c:pt>
                  <c:pt idx="23">
                    <c:v>12</c:v>
                  </c:pt>
                  <c:pt idx="24">
                    <c:v>13</c:v>
                  </c:pt>
                  <c:pt idx="25">
                    <c:v>14</c:v>
                  </c:pt>
                  <c:pt idx="26">
                    <c:v>15</c:v>
                  </c:pt>
                  <c:pt idx="27">
                    <c:v>16</c:v>
                  </c:pt>
                  <c:pt idx="28">
                    <c:v>17</c:v>
                  </c:pt>
                  <c:pt idx="29">
                    <c:v>18</c:v>
                  </c:pt>
                </c:lvl>
                <c:lvl>
                  <c:pt idx="0">
                    <c:v>2023</c:v>
                  </c:pt>
                  <c:pt idx="12">
                    <c:v>2024</c:v>
                  </c:pt>
                </c:lvl>
              </c:multiLvlStrCache>
            </c:multiLvlStrRef>
          </c:cat>
          <c:val>
            <c:numRef>
              <c:f>'[Chart in Microsoft Word]Epi-curve'!$M$3:$M$31</c:f>
              <c:numCache>
                <c:formatCode>General</c:formatCode>
                <c:ptCount val="29"/>
                <c:pt idx="0">
                  <c:v>0</c:v>
                </c:pt>
                <c:pt idx="1">
                  <c:v>0</c:v>
                </c:pt>
                <c:pt idx="2">
                  <c:v>0</c:v>
                </c:pt>
                <c:pt idx="3">
                  <c:v>7</c:v>
                </c:pt>
                <c:pt idx="4">
                  <c:v>5</c:v>
                </c:pt>
                <c:pt idx="5">
                  <c:v>8</c:v>
                </c:pt>
                <c:pt idx="6">
                  <c:v>11</c:v>
                </c:pt>
                <c:pt idx="7">
                  <c:v>10</c:v>
                </c:pt>
                <c:pt idx="8">
                  <c:v>10</c:v>
                </c:pt>
                <c:pt idx="9">
                  <c:v>15</c:v>
                </c:pt>
                <c:pt idx="10">
                  <c:v>11</c:v>
                </c:pt>
                <c:pt idx="11">
                  <c:v>7</c:v>
                </c:pt>
                <c:pt idx="12">
                  <c:v>13</c:v>
                </c:pt>
                <c:pt idx="13">
                  <c:v>7</c:v>
                </c:pt>
                <c:pt idx="14">
                  <c:v>11</c:v>
                </c:pt>
                <c:pt idx="15">
                  <c:v>3</c:v>
                </c:pt>
                <c:pt idx="16">
                  <c:v>2</c:v>
                </c:pt>
                <c:pt idx="17">
                  <c:v>6</c:v>
                </c:pt>
                <c:pt idx="18">
                  <c:v>2</c:v>
                </c:pt>
                <c:pt idx="19">
                  <c:v>1</c:v>
                </c:pt>
                <c:pt idx="20">
                  <c:v>2</c:v>
                </c:pt>
                <c:pt idx="21">
                  <c:v>2</c:v>
                </c:pt>
                <c:pt idx="22">
                  <c:v>1</c:v>
                </c:pt>
                <c:pt idx="23">
                  <c:v>2</c:v>
                </c:pt>
                <c:pt idx="24">
                  <c:v>0</c:v>
                </c:pt>
                <c:pt idx="25">
                  <c:v>1</c:v>
                </c:pt>
                <c:pt idx="27">
                  <c:v>0</c:v>
                </c:pt>
                <c:pt idx="28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77DC-4386-B842-B961E01D6492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</c:dLbls>
        <c:gapWidth val="150"/>
        <c:overlap val="100"/>
        <c:axId val="1721310192"/>
        <c:axId val="1721310672"/>
      </c:barChart>
      <c:catAx>
        <c:axId val="1721310192"/>
        <c:scaling>
          <c:orientation val="minMax"/>
        </c:scaling>
        <c:delete val="0"/>
        <c:axPos val="b"/>
        <c:title>
          <c:tx>
            <c:rich>
              <a:bodyPr rot="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Week</a:t>
                </a:r>
                <a:r>
                  <a:rPr lang="en-US" baseline="0"/>
                  <a:t> of illness onset</a:t>
                </a:r>
                <a:endParaRPr lang="en-US"/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 w="9525" cap="flat" cmpd="sng" algn="ctr">
            <a:solidFill>
              <a:schemeClr val="tx1">
                <a:lumMod val="15000"/>
                <a:lumOff val="85000"/>
              </a:schemeClr>
            </a:solidFill>
            <a:round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1310672"/>
        <c:crosses val="autoZero"/>
        <c:auto val="1"/>
        <c:lblAlgn val="ctr"/>
        <c:lblOffset val="100"/>
        <c:noMultiLvlLbl val="0"/>
      </c:catAx>
      <c:valAx>
        <c:axId val="1721310672"/>
        <c:scaling>
          <c:orientation val="minMax"/>
          <c:max val="70"/>
          <c:min val="0"/>
        </c:scaling>
        <c:delete val="0"/>
        <c:axPos val="l"/>
        <c:majorGridlines>
          <c:spPr>
            <a:ln w="3175" cap="flat" cmpd="sng" algn="ctr">
              <a:solidFill>
                <a:schemeClr val="accent3">
                  <a:alpha val="53000"/>
                </a:schemeClr>
              </a:solidFill>
              <a:round/>
            </a:ln>
            <a:effectLst/>
          </c:spPr>
        </c:majorGridlines>
        <c:title>
          <c:tx>
            <c:rich>
              <a:bodyPr rot="-5400000" spcFirstLastPara="1" vertOverflow="ellipsis" vert="horz" wrap="square" anchor="ctr" anchorCtr="1"/>
              <a:lstStyle/>
              <a:p>
                <a:pPr>
                  <a:defRPr sz="1000" b="0" i="0" u="none" strike="noStrike" kern="1200" baseline="0">
                    <a:solidFill>
                      <a:schemeClr val="tx1">
                        <a:lumMod val="65000"/>
                        <a:lumOff val="35000"/>
                      </a:schemeClr>
                    </a:solidFill>
                    <a:latin typeface="+mn-lt"/>
                    <a:ea typeface="+mn-ea"/>
                    <a:cs typeface="+mn-cs"/>
                  </a:defRPr>
                </a:pPr>
                <a:r>
                  <a:rPr lang="en-US"/>
                  <a:t>N of sequenced viruses</a:t>
                </a:r>
              </a:p>
            </c:rich>
          </c:tx>
          <c:overlay val="0"/>
          <c:spPr>
            <a:noFill/>
            <a:ln>
              <a:noFill/>
            </a:ln>
            <a:effectLst/>
          </c:spPr>
          <c:txPr>
            <a:bodyPr rot="-5400000" spcFirstLastPara="1" vertOverflow="ellipsis" vert="horz" wrap="square" anchor="ctr" anchorCtr="1"/>
            <a:lstStyle/>
            <a:p>
              <a:pPr>
                <a:defRPr sz="1000" b="0" i="0" u="none" strike="noStrike" kern="1200" baseline="0">
                  <a:solidFill>
                    <a:schemeClr val="tx1">
                      <a:lumMod val="65000"/>
                      <a:lumOff val="35000"/>
                    </a:schemeClr>
                  </a:solidFill>
                  <a:latin typeface="+mn-lt"/>
                  <a:ea typeface="+mn-ea"/>
                  <a:cs typeface="+mn-cs"/>
                </a:defRPr>
              </a:pPr>
              <a:endParaRPr lang="en-US"/>
            </a:p>
          </c:txPr>
        </c:title>
        <c:numFmt formatCode="General" sourceLinked="1"/>
        <c:majorTickMark val="none"/>
        <c:minorTickMark val="none"/>
        <c:tickLblPos val="nextTo"/>
        <c:spPr>
          <a:noFill/>
          <a:ln>
            <a:noFill/>
          </a:ln>
          <a:effectLst/>
        </c:spPr>
        <c:txPr>
          <a:bodyPr rot="-60000000" spcFirstLastPara="1" vertOverflow="ellipsis" vert="horz" wrap="square" anchor="ctr" anchorCtr="1"/>
          <a:lstStyle/>
          <a:p>
            <a:pPr>
              <a:defRPr sz="900" b="0" i="0" u="none" strike="noStrike" kern="120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endParaRPr lang="en-US"/>
          </a:p>
        </c:txPr>
        <c:crossAx val="1721310192"/>
        <c:crosses val="autoZero"/>
        <c:crossBetween val="between"/>
      </c:valAx>
      <c:spPr>
        <a:noFill/>
        <a:ln>
          <a:noFill/>
        </a:ln>
        <a:effectLst/>
      </c:spPr>
    </c:plotArea>
    <c:legend>
      <c:legendPos val="r"/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900" b="0" i="0" u="none" strike="noStrike" kern="120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n-US"/>
        </a:p>
      </c:txPr>
    </c:legend>
    <c:plotVisOnly val="1"/>
    <c:dispBlanksAs val="gap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  <c:showDLblsOverMax val="0"/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n-US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withinLinear" id="14">
  <a:schemeClr val="accent1"/>
</cs:colorStyle>
</file>

<file path=word/charts/colors2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3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style1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97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10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</cs:dataPoint>
  <cs:dataPoint3D>
    <cs:lnRef idx="0"/>
    <cs:fillRef idx="1">
      <cs:styleClr val="auto"/>
    </cs:fillRef>
    <cs:effectRef idx="0"/>
    <cs:fontRef idx="minor">
      <a:schemeClr val="tx1"/>
    </cs:fontRef>
  </cs:dataPoint3D>
  <cs:dataPointLine>
    <cs:lnRef idx="0">
      <cs:styleClr val="auto"/>
    </cs:lnRef>
    <cs:fillRef idx="1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1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word/theme/themeOverride1.xml><?xml version="1.0" encoding="utf-8"?>
<a:themeOverride xmlns:a="http://schemas.openxmlformats.org/drawingml/2006/main">
  <a:clrScheme name="Office">
    <a:dk1>
      <a:sysClr val="windowText" lastClr="000000"/>
    </a:dk1>
    <a:lt1>
      <a:sysClr val="window" lastClr="FFFFFF"/>
    </a:lt1>
    <a:dk2>
      <a:srgbClr val="44546A"/>
    </a:dk2>
    <a:lt2>
      <a:srgbClr val="E7E6E6"/>
    </a:lt2>
    <a:accent1>
      <a:srgbClr val="4472C4"/>
    </a:accent1>
    <a:accent2>
      <a:srgbClr val="ED7D31"/>
    </a:accent2>
    <a:accent3>
      <a:srgbClr val="A5A5A5"/>
    </a:accent3>
    <a:accent4>
      <a:srgbClr val="FFC000"/>
    </a:accent4>
    <a:accent5>
      <a:srgbClr val="5B9BD5"/>
    </a:accent5>
    <a:accent6>
      <a:srgbClr val="70AD47"/>
    </a:accent6>
    <a:hlink>
      <a:srgbClr val="0563C1"/>
    </a:hlink>
    <a:folHlink>
      <a:srgbClr val="954F72"/>
    </a:folHlink>
  </a:clrScheme>
  <a:fontScheme name="Office">
    <a:majorFont>
      <a:latin typeface="Calibri Light" panose="020F0302020204030204"/>
      <a:ea typeface=""/>
      <a:cs typeface=""/>
      <a:font script="Jpan" typeface="游ゴシック Light"/>
      <a:font script="Hang" typeface="맑은 고딕"/>
      <a:font script="Hans" typeface="等线 Light"/>
      <a:font script="Hant" typeface="新細明體"/>
      <a:font script="Arab" typeface="Times New Roman"/>
      <a:font script="Hebr" typeface="Times New Roman"/>
      <a:font script="Thai" typeface="Tahoma"/>
      <a:font script="Ethi" typeface="Nyala"/>
      <a:font script="Beng" typeface="Vrinda"/>
      <a:font script="Gujr" typeface="Shruti"/>
      <a:font script="Khmr" typeface="MoolBoran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Times New Roman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ajorFont>
    <a:minorFont>
      <a:latin typeface="Calibri" panose="020F0502020204030204"/>
      <a:ea typeface=""/>
      <a:cs typeface=""/>
      <a:font script="Jpan" typeface="游ゴシック"/>
      <a:font script="Hang" typeface="맑은 고딕"/>
      <a:font script="Hans" typeface="等线"/>
      <a:font script="Hant" typeface="新細明體"/>
      <a:font script="Arab" typeface="Arial"/>
      <a:font script="Hebr" typeface="Arial"/>
      <a:font script="Thai" typeface="Tahoma"/>
      <a:font script="Ethi" typeface="Nyala"/>
      <a:font script="Beng" typeface="Vrinda"/>
      <a:font script="Gujr" typeface="Shruti"/>
      <a:font script="Khmr" typeface="DaunPenh"/>
      <a:font script="Knda" typeface="Tunga"/>
      <a:font script="Guru" typeface="Raavi"/>
      <a:font script="Cans" typeface="Euphemia"/>
      <a:font script="Cher" typeface="Plantagenet Cherokee"/>
      <a:font script="Yiii" typeface="Microsoft Yi Baiti"/>
      <a:font script="Tibt" typeface="Microsoft Himalaya"/>
      <a:font script="Thaa" typeface="MV Boli"/>
      <a:font script="Deva" typeface="Mangal"/>
      <a:font script="Telu" typeface="Gautami"/>
      <a:font script="Taml" typeface="Latha"/>
      <a:font script="Syrc" typeface="Estrangelo Edessa"/>
      <a:font script="Orya" typeface="Kalinga"/>
      <a:font script="Mlym" typeface="Kartika"/>
      <a:font script="Laoo" typeface="DokChampa"/>
      <a:font script="Sinh" typeface="Iskoola Pota"/>
      <a:font script="Mong" typeface="Mongolian Baiti"/>
      <a:font script="Viet" typeface="Arial"/>
      <a:font script="Uigh" typeface="Microsoft Uighur"/>
      <a:font script="Geor" typeface="Sylfaen"/>
      <a:font script="Armn" typeface="Arial"/>
      <a:font script="Bugi" typeface="Leelawadee UI"/>
      <a:font script="Bopo" typeface="Microsoft JhengHei"/>
      <a:font script="Java" typeface="Javanese Text"/>
      <a:font script="Lisu" typeface="Segoe UI"/>
      <a:font script="Mymr" typeface="Myanmar Text"/>
      <a:font script="Nkoo" typeface="Ebrima"/>
      <a:font script="Olck" typeface="Nirmala UI"/>
      <a:font script="Osma" typeface="Ebrima"/>
      <a:font script="Phag" typeface="Phagspa"/>
      <a:font script="Syrn" typeface="Estrangelo Edessa"/>
      <a:font script="Syrj" typeface="Estrangelo Edessa"/>
      <a:font script="Syre" typeface="Estrangelo Edessa"/>
      <a:font script="Sora" typeface="Nirmala UI"/>
      <a:font script="Tale" typeface="Microsoft Tai Le"/>
      <a:font script="Talu" typeface="Microsoft New Tai Lue"/>
      <a:font script="Tfng" typeface="Ebrima"/>
    </a:minorFont>
  </a:fontScheme>
  <a:fmtScheme name="Office">
    <a:fillStyleLst>
      <a:solidFill>
        <a:schemeClr val="phClr"/>
      </a:solidFill>
      <a:gradFill rotWithShape="1">
        <a:gsLst>
          <a:gs pos="0">
            <a:schemeClr val="phClr">
              <a:lumMod val="110000"/>
              <a:satMod val="105000"/>
              <a:tint val="67000"/>
            </a:schemeClr>
          </a:gs>
          <a:gs pos="50000">
            <a:schemeClr val="phClr">
              <a:lumMod val="105000"/>
              <a:satMod val="103000"/>
              <a:tint val="73000"/>
            </a:schemeClr>
          </a:gs>
          <a:gs pos="100000">
            <a:schemeClr val="phClr">
              <a:lumMod val="105000"/>
              <a:satMod val="109000"/>
              <a:tint val="81000"/>
            </a:schemeClr>
          </a:gs>
        </a:gsLst>
        <a:lin ang="5400000" scaled="0"/>
      </a:gradFill>
      <a:gradFill rotWithShape="1">
        <a:gsLst>
          <a:gs pos="0">
            <a:schemeClr val="phClr">
              <a:satMod val="103000"/>
              <a:lumMod val="102000"/>
              <a:tint val="94000"/>
            </a:schemeClr>
          </a:gs>
          <a:gs pos="50000">
            <a:schemeClr val="phClr">
              <a:satMod val="110000"/>
              <a:lumMod val="100000"/>
              <a:shade val="100000"/>
            </a:schemeClr>
          </a:gs>
          <a:gs pos="100000">
            <a:schemeClr val="phClr">
              <a:lumMod val="99000"/>
              <a:satMod val="120000"/>
              <a:shade val="78000"/>
            </a:schemeClr>
          </a:gs>
        </a:gsLst>
        <a:lin ang="5400000" scaled="0"/>
      </a:gradFill>
    </a:fillStyleLst>
    <a:lnStyleLst>
      <a:ln w="6350" cap="flat" cmpd="sng" algn="ctr">
        <a:solidFill>
          <a:schemeClr val="phClr"/>
        </a:solidFill>
        <a:prstDash val="solid"/>
        <a:miter lim="800000"/>
      </a:ln>
      <a:ln w="12700" cap="flat" cmpd="sng" algn="ctr">
        <a:solidFill>
          <a:schemeClr val="phClr"/>
        </a:solidFill>
        <a:prstDash val="solid"/>
        <a:miter lim="800000"/>
      </a:ln>
      <a:ln w="19050" cap="flat" cmpd="sng" algn="ctr">
        <a:solidFill>
          <a:schemeClr val="phClr"/>
        </a:solidFill>
        <a:prstDash val="solid"/>
        <a:miter lim="800000"/>
      </a:ln>
    </a:lnStyleLst>
    <a:effectStyleLst>
      <a:effectStyle>
        <a:effectLst/>
      </a:effectStyle>
      <a:effectStyle>
        <a:effectLst/>
      </a:effectStyle>
      <a:effectStyle>
        <a:effectLst>
          <a:outerShdw blurRad="57150" dist="19050" dir="5400000" algn="ctr" rotWithShape="0">
            <a:srgbClr val="000000">
              <a:alpha val="63000"/>
            </a:srgbClr>
          </a:outerShdw>
        </a:effectLst>
      </a:effectStyle>
    </a:effectStyleLst>
    <a:bgFillStyleLst>
      <a:solidFill>
        <a:schemeClr val="phClr"/>
      </a:solidFill>
      <a:solidFill>
        <a:schemeClr val="phClr">
          <a:tint val="95000"/>
          <a:satMod val="170000"/>
        </a:schemeClr>
      </a:solidFill>
      <a:gradFill rotWithShape="1">
        <a:gsLst>
          <a:gs pos="0">
            <a:schemeClr val="phClr">
              <a:tint val="93000"/>
              <a:satMod val="150000"/>
              <a:shade val="98000"/>
              <a:lumMod val="102000"/>
            </a:schemeClr>
          </a:gs>
          <a:gs pos="50000">
            <a:schemeClr val="phClr">
              <a:tint val="98000"/>
              <a:satMod val="130000"/>
              <a:shade val="90000"/>
              <a:lumMod val="103000"/>
            </a:schemeClr>
          </a:gs>
          <a:gs pos="100000">
            <a:schemeClr val="phClr">
              <a:shade val="63000"/>
              <a:satMod val="120000"/>
            </a:schemeClr>
          </a:gs>
        </a:gsLst>
        <a:lin ang="5400000" scaled="0"/>
      </a:gradFill>
    </a:bgFillStyleLst>
  </a:fmtScheme>
</a:themeOverrid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654</Words>
  <Characters>3734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Centers for Disease Control and Prevention</Company>
  <LinksUpToDate>false</LinksUpToDate>
  <CharactersWithSpaces>4380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Chung, Jessie (CDC/NCIRD/ID)</dc:creator>
  <cp:keywords/>
  <dc:description/>
  <cp:lastModifiedBy>Chung, Jessie (CDC/NCIRD/ID)</cp:lastModifiedBy>
  <cp:revision>3</cp:revision>
  <dcterms:created xsi:type="dcterms:W3CDTF">2025-01-14T17:21:00Z</dcterms:created>
  <dcterms:modified xsi:type="dcterms:W3CDTF">2025-01-14T17:22:00Z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7b94a7b8-f06c-4dfe-bdcc-9b548fd58c31_Enabled">
    <vt:lpwstr>true</vt:lpwstr>
  </property>
  <property fmtid="{D5CDD505-2E9C-101B-9397-08002B2CF9AE}" pid="3" name="MSIP_Label_7b94a7b8-f06c-4dfe-bdcc-9b548fd58c31_SetDate">
    <vt:lpwstr>2024-10-29T16:25:29Z</vt:lpwstr>
  </property>
  <property fmtid="{D5CDD505-2E9C-101B-9397-08002B2CF9AE}" pid="4" name="MSIP_Label_7b94a7b8-f06c-4dfe-bdcc-9b548fd58c31_Method">
    <vt:lpwstr>Privileged</vt:lpwstr>
  </property>
  <property fmtid="{D5CDD505-2E9C-101B-9397-08002B2CF9AE}" pid="5" name="MSIP_Label_7b94a7b8-f06c-4dfe-bdcc-9b548fd58c31_Name">
    <vt:lpwstr>7b94a7b8-f06c-4dfe-bdcc-9b548fd58c31</vt:lpwstr>
  </property>
  <property fmtid="{D5CDD505-2E9C-101B-9397-08002B2CF9AE}" pid="6" name="MSIP_Label_7b94a7b8-f06c-4dfe-bdcc-9b548fd58c31_SiteId">
    <vt:lpwstr>9ce70869-60db-44fd-abe8-d2767077fc8f</vt:lpwstr>
  </property>
  <property fmtid="{D5CDD505-2E9C-101B-9397-08002B2CF9AE}" pid="7" name="MSIP_Label_7b94a7b8-f06c-4dfe-bdcc-9b548fd58c31_ActionId">
    <vt:lpwstr>9341ace4-5ed2-4f68-b635-92bf7b4bed52</vt:lpwstr>
  </property>
  <property fmtid="{D5CDD505-2E9C-101B-9397-08002B2CF9AE}" pid="8" name="MSIP_Label_7b94a7b8-f06c-4dfe-bdcc-9b548fd58c31_ContentBits">
    <vt:lpwstr>0</vt:lpwstr>
  </property>
</Properties>
</file>