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F2E" w:rsidRPr="00873F24" w:rsidRDefault="00024F2E" w:rsidP="00024F2E">
      <w:pPr>
        <w:pStyle w:val="NoSpacing"/>
        <w:rPr>
          <w:rFonts w:ascii="Times New Roman" w:hAnsi="Times New Roman" w:cs="Times New Roman"/>
          <w:b/>
          <w:bCs/>
        </w:rPr>
      </w:pPr>
      <w:r w:rsidRPr="00873F24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1</w:t>
      </w:r>
      <w:r w:rsidRPr="00873F24">
        <w:rPr>
          <w:rFonts w:ascii="Times New Roman" w:hAnsi="Times New Roman" w:cs="Times New Roman"/>
          <w:b/>
          <w:bCs/>
        </w:rPr>
        <w:t xml:space="preserve">. Effectiveness of Rotavirus Vaccine </w:t>
      </w:r>
      <w:proofErr w:type="gramStart"/>
      <w:r w:rsidRPr="00873F24">
        <w:rPr>
          <w:rFonts w:ascii="Times New Roman" w:hAnsi="Times New Roman" w:cs="Times New Roman"/>
          <w:b/>
          <w:bCs/>
        </w:rPr>
        <w:t>Against</w:t>
      </w:r>
      <w:proofErr w:type="gramEnd"/>
      <w:r w:rsidRPr="00873F24">
        <w:rPr>
          <w:rFonts w:ascii="Times New Roman" w:hAnsi="Times New Roman" w:cs="Times New Roman"/>
          <w:b/>
          <w:bCs/>
        </w:rPr>
        <w:t xml:space="preserve"> Emergency Department Visit or Hospitalization for Rotavirus-Related Diarrhea due to Select Genotype Combinations, Stratified by Age Group, Uganda, October 2018–December 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540"/>
        <w:gridCol w:w="1915"/>
        <w:gridCol w:w="540"/>
        <w:gridCol w:w="1915"/>
        <w:gridCol w:w="540"/>
        <w:gridCol w:w="1917"/>
      </w:tblGrid>
      <w:tr w:rsidR="00024F2E" w:rsidRPr="00873F24" w:rsidTr="00DB5687"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All Ages</w:t>
            </w:r>
          </w:p>
        </w:tc>
        <w:tc>
          <w:tcPr>
            <w:tcW w:w="0" w:type="auto"/>
            <w:gridSpan w:val="2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Age 4–11 Months</w:t>
            </w:r>
          </w:p>
        </w:tc>
        <w:tc>
          <w:tcPr>
            <w:tcW w:w="0" w:type="auto"/>
            <w:gridSpan w:val="2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  <w:bCs/>
              </w:rPr>
              <w:t>Age 12–59 Months</w:t>
            </w:r>
          </w:p>
        </w:tc>
      </w:tr>
      <w:tr w:rsidR="00024F2E" w:rsidRPr="00873F24" w:rsidTr="00DB5687"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Strain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No.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2-dose VE (95% CI)</w:t>
            </w:r>
            <w:r w:rsidRPr="00873F24"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No.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2-dose VE (95% CI)</w:t>
            </w:r>
            <w:r w:rsidRPr="00873F24"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No.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2-dose VE (95% CI)</w:t>
            </w:r>
            <w:r w:rsidRPr="00873F24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024F2E" w:rsidRPr="00873F24" w:rsidTr="00DB5687"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873F24">
              <w:rPr>
                <w:rFonts w:ascii="Times New Roman" w:hAnsi="Times New Roman"/>
              </w:rPr>
              <w:t>G3P[8]</w:t>
            </w:r>
            <w:r w:rsidRPr="00873F24"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72 (24, 90)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74 (7, 93)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67 (-89, 94)</w:t>
            </w:r>
          </w:p>
        </w:tc>
      </w:tr>
      <w:tr w:rsidR="00024F2E" w:rsidRPr="00873F24" w:rsidTr="00DB5687"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873F24">
              <w:rPr>
                <w:rFonts w:ascii="Times New Roman" w:hAnsi="Times New Roman"/>
              </w:rPr>
              <w:t>Partially-</w:t>
            </w:r>
            <w:proofErr w:type="spellStart"/>
            <w:r w:rsidRPr="00873F24">
              <w:rPr>
                <w:rFonts w:ascii="Times New Roman" w:hAnsi="Times New Roman"/>
              </w:rPr>
              <w:t>heterotypic</w:t>
            </w:r>
            <w:r w:rsidRPr="00873F24">
              <w:rPr>
                <w:rFonts w:ascii="Times New Roman" w:hAnsi="Times New Roman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43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59 (1, 83)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70 (2, 91)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41 (-138, 85)</w:t>
            </w:r>
          </w:p>
        </w:tc>
      </w:tr>
      <w:tr w:rsidR="00024F2E" w:rsidRPr="00873F24" w:rsidTr="00DB5687"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873F24">
              <w:rPr>
                <w:rFonts w:ascii="Times New Roman" w:hAnsi="Times New Roman"/>
              </w:rPr>
              <w:t>Fully-</w:t>
            </w:r>
            <w:proofErr w:type="spellStart"/>
            <w:r w:rsidRPr="00873F24">
              <w:rPr>
                <w:rFonts w:ascii="Times New Roman" w:hAnsi="Times New Roman"/>
              </w:rPr>
              <w:t>heterotypic</w:t>
            </w:r>
            <w:r w:rsidRPr="00873F24">
              <w:rPr>
                <w:rFonts w:ascii="Times New Roman" w:hAnsi="Times New Roman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-53 (-605, 67)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-17 (-915, 87)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vAlign w:val="center"/>
          </w:tcPr>
          <w:p w:rsidR="00024F2E" w:rsidRPr="00873F24" w:rsidRDefault="00024F2E" w:rsidP="00DB56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73F24">
              <w:rPr>
                <w:rFonts w:ascii="Times New Roman" w:hAnsi="Times New Roman"/>
              </w:rPr>
              <w:t>-201 (-2714, 68)</w:t>
            </w:r>
          </w:p>
        </w:tc>
      </w:tr>
    </w:tbl>
    <w:p w:rsidR="00024F2E" w:rsidRPr="00873F24" w:rsidRDefault="00024F2E" w:rsidP="00024F2E">
      <w:pPr>
        <w:pStyle w:val="NoSpacing"/>
        <w:rPr>
          <w:rFonts w:ascii="Times New Roman" w:hAnsi="Times New Roman" w:cs="Times New Roman"/>
        </w:rPr>
      </w:pPr>
      <w:r w:rsidRPr="00873F24">
        <w:rPr>
          <w:rFonts w:ascii="Times New Roman" w:hAnsi="Times New Roman" w:cs="Times New Roman"/>
        </w:rPr>
        <w:t>Abbreviations: No., number; VE, vaccine effectiveness; CI; confidence interval</w:t>
      </w:r>
    </w:p>
    <w:p w:rsidR="00024F2E" w:rsidRPr="00873F24" w:rsidRDefault="00024F2E" w:rsidP="00024F2E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873F24">
        <w:rPr>
          <w:rFonts w:ascii="Times New Roman" w:hAnsi="Times New Roman" w:cs="Times New Roman"/>
          <w:vertAlign w:val="superscript"/>
        </w:rPr>
        <w:t>a</w:t>
      </w:r>
      <w:r w:rsidRPr="00873F24">
        <w:rPr>
          <w:rFonts w:ascii="Times New Roman" w:hAnsi="Times New Roman" w:cs="Times New Roman"/>
        </w:rPr>
        <w:t>Protection</w:t>
      </w:r>
      <w:proofErr w:type="spellEnd"/>
      <w:proofErr w:type="gramEnd"/>
      <w:r w:rsidRPr="00873F24">
        <w:rPr>
          <w:rFonts w:ascii="Times New Roman" w:hAnsi="Times New Roman" w:cs="Times New Roman"/>
        </w:rPr>
        <w:t xml:space="preserve"> conferred 14 days after vaccine receipt, adjusted for age at admission, month-year of birth, and hospital</w:t>
      </w:r>
    </w:p>
    <w:p w:rsidR="00024F2E" w:rsidRPr="00873F24" w:rsidRDefault="00024F2E" w:rsidP="00024F2E">
      <w:pPr>
        <w:pStyle w:val="NoSpacing"/>
        <w:rPr>
          <w:rFonts w:ascii="Times New Roman" w:hAnsi="Times New Roman" w:cs="Times New Roman"/>
        </w:rPr>
      </w:pPr>
      <w:proofErr w:type="spellStart"/>
      <w:r w:rsidRPr="00873F24">
        <w:rPr>
          <w:rFonts w:ascii="Times New Roman" w:hAnsi="Times New Roman" w:cs="Times New Roman"/>
          <w:vertAlign w:val="superscript"/>
        </w:rPr>
        <w:t>b</w:t>
      </w:r>
      <w:r w:rsidRPr="00873F24">
        <w:rPr>
          <w:rFonts w:ascii="Times New Roman" w:hAnsi="Times New Roman" w:cs="Times New Roman"/>
        </w:rPr>
        <w:t>Excludes</w:t>
      </w:r>
      <w:proofErr w:type="spellEnd"/>
      <w:r w:rsidRPr="00873F24">
        <w:rPr>
          <w:rFonts w:ascii="Times New Roman" w:hAnsi="Times New Roman" w:cs="Times New Roman"/>
        </w:rPr>
        <w:t xml:space="preserve"> mixed G3P[8] strains; 2-dose VE also including G1G3P[8], G3G8P[8], G3G12P[8] strains was 64% (95% CI: 10%</w:t>
      </w:r>
      <w:r w:rsidRPr="00873F24">
        <w:rPr>
          <w:rFonts w:ascii="Times New Roman" w:hAnsi="Times New Roman" w:cs="Times New Roman"/>
          <w:bCs/>
        </w:rPr>
        <w:t>–</w:t>
      </w:r>
      <w:r w:rsidRPr="00873F24">
        <w:rPr>
          <w:rFonts w:ascii="Times New Roman" w:hAnsi="Times New Roman" w:cs="Times New Roman"/>
        </w:rPr>
        <w:t>86%) across all ages, 67% (-15%</w:t>
      </w:r>
      <w:r w:rsidRPr="00873F24">
        <w:rPr>
          <w:rFonts w:ascii="Times New Roman" w:hAnsi="Times New Roman" w:cs="Times New Roman"/>
          <w:bCs/>
        </w:rPr>
        <w:t>–</w:t>
      </w:r>
      <w:r w:rsidRPr="00873F24">
        <w:rPr>
          <w:rFonts w:ascii="Times New Roman" w:hAnsi="Times New Roman" w:cs="Times New Roman"/>
        </w:rPr>
        <w:t>71%) among infants aged 4–11 months, and 61% (-71%</w:t>
      </w:r>
      <w:r w:rsidRPr="00873F24">
        <w:rPr>
          <w:rFonts w:ascii="Times New Roman" w:hAnsi="Times New Roman" w:cs="Times New Roman"/>
          <w:bCs/>
        </w:rPr>
        <w:t>–</w:t>
      </w:r>
      <w:r w:rsidRPr="00873F24">
        <w:rPr>
          <w:rFonts w:ascii="Times New Roman" w:hAnsi="Times New Roman" w:cs="Times New Roman"/>
        </w:rPr>
        <w:t>91%) among children aged 12–59 months</w:t>
      </w:r>
    </w:p>
    <w:p w:rsidR="00024F2E" w:rsidRPr="00873F24" w:rsidRDefault="00024F2E" w:rsidP="00024F2E">
      <w:pPr>
        <w:pStyle w:val="NoSpacing"/>
        <w:rPr>
          <w:rFonts w:ascii="Times New Roman" w:hAnsi="Times New Roman" w:cs="Times New Roman"/>
        </w:rPr>
      </w:pPr>
      <w:proofErr w:type="spellStart"/>
      <w:r w:rsidRPr="00873F24">
        <w:rPr>
          <w:rFonts w:ascii="Times New Roman" w:hAnsi="Times New Roman" w:cs="Times New Roman"/>
          <w:vertAlign w:val="superscript"/>
        </w:rPr>
        <w:t>c</w:t>
      </w:r>
      <w:r w:rsidRPr="00873F24">
        <w:rPr>
          <w:rFonts w:ascii="Times New Roman" w:hAnsi="Times New Roman" w:cs="Times New Roman"/>
        </w:rPr>
        <w:t>Partially</w:t>
      </w:r>
      <w:proofErr w:type="spellEnd"/>
      <w:r w:rsidRPr="00873F24">
        <w:rPr>
          <w:rFonts w:ascii="Times New Roman" w:hAnsi="Times New Roman" w:cs="Times New Roman"/>
        </w:rPr>
        <w:t>-heterotypic strains included the following: G3P[8], G12P[8], G1P[6], G9P[8], G2G3P[4]P[8], G3G12P[8], G3G8P[8], G9G12P[8]; 2-dose VE excluding mixed strains was 67% (95% CI: 15%–87%) across all ages, 73% (12%</w:t>
      </w:r>
      <w:r w:rsidRPr="00873F24">
        <w:rPr>
          <w:rFonts w:ascii="Times New Roman" w:hAnsi="Times New Roman" w:cs="Times New Roman"/>
          <w:bCs/>
        </w:rPr>
        <w:t>–92%) among infants aged 4–11 months, and 58% (-121%–92%) among children aged 12–59 months</w:t>
      </w:r>
    </w:p>
    <w:p w:rsidR="00024F2E" w:rsidRPr="00873F24" w:rsidRDefault="00024F2E" w:rsidP="00024F2E">
      <w:pPr>
        <w:pStyle w:val="NoSpacing"/>
        <w:rPr>
          <w:rFonts w:ascii="Times New Roman" w:hAnsi="Times New Roman" w:cs="Times New Roman"/>
        </w:rPr>
      </w:pPr>
      <w:proofErr w:type="spellStart"/>
      <w:r w:rsidRPr="00873F24">
        <w:rPr>
          <w:rFonts w:ascii="Times New Roman" w:hAnsi="Times New Roman" w:cs="Times New Roman"/>
          <w:vertAlign w:val="superscript"/>
        </w:rPr>
        <w:t>d</w:t>
      </w:r>
      <w:r w:rsidRPr="00873F24">
        <w:rPr>
          <w:rFonts w:ascii="Times New Roman" w:hAnsi="Times New Roman" w:cs="Times New Roman"/>
        </w:rPr>
        <w:t>Fully</w:t>
      </w:r>
      <w:proofErr w:type="spellEnd"/>
      <w:r w:rsidRPr="00873F24">
        <w:rPr>
          <w:rFonts w:ascii="Times New Roman" w:hAnsi="Times New Roman" w:cs="Times New Roman"/>
        </w:rPr>
        <w:t>-heterotypic strains included the following: G2P[4], G3P[4], G3P[6], G8P[4], G9P[4], G9P[6], G3G12P[6]; 2-dose VE excluding mixed strains was -59% (95% CI: -632%–66%) across all ages, -23% (-975%</w:t>
      </w:r>
      <w:r w:rsidRPr="00873F24">
        <w:rPr>
          <w:rFonts w:ascii="Times New Roman" w:hAnsi="Times New Roman" w:cs="Times New Roman"/>
          <w:bCs/>
        </w:rPr>
        <w:t>–86%) among infants aged 4–11 months, and -201% (-2714%–68%) among children aged 12–59 months</w:t>
      </w:r>
    </w:p>
    <w:p w:rsidR="00024F2E" w:rsidRDefault="00024F2E" w:rsidP="00024F2E"/>
    <w:p w:rsidR="0045507D" w:rsidRDefault="0045507D">
      <w:bookmarkStart w:id="0" w:name="_GoBack"/>
      <w:bookmarkEnd w:id="0"/>
    </w:p>
    <w:sectPr w:rsidR="0045507D" w:rsidSect="0021722C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2E"/>
    <w:rsid w:val="00024F2E"/>
    <w:rsid w:val="0045507D"/>
    <w:rsid w:val="008D0C3C"/>
    <w:rsid w:val="00A42A4B"/>
    <w:rsid w:val="00AA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27B3F0-EF50-4494-A12C-2D66D0E9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4F2E"/>
    <w:pPr>
      <w:spacing w:after="0" w:line="240" w:lineRule="auto"/>
    </w:pPr>
  </w:style>
  <w:style w:type="table" w:styleId="TableGrid">
    <w:name w:val="Table Grid"/>
    <w:basedOn w:val="TableNormal"/>
    <w:uiPriority w:val="59"/>
    <w:rsid w:val="00024F2E"/>
    <w:pPr>
      <w:spacing w:after="0" w:line="240" w:lineRule="auto"/>
    </w:pPr>
    <w:rPr>
      <w:rFonts w:ascii="Calibri" w:eastAsia="MS Mincho" w:hAnsi="Calibri" w:cs="Times New Roman"/>
      <w:lang w:val="en-C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24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Gopika  Chandran</dc:creator>
  <cp:keywords/>
  <dc:description/>
  <cp:lastModifiedBy>Gopika  Chandran</cp:lastModifiedBy>
  <cp:revision>1</cp:revision>
  <dcterms:created xsi:type="dcterms:W3CDTF">2025-01-09T11:34:00Z</dcterms:created>
  <dcterms:modified xsi:type="dcterms:W3CDTF">2025-01-09T11:35:00Z</dcterms:modified>
</cp:coreProperties>
</file>