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6B3EB" w14:textId="671A9ED1" w:rsidR="008F5127" w:rsidRPr="008F5127" w:rsidRDefault="008F5127" w:rsidP="008F5127">
      <w:pPr>
        <w:pStyle w:val="Heading2"/>
        <w:rPr>
          <w:rFonts w:ascii="Times New Roman" w:hAnsi="Times New Roman" w:cs="Times New Roman"/>
          <w:b/>
          <w:bCs/>
          <w:sz w:val="24"/>
          <w:szCs w:val="24"/>
        </w:rPr>
      </w:pPr>
      <w:r>
        <w:rPr>
          <w:rFonts w:ascii="Times New Roman" w:hAnsi="Times New Roman" w:cs="Times New Roman"/>
          <w:b/>
          <w:bCs/>
          <w:sz w:val="24"/>
          <w:szCs w:val="24"/>
        </w:rPr>
        <w:t xml:space="preserve">Supplementary Material </w:t>
      </w:r>
    </w:p>
    <w:p w14:paraId="266D97E1" w14:textId="642E7F4E" w:rsidR="008F5127" w:rsidRPr="008F5127" w:rsidRDefault="008F5127" w:rsidP="008F5127">
      <w:pPr>
        <w:pStyle w:val="Heading2"/>
        <w:rPr>
          <w:rFonts w:ascii="Times New Roman" w:hAnsi="Times New Roman" w:cs="Times New Roman"/>
          <w:b/>
          <w:bCs/>
          <w:sz w:val="20"/>
          <w:szCs w:val="20"/>
        </w:rPr>
      </w:pPr>
      <w:r w:rsidRPr="008F5127">
        <w:rPr>
          <w:rFonts w:ascii="Times New Roman" w:hAnsi="Times New Roman" w:cs="Times New Roman"/>
          <w:b/>
          <w:bCs/>
          <w:sz w:val="20"/>
          <w:szCs w:val="20"/>
        </w:rPr>
        <w:t xml:space="preserve">Supplementary Table 1: Decision Points and Example Applications. </w:t>
      </w:r>
    </w:p>
    <w:p w14:paraId="55685A25" w14:textId="498D581D" w:rsidR="008F5127" w:rsidRPr="008F5127" w:rsidRDefault="008F5127" w:rsidP="008F5127">
      <w:pPr>
        <w:rPr>
          <w:rFonts w:ascii="Times New Roman" w:hAnsi="Times New Roman" w:cs="Times New Roman"/>
          <w:sz w:val="20"/>
          <w:szCs w:val="20"/>
        </w:rPr>
      </w:pPr>
      <w:r w:rsidRPr="008F5127">
        <w:rPr>
          <w:rFonts w:ascii="Times New Roman" w:hAnsi="Times New Roman" w:cs="Times New Roman"/>
          <w:sz w:val="20"/>
          <w:szCs w:val="20"/>
        </w:rPr>
        <w:t>This table highlights decisions/resources, discussed at the 3</w:t>
      </w:r>
      <w:r w:rsidRPr="008F5127">
        <w:rPr>
          <w:rFonts w:ascii="Times New Roman" w:hAnsi="Times New Roman" w:cs="Times New Roman"/>
          <w:sz w:val="20"/>
          <w:szCs w:val="20"/>
          <w:vertAlign w:val="superscript"/>
        </w:rPr>
        <w:t>rd</w:t>
      </w:r>
      <w:r w:rsidRPr="008F5127">
        <w:rPr>
          <w:rFonts w:ascii="Times New Roman" w:hAnsi="Times New Roman" w:cs="Times New Roman"/>
          <w:sz w:val="20"/>
          <w:szCs w:val="20"/>
        </w:rPr>
        <w:t xml:space="preserve"> IPC Think Tank, that may further inform appropriate application of sequencing for </w:t>
      </w:r>
      <w:r>
        <w:rPr>
          <w:rFonts w:ascii="Times New Roman" w:hAnsi="Times New Roman" w:cs="Times New Roman"/>
          <w:sz w:val="20"/>
          <w:szCs w:val="20"/>
        </w:rPr>
        <w:t xml:space="preserve">healthcare-associated infection and antimicrobial </w:t>
      </w:r>
      <w:r w:rsidRPr="008F5127">
        <w:rPr>
          <w:rFonts w:ascii="Times New Roman" w:hAnsi="Times New Roman" w:cs="Times New Roman"/>
          <w:sz w:val="20"/>
          <w:szCs w:val="20"/>
        </w:rPr>
        <w:t xml:space="preserve">resistant pathogens </w:t>
      </w:r>
      <w:r>
        <w:rPr>
          <w:rFonts w:ascii="Times New Roman" w:hAnsi="Times New Roman" w:cs="Times New Roman"/>
          <w:sz w:val="20"/>
          <w:szCs w:val="20"/>
        </w:rPr>
        <w:t>in healthcare and public health settings</w:t>
      </w:r>
    </w:p>
    <w:p w14:paraId="1F571B41" w14:textId="77777777" w:rsidR="008F5127" w:rsidRPr="008F5127" w:rsidRDefault="008F5127" w:rsidP="008F5127">
      <w:pPr>
        <w:spacing w:after="0" w:line="240" w:lineRule="auto"/>
        <w:contextualSpacing/>
        <w:rPr>
          <w:rFonts w:ascii="Times New Roman" w:hAnsi="Times New Roman" w:cs="Times New Roman"/>
          <w:bCs/>
        </w:rPr>
      </w:pPr>
    </w:p>
    <w:tbl>
      <w:tblPr>
        <w:tblStyle w:val="TableGrid"/>
        <w:tblW w:w="10165" w:type="dxa"/>
        <w:tblLook w:val="04A0" w:firstRow="1" w:lastRow="0" w:firstColumn="1" w:lastColumn="0" w:noHBand="0" w:noVBand="1"/>
      </w:tblPr>
      <w:tblGrid>
        <w:gridCol w:w="2155"/>
        <w:gridCol w:w="8010"/>
      </w:tblGrid>
      <w:tr w:rsidR="008F5127" w:rsidRPr="008F5127" w14:paraId="3C358AE7" w14:textId="77777777" w:rsidTr="008F5127">
        <w:tc>
          <w:tcPr>
            <w:tcW w:w="2155" w:type="dxa"/>
          </w:tcPr>
          <w:p w14:paraId="6BBD4FF9" w14:textId="66373F60" w:rsidR="008F5127" w:rsidRPr="008F5127" w:rsidRDefault="008F5127" w:rsidP="00F77A2A">
            <w:pPr>
              <w:rPr>
                <w:rFonts w:ascii="Times New Roman" w:hAnsi="Times New Roman" w:cs="Times New Roman"/>
                <w:b/>
                <w:bCs/>
                <w:sz w:val="16"/>
                <w:szCs w:val="16"/>
              </w:rPr>
            </w:pPr>
          </w:p>
        </w:tc>
        <w:tc>
          <w:tcPr>
            <w:tcW w:w="8010" w:type="dxa"/>
          </w:tcPr>
          <w:p w14:paraId="58B1E89C" w14:textId="77777777" w:rsidR="008F5127" w:rsidRPr="008F5127" w:rsidRDefault="008F5127" w:rsidP="00F77A2A">
            <w:pPr>
              <w:rPr>
                <w:rFonts w:ascii="Times New Roman" w:hAnsi="Times New Roman" w:cs="Times New Roman"/>
                <w:b/>
                <w:bCs/>
                <w:sz w:val="16"/>
                <w:szCs w:val="16"/>
              </w:rPr>
            </w:pPr>
            <w:r w:rsidRPr="008F5127">
              <w:rPr>
                <w:rFonts w:ascii="Times New Roman" w:hAnsi="Times New Roman" w:cs="Times New Roman"/>
                <w:b/>
                <w:bCs/>
                <w:sz w:val="16"/>
                <w:szCs w:val="16"/>
              </w:rPr>
              <w:t xml:space="preserve">Example Applications </w:t>
            </w:r>
          </w:p>
        </w:tc>
      </w:tr>
      <w:tr w:rsidR="00854F75" w:rsidRPr="008F5127" w14:paraId="4A698C7B" w14:textId="77777777" w:rsidTr="008F5127">
        <w:tc>
          <w:tcPr>
            <w:tcW w:w="2155" w:type="dxa"/>
          </w:tcPr>
          <w:p w14:paraId="13F32256" w14:textId="02133B88" w:rsidR="00854F75" w:rsidRPr="008F5127" w:rsidRDefault="00854F75" w:rsidP="00854F75">
            <w:pPr>
              <w:rPr>
                <w:rFonts w:ascii="Times New Roman" w:hAnsi="Times New Roman" w:cs="Times New Roman"/>
                <w:sz w:val="16"/>
                <w:szCs w:val="16"/>
                <w:u w:val="single"/>
              </w:rPr>
            </w:pPr>
            <w:r w:rsidRPr="008F5127">
              <w:rPr>
                <w:rFonts w:ascii="Times New Roman" w:hAnsi="Times New Roman" w:cs="Times New Roman"/>
                <w:b/>
                <w:bCs/>
                <w:sz w:val="16"/>
                <w:szCs w:val="16"/>
              </w:rPr>
              <w:t>Decision Point</w:t>
            </w:r>
          </w:p>
        </w:tc>
        <w:tc>
          <w:tcPr>
            <w:tcW w:w="8010" w:type="dxa"/>
          </w:tcPr>
          <w:p w14:paraId="717902B3" w14:textId="77777777" w:rsidR="00854F75" w:rsidRPr="008F5127" w:rsidRDefault="00854F75" w:rsidP="00854F75">
            <w:pPr>
              <w:rPr>
                <w:rFonts w:ascii="Times New Roman" w:hAnsi="Times New Roman" w:cs="Times New Roman"/>
                <w:sz w:val="16"/>
                <w:szCs w:val="16"/>
              </w:rPr>
            </w:pPr>
          </w:p>
        </w:tc>
      </w:tr>
      <w:tr w:rsidR="00854F75" w:rsidRPr="008F5127" w14:paraId="788B36F1" w14:textId="77777777" w:rsidTr="008F5127">
        <w:tc>
          <w:tcPr>
            <w:tcW w:w="2155" w:type="dxa"/>
          </w:tcPr>
          <w:p w14:paraId="6D1E9EC6" w14:textId="77777777" w:rsidR="00854F75" w:rsidRPr="008F5127" w:rsidRDefault="00854F75" w:rsidP="00854F75">
            <w:pPr>
              <w:rPr>
                <w:rFonts w:ascii="Times New Roman" w:hAnsi="Times New Roman" w:cs="Times New Roman"/>
                <w:sz w:val="16"/>
                <w:szCs w:val="16"/>
                <w:u w:val="single"/>
              </w:rPr>
            </w:pPr>
            <w:r w:rsidRPr="008F5127">
              <w:rPr>
                <w:rFonts w:ascii="Times New Roman" w:hAnsi="Times New Roman" w:cs="Times New Roman"/>
                <w:sz w:val="16"/>
                <w:szCs w:val="16"/>
                <w:u w:val="single"/>
              </w:rPr>
              <w:t>Level</w:t>
            </w:r>
          </w:p>
        </w:tc>
        <w:tc>
          <w:tcPr>
            <w:tcW w:w="8010" w:type="dxa"/>
          </w:tcPr>
          <w:p w14:paraId="4ABE107C" w14:textId="77777777" w:rsidR="00854F75" w:rsidRPr="008F5127" w:rsidRDefault="00854F75" w:rsidP="00854F75">
            <w:pPr>
              <w:rPr>
                <w:rFonts w:ascii="Times New Roman" w:hAnsi="Times New Roman" w:cs="Times New Roman"/>
                <w:sz w:val="16"/>
                <w:szCs w:val="16"/>
              </w:rPr>
            </w:pPr>
          </w:p>
        </w:tc>
      </w:tr>
      <w:tr w:rsidR="00854F75" w:rsidRPr="008F5127" w14:paraId="1586988B" w14:textId="77777777" w:rsidTr="008F5127">
        <w:tc>
          <w:tcPr>
            <w:tcW w:w="2155" w:type="dxa"/>
          </w:tcPr>
          <w:p w14:paraId="0FC7A9D9" w14:textId="77777777" w:rsidR="00854F75" w:rsidRPr="008F5127" w:rsidRDefault="00854F75" w:rsidP="00854F75">
            <w:pPr>
              <w:ind w:left="610"/>
              <w:rPr>
                <w:rFonts w:ascii="Times New Roman" w:hAnsi="Times New Roman" w:cs="Times New Roman"/>
                <w:sz w:val="16"/>
                <w:szCs w:val="16"/>
              </w:rPr>
            </w:pPr>
            <w:r w:rsidRPr="008F5127">
              <w:rPr>
                <w:rFonts w:ascii="Times New Roman" w:hAnsi="Times New Roman" w:cs="Times New Roman"/>
                <w:sz w:val="16"/>
                <w:szCs w:val="16"/>
              </w:rPr>
              <w:t>Individual</w:t>
            </w:r>
          </w:p>
        </w:tc>
        <w:tc>
          <w:tcPr>
            <w:tcW w:w="8010" w:type="dxa"/>
          </w:tcPr>
          <w:p w14:paraId="79CBABB1" w14:textId="1A42DFD1" w:rsidR="00854F75" w:rsidRPr="008F5127" w:rsidRDefault="00854F75" w:rsidP="00854F75">
            <w:pPr>
              <w:pStyle w:val="ListParagraph"/>
              <w:numPr>
                <w:ilvl w:val="0"/>
                <w:numId w:val="1"/>
              </w:numPr>
              <w:ind w:left="190" w:hanging="180"/>
              <w:rPr>
                <w:rFonts w:ascii="Times New Roman" w:hAnsi="Times New Roman" w:cs="Times New Roman"/>
                <w:sz w:val="16"/>
                <w:szCs w:val="16"/>
              </w:rPr>
            </w:pPr>
            <w:r w:rsidRPr="008F5127">
              <w:rPr>
                <w:rFonts w:ascii="Times New Roman" w:hAnsi="Times New Roman" w:cs="Times New Roman"/>
                <w:sz w:val="16"/>
                <w:szCs w:val="16"/>
              </w:rPr>
              <w:t>Clinical management/care, infection prevention and control (IPC) decisions, outbreak detection</w:t>
            </w:r>
          </w:p>
        </w:tc>
      </w:tr>
      <w:tr w:rsidR="00854F75" w:rsidRPr="008F5127" w14:paraId="0A68DFD3" w14:textId="77777777" w:rsidTr="008F5127">
        <w:tc>
          <w:tcPr>
            <w:tcW w:w="2155" w:type="dxa"/>
          </w:tcPr>
          <w:p w14:paraId="6796CE0E" w14:textId="77777777" w:rsidR="00854F75" w:rsidRPr="008F5127" w:rsidRDefault="00854F75" w:rsidP="00854F75">
            <w:pPr>
              <w:ind w:left="610"/>
              <w:rPr>
                <w:rFonts w:ascii="Times New Roman" w:hAnsi="Times New Roman" w:cs="Times New Roman"/>
                <w:sz w:val="16"/>
                <w:szCs w:val="16"/>
              </w:rPr>
            </w:pPr>
            <w:r w:rsidRPr="008F5127">
              <w:rPr>
                <w:rFonts w:ascii="Times New Roman" w:hAnsi="Times New Roman" w:cs="Times New Roman"/>
                <w:sz w:val="16"/>
                <w:szCs w:val="16"/>
              </w:rPr>
              <w:t>Local/regional</w:t>
            </w:r>
          </w:p>
        </w:tc>
        <w:tc>
          <w:tcPr>
            <w:tcW w:w="8010" w:type="dxa"/>
          </w:tcPr>
          <w:p w14:paraId="1F6BECD1" w14:textId="34E24521" w:rsidR="00854F75" w:rsidRPr="008F5127" w:rsidRDefault="00854F75" w:rsidP="00854F75">
            <w:pPr>
              <w:pStyle w:val="ListParagraph"/>
              <w:numPr>
                <w:ilvl w:val="0"/>
                <w:numId w:val="1"/>
              </w:numPr>
              <w:ind w:left="190" w:hanging="180"/>
              <w:rPr>
                <w:rFonts w:ascii="Times New Roman" w:hAnsi="Times New Roman" w:cs="Times New Roman"/>
                <w:sz w:val="16"/>
                <w:szCs w:val="16"/>
              </w:rPr>
            </w:pPr>
            <w:r w:rsidRPr="008F5127">
              <w:rPr>
                <w:rFonts w:ascii="Times New Roman" w:hAnsi="Times New Roman" w:cs="Times New Roman"/>
                <w:sz w:val="16"/>
                <w:szCs w:val="16"/>
              </w:rPr>
              <w:t>Outbreak response, IPC decisions, surveillance, monitor/track emerging threats (e.g., novel/newer antimicrobial resistance (AR) genes)</w:t>
            </w:r>
          </w:p>
        </w:tc>
      </w:tr>
      <w:tr w:rsidR="00854F75" w:rsidRPr="008F5127" w14:paraId="583DAD02" w14:textId="77777777" w:rsidTr="008F5127">
        <w:tc>
          <w:tcPr>
            <w:tcW w:w="2155" w:type="dxa"/>
          </w:tcPr>
          <w:p w14:paraId="745F6995" w14:textId="77777777" w:rsidR="00854F75" w:rsidRPr="008F5127" w:rsidRDefault="00854F75" w:rsidP="00854F75">
            <w:pPr>
              <w:ind w:left="610"/>
              <w:rPr>
                <w:rFonts w:ascii="Times New Roman" w:hAnsi="Times New Roman" w:cs="Times New Roman"/>
                <w:sz w:val="16"/>
                <w:szCs w:val="16"/>
              </w:rPr>
            </w:pPr>
            <w:r w:rsidRPr="008F5127">
              <w:rPr>
                <w:rFonts w:ascii="Times New Roman" w:hAnsi="Times New Roman" w:cs="Times New Roman"/>
                <w:sz w:val="16"/>
                <w:szCs w:val="16"/>
              </w:rPr>
              <w:t>National/Global</w:t>
            </w:r>
          </w:p>
        </w:tc>
        <w:tc>
          <w:tcPr>
            <w:tcW w:w="8010" w:type="dxa"/>
          </w:tcPr>
          <w:p w14:paraId="0B62615C" w14:textId="77777777" w:rsidR="00854F75" w:rsidRPr="008F5127" w:rsidRDefault="00854F75" w:rsidP="00854F75">
            <w:pPr>
              <w:pStyle w:val="ListParagraph"/>
              <w:numPr>
                <w:ilvl w:val="0"/>
                <w:numId w:val="1"/>
              </w:numPr>
              <w:ind w:left="190" w:hanging="180"/>
              <w:rPr>
                <w:rFonts w:ascii="Times New Roman" w:hAnsi="Times New Roman" w:cs="Times New Roman"/>
                <w:sz w:val="16"/>
                <w:szCs w:val="16"/>
              </w:rPr>
            </w:pPr>
            <w:r w:rsidRPr="008F5127">
              <w:rPr>
                <w:rFonts w:ascii="Times New Roman" w:hAnsi="Times New Roman" w:cs="Times New Roman"/>
                <w:sz w:val="16"/>
                <w:szCs w:val="16"/>
              </w:rPr>
              <w:t>Preparedness, testing prioritization, surveillance, monitor/track emerging threats (e.g., novel/newer AR genes), supporting diagnostic development</w:t>
            </w:r>
          </w:p>
        </w:tc>
      </w:tr>
      <w:tr w:rsidR="00854F75" w:rsidRPr="008F5127" w14:paraId="11E9AA38" w14:textId="77777777" w:rsidTr="008F5127">
        <w:tc>
          <w:tcPr>
            <w:tcW w:w="2155" w:type="dxa"/>
          </w:tcPr>
          <w:p w14:paraId="51231478" w14:textId="77777777" w:rsidR="00854F75" w:rsidRPr="008F5127" w:rsidRDefault="00854F75" w:rsidP="00854F75">
            <w:pPr>
              <w:rPr>
                <w:rFonts w:ascii="Times New Roman" w:hAnsi="Times New Roman" w:cs="Times New Roman"/>
                <w:sz w:val="16"/>
                <w:szCs w:val="16"/>
                <w:u w:val="single"/>
              </w:rPr>
            </w:pPr>
            <w:r w:rsidRPr="008F5127">
              <w:rPr>
                <w:rFonts w:ascii="Times New Roman" w:hAnsi="Times New Roman" w:cs="Times New Roman"/>
                <w:sz w:val="16"/>
                <w:szCs w:val="16"/>
                <w:u w:val="single"/>
              </w:rPr>
              <w:t>Resources</w:t>
            </w:r>
          </w:p>
        </w:tc>
        <w:tc>
          <w:tcPr>
            <w:tcW w:w="8010" w:type="dxa"/>
          </w:tcPr>
          <w:p w14:paraId="49D52B44" w14:textId="77777777" w:rsidR="00854F75" w:rsidRPr="008F5127" w:rsidRDefault="00854F75" w:rsidP="00854F75">
            <w:pPr>
              <w:pStyle w:val="ListParagraph"/>
              <w:ind w:left="190"/>
              <w:rPr>
                <w:rFonts w:ascii="Times New Roman" w:hAnsi="Times New Roman" w:cs="Times New Roman"/>
                <w:sz w:val="16"/>
                <w:szCs w:val="16"/>
              </w:rPr>
            </w:pPr>
          </w:p>
        </w:tc>
      </w:tr>
      <w:tr w:rsidR="00854F75" w:rsidRPr="008F5127" w14:paraId="1E4538B8" w14:textId="77777777" w:rsidTr="008F5127">
        <w:tc>
          <w:tcPr>
            <w:tcW w:w="2155" w:type="dxa"/>
          </w:tcPr>
          <w:p w14:paraId="4C33EA01" w14:textId="77777777" w:rsidR="00854F75" w:rsidRPr="008F5127" w:rsidRDefault="00854F75" w:rsidP="00854F75">
            <w:pPr>
              <w:ind w:left="610"/>
              <w:rPr>
                <w:rFonts w:ascii="Times New Roman" w:hAnsi="Times New Roman" w:cs="Times New Roman"/>
                <w:sz w:val="16"/>
                <w:szCs w:val="16"/>
              </w:rPr>
            </w:pPr>
            <w:r w:rsidRPr="008F5127">
              <w:rPr>
                <w:rFonts w:ascii="Times New Roman" w:hAnsi="Times New Roman" w:cs="Times New Roman"/>
                <w:sz w:val="16"/>
                <w:szCs w:val="16"/>
              </w:rPr>
              <w:t>Limited (e.g., no bioinformatics expertise available)</w:t>
            </w:r>
          </w:p>
        </w:tc>
        <w:tc>
          <w:tcPr>
            <w:tcW w:w="8010" w:type="dxa"/>
          </w:tcPr>
          <w:p w14:paraId="7EA50306" w14:textId="77777777" w:rsidR="00854F75" w:rsidRPr="008F5127" w:rsidRDefault="00854F75" w:rsidP="00854F75">
            <w:pPr>
              <w:pStyle w:val="ListParagraph"/>
              <w:numPr>
                <w:ilvl w:val="1"/>
                <w:numId w:val="1"/>
              </w:numPr>
              <w:ind w:left="190" w:hanging="180"/>
              <w:rPr>
                <w:rFonts w:ascii="Times New Roman" w:hAnsi="Times New Roman" w:cs="Times New Roman"/>
                <w:sz w:val="16"/>
                <w:szCs w:val="16"/>
              </w:rPr>
            </w:pPr>
            <w:r w:rsidRPr="008F5127">
              <w:rPr>
                <w:rFonts w:ascii="Times New Roman" w:hAnsi="Times New Roman" w:cs="Times New Roman"/>
                <w:sz w:val="16"/>
                <w:szCs w:val="16"/>
              </w:rPr>
              <w:t xml:space="preserve">Field-ready platforms (e.g., Oxford Nanopore Technology (ONT)) </w:t>
            </w:r>
          </w:p>
          <w:p w14:paraId="1B71F524" w14:textId="77777777" w:rsidR="00854F75" w:rsidRPr="008F5127" w:rsidRDefault="00854F75" w:rsidP="00854F75">
            <w:pPr>
              <w:pStyle w:val="ListParagraph"/>
              <w:numPr>
                <w:ilvl w:val="1"/>
                <w:numId w:val="1"/>
              </w:numPr>
              <w:ind w:left="190" w:hanging="180"/>
              <w:rPr>
                <w:rFonts w:ascii="Times New Roman" w:hAnsi="Times New Roman" w:cs="Times New Roman"/>
                <w:sz w:val="16"/>
                <w:szCs w:val="16"/>
              </w:rPr>
            </w:pPr>
            <w:r w:rsidRPr="008F5127">
              <w:rPr>
                <w:rFonts w:ascii="Times New Roman" w:hAnsi="Times New Roman" w:cs="Times New Roman"/>
                <w:sz w:val="16"/>
                <w:szCs w:val="16"/>
              </w:rPr>
              <w:t>Open source/freely available point-click or graphical user interface (GUI) (e.g., ONT Epi2Me)</w:t>
            </w:r>
          </w:p>
          <w:p w14:paraId="7DD63892" w14:textId="77777777" w:rsidR="00854F75" w:rsidRPr="008F5127" w:rsidRDefault="00854F75" w:rsidP="00854F75">
            <w:pPr>
              <w:pStyle w:val="ListParagraph"/>
              <w:numPr>
                <w:ilvl w:val="0"/>
                <w:numId w:val="1"/>
              </w:numPr>
              <w:ind w:left="190" w:hanging="180"/>
              <w:rPr>
                <w:rFonts w:ascii="Times New Roman" w:hAnsi="Times New Roman" w:cs="Times New Roman"/>
                <w:sz w:val="16"/>
                <w:szCs w:val="16"/>
              </w:rPr>
            </w:pPr>
            <w:r w:rsidRPr="008F5127">
              <w:rPr>
                <w:rFonts w:ascii="Times New Roman" w:hAnsi="Times New Roman" w:cs="Times New Roman"/>
                <w:sz w:val="16"/>
                <w:szCs w:val="16"/>
              </w:rPr>
              <w:t>Targeted approaches</w:t>
            </w:r>
          </w:p>
        </w:tc>
      </w:tr>
      <w:tr w:rsidR="00854F75" w:rsidRPr="008F5127" w14:paraId="64D3A70F" w14:textId="77777777" w:rsidTr="008F5127">
        <w:tc>
          <w:tcPr>
            <w:tcW w:w="2155" w:type="dxa"/>
          </w:tcPr>
          <w:p w14:paraId="609DB219" w14:textId="77777777" w:rsidR="00854F75" w:rsidRPr="008F5127" w:rsidRDefault="00854F75" w:rsidP="00854F75">
            <w:pPr>
              <w:ind w:left="610"/>
              <w:rPr>
                <w:rFonts w:ascii="Times New Roman" w:hAnsi="Times New Roman" w:cs="Times New Roman"/>
                <w:sz w:val="16"/>
                <w:szCs w:val="16"/>
              </w:rPr>
            </w:pPr>
            <w:r w:rsidRPr="008F5127">
              <w:rPr>
                <w:rFonts w:ascii="Times New Roman" w:hAnsi="Times New Roman" w:cs="Times New Roman"/>
                <w:sz w:val="16"/>
                <w:szCs w:val="16"/>
              </w:rPr>
              <w:t>Expansive</w:t>
            </w:r>
          </w:p>
        </w:tc>
        <w:tc>
          <w:tcPr>
            <w:tcW w:w="8010" w:type="dxa"/>
          </w:tcPr>
          <w:p w14:paraId="1CC65F52" w14:textId="77777777" w:rsidR="00854F75" w:rsidRPr="008F5127" w:rsidRDefault="00854F75" w:rsidP="00854F75">
            <w:pPr>
              <w:pStyle w:val="ListParagraph"/>
              <w:numPr>
                <w:ilvl w:val="0"/>
                <w:numId w:val="1"/>
              </w:numPr>
              <w:ind w:left="190" w:hanging="180"/>
              <w:rPr>
                <w:rFonts w:ascii="Times New Roman" w:hAnsi="Times New Roman" w:cs="Times New Roman"/>
                <w:sz w:val="16"/>
                <w:szCs w:val="16"/>
              </w:rPr>
            </w:pPr>
            <w:r w:rsidRPr="008F5127">
              <w:rPr>
                <w:rFonts w:ascii="Times New Roman" w:hAnsi="Times New Roman" w:cs="Times New Roman"/>
                <w:sz w:val="16"/>
                <w:szCs w:val="16"/>
              </w:rPr>
              <w:t xml:space="preserve">High-performance computing </w:t>
            </w:r>
          </w:p>
          <w:p w14:paraId="01439865" w14:textId="77777777" w:rsidR="00854F75" w:rsidRPr="008F5127" w:rsidRDefault="00854F75" w:rsidP="00854F75">
            <w:pPr>
              <w:pStyle w:val="ListParagraph"/>
              <w:numPr>
                <w:ilvl w:val="0"/>
                <w:numId w:val="1"/>
              </w:numPr>
              <w:ind w:left="190" w:hanging="180"/>
              <w:rPr>
                <w:rFonts w:ascii="Times New Roman" w:hAnsi="Times New Roman" w:cs="Times New Roman"/>
                <w:sz w:val="16"/>
                <w:szCs w:val="16"/>
              </w:rPr>
            </w:pPr>
            <w:r w:rsidRPr="008F5127">
              <w:rPr>
                <w:rFonts w:ascii="Times New Roman" w:hAnsi="Times New Roman" w:cs="Times New Roman"/>
                <w:sz w:val="16"/>
                <w:szCs w:val="16"/>
              </w:rPr>
              <w:t>High-throughput platforms (e.g., Illumina NextSeq or NovaSeq; ONT GridION or PromethION)</w:t>
            </w:r>
          </w:p>
          <w:p w14:paraId="193A18BC" w14:textId="77777777" w:rsidR="00854F75" w:rsidRPr="008F5127" w:rsidRDefault="00854F75" w:rsidP="00854F75">
            <w:pPr>
              <w:pStyle w:val="ListParagraph"/>
              <w:numPr>
                <w:ilvl w:val="0"/>
                <w:numId w:val="1"/>
              </w:numPr>
              <w:ind w:left="190" w:hanging="180"/>
              <w:rPr>
                <w:rFonts w:ascii="Times New Roman" w:hAnsi="Times New Roman" w:cs="Times New Roman"/>
                <w:sz w:val="16"/>
                <w:szCs w:val="16"/>
              </w:rPr>
            </w:pPr>
            <w:r w:rsidRPr="008F5127">
              <w:rPr>
                <w:rFonts w:ascii="Times New Roman" w:hAnsi="Times New Roman" w:cs="Times New Roman"/>
                <w:sz w:val="16"/>
                <w:szCs w:val="16"/>
              </w:rPr>
              <w:t xml:space="preserve">Custom pipelines/scripts; proprietary solutions </w:t>
            </w:r>
          </w:p>
        </w:tc>
      </w:tr>
      <w:tr w:rsidR="00854F75" w:rsidRPr="008F5127" w14:paraId="4A2E62CD" w14:textId="77777777" w:rsidTr="008F5127">
        <w:tc>
          <w:tcPr>
            <w:tcW w:w="2155" w:type="dxa"/>
          </w:tcPr>
          <w:p w14:paraId="26BCC9B9" w14:textId="77777777" w:rsidR="00854F75" w:rsidRPr="008F5127" w:rsidRDefault="00854F75" w:rsidP="00854F75">
            <w:pPr>
              <w:rPr>
                <w:rFonts w:ascii="Times New Roman" w:hAnsi="Times New Roman" w:cs="Times New Roman"/>
                <w:sz w:val="16"/>
                <w:szCs w:val="16"/>
                <w:u w:val="single"/>
              </w:rPr>
            </w:pPr>
            <w:r w:rsidRPr="008F5127">
              <w:rPr>
                <w:rFonts w:ascii="Times New Roman" w:hAnsi="Times New Roman" w:cs="Times New Roman"/>
                <w:sz w:val="16"/>
                <w:szCs w:val="16"/>
                <w:u w:val="single"/>
              </w:rPr>
              <w:t>Setting/population</w:t>
            </w:r>
          </w:p>
        </w:tc>
        <w:tc>
          <w:tcPr>
            <w:tcW w:w="8010" w:type="dxa"/>
          </w:tcPr>
          <w:p w14:paraId="33938324" w14:textId="77777777" w:rsidR="00854F75" w:rsidRPr="008F5127" w:rsidRDefault="00854F75" w:rsidP="00854F75">
            <w:pPr>
              <w:pStyle w:val="ListParagraph"/>
              <w:numPr>
                <w:ilvl w:val="0"/>
                <w:numId w:val="1"/>
              </w:numPr>
              <w:ind w:left="190" w:hanging="180"/>
              <w:rPr>
                <w:rFonts w:ascii="Times New Roman" w:hAnsi="Times New Roman" w:cs="Times New Roman"/>
                <w:sz w:val="16"/>
                <w:szCs w:val="16"/>
              </w:rPr>
            </w:pPr>
            <w:r w:rsidRPr="008F5127">
              <w:rPr>
                <w:rFonts w:ascii="Times New Roman" w:hAnsi="Times New Roman" w:cs="Times New Roman"/>
                <w:sz w:val="16"/>
                <w:szCs w:val="16"/>
              </w:rPr>
              <w:t xml:space="preserve">Remain areas for further best practices development </w:t>
            </w:r>
          </w:p>
          <w:p w14:paraId="3D1ADA1D" w14:textId="77777777" w:rsidR="00854F75" w:rsidRPr="008F5127" w:rsidRDefault="00854F75" w:rsidP="00854F75">
            <w:pPr>
              <w:pStyle w:val="ListParagraph"/>
              <w:numPr>
                <w:ilvl w:val="0"/>
                <w:numId w:val="1"/>
              </w:numPr>
              <w:ind w:left="190" w:hanging="180"/>
              <w:rPr>
                <w:rFonts w:ascii="Times New Roman" w:hAnsi="Times New Roman" w:cs="Times New Roman"/>
                <w:sz w:val="16"/>
                <w:szCs w:val="16"/>
              </w:rPr>
            </w:pPr>
            <w:r w:rsidRPr="008F5127">
              <w:rPr>
                <w:rFonts w:ascii="Times New Roman" w:hAnsi="Times New Roman" w:cs="Times New Roman"/>
                <w:sz w:val="16"/>
                <w:szCs w:val="16"/>
              </w:rPr>
              <w:t>Each patient population has its own risk factor profile for infection, sepsis, and mortality</w:t>
            </w:r>
          </w:p>
        </w:tc>
      </w:tr>
    </w:tbl>
    <w:p w14:paraId="2E8905B9" w14:textId="77777777" w:rsidR="008F5127" w:rsidRDefault="008F5127" w:rsidP="008F5127">
      <w:pPr>
        <w:pStyle w:val="Heading2"/>
        <w:rPr>
          <w:rFonts w:ascii="Times New Roman" w:hAnsi="Times New Roman" w:cs="Times New Roman"/>
          <w:sz w:val="24"/>
          <w:szCs w:val="24"/>
        </w:rPr>
      </w:pPr>
    </w:p>
    <w:p w14:paraId="002AF93A" w14:textId="77777777" w:rsidR="00EA21CD" w:rsidRDefault="00EA21CD">
      <w:pPr>
        <w:rPr>
          <w:rFonts w:ascii="Times New Roman" w:eastAsiaTheme="majorEastAsia" w:hAnsi="Times New Roman" w:cs="Times New Roman"/>
          <w:b/>
          <w:bCs/>
          <w:color w:val="2F5496" w:themeColor="accent1" w:themeShade="BF"/>
          <w:sz w:val="20"/>
          <w:szCs w:val="20"/>
        </w:rPr>
      </w:pPr>
      <w:r>
        <w:rPr>
          <w:rFonts w:ascii="Times New Roman" w:hAnsi="Times New Roman" w:cs="Times New Roman"/>
          <w:b/>
          <w:bCs/>
          <w:sz w:val="20"/>
          <w:szCs w:val="20"/>
        </w:rPr>
        <w:br w:type="page"/>
      </w:r>
    </w:p>
    <w:p w14:paraId="0C358C8C" w14:textId="62AF7511" w:rsidR="008F5127" w:rsidRPr="008F5127" w:rsidRDefault="008F5127" w:rsidP="008F5127">
      <w:pPr>
        <w:pStyle w:val="Heading2"/>
        <w:rPr>
          <w:rFonts w:ascii="Times New Roman" w:hAnsi="Times New Roman" w:cs="Times New Roman"/>
          <w:b/>
          <w:bCs/>
          <w:sz w:val="20"/>
          <w:szCs w:val="20"/>
        </w:rPr>
      </w:pPr>
      <w:r w:rsidRPr="008F5127">
        <w:rPr>
          <w:rFonts w:ascii="Times New Roman" w:hAnsi="Times New Roman" w:cs="Times New Roman"/>
          <w:b/>
          <w:bCs/>
          <w:sz w:val="20"/>
          <w:szCs w:val="20"/>
        </w:rPr>
        <w:lastRenderedPageBreak/>
        <w:t xml:space="preserve">Supplementary Table 2: Barriers with Possible Solutions and Opportunities </w:t>
      </w:r>
    </w:p>
    <w:p w14:paraId="14612F93" w14:textId="10D5460C" w:rsidR="003D15E6" w:rsidRPr="008F5127" w:rsidRDefault="008F5127" w:rsidP="008F5127">
      <w:pPr>
        <w:rPr>
          <w:rFonts w:ascii="Times New Roman" w:hAnsi="Times New Roman" w:cs="Times New Roman"/>
          <w:sz w:val="20"/>
          <w:szCs w:val="20"/>
        </w:rPr>
      </w:pPr>
      <w:r w:rsidRPr="008F5127">
        <w:rPr>
          <w:rFonts w:ascii="Times New Roman" w:hAnsi="Times New Roman" w:cs="Times New Roman"/>
          <w:sz w:val="20"/>
          <w:szCs w:val="20"/>
        </w:rPr>
        <w:t>There are many barriers, both technological and non-technological, to instituting and implementing sequencing for healthcare-associated infection and antimicrobial resistant bacterial pathogens. This table outlines the barriers discussed as part of the 3</w:t>
      </w:r>
      <w:r w:rsidRPr="008F5127">
        <w:rPr>
          <w:rFonts w:ascii="Times New Roman" w:hAnsi="Times New Roman" w:cs="Times New Roman"/>
          <w:sz w:val="20"/>
          <w:szCs w:val="20"/>
          <w:vertAlign w:val="superscript"/>
        </w:rPr>
        <w:t>rd</w:t>
      </w:r>
      <w:r w:rsidRPr="008F5127">
        <w:rPr>
          <w:rFonts w:ascii="Times New Roman" w:hAnsi="Times New Roman" w:cs="Times New Roman"/>
          <w:sz w:val="20"/>
          <w:szCs w:val="20"/>
        </w:rPr>
        <w:t xml:space="preserve"> </w:t>
      </w:r>
      <w:r w:rsidR="005F5A77">
        <w:rPr>
          <w:rFonts w:ascii="Times New Roman" w:hAnsi="Times New Roman" w:cs="Times New Roman"/>
          <w:sz w:val="20"/>
          <w:szCs w:val="20"/>
        </w:rPr>
        <w:t xml:space="preserve">Geneva </w:t>
      </w:r>
      <w:r w:rsidRPr="008F5127">
        <w:rPr>
          <w:rFonts w:ascii="Times New Roman" w:hAnsi="Times New Roman" w:cs="Times New Roman"/>
          <w:sz w:val="20"/>
          <w:szCs w:val="20"/>
        </w:rPr>
        <w:t>IPC Think Tank.</w:t>
      </w:r>
      <w:r w:rsidR="007237E1">
        <w:rPr>
          <w:rFonts w:ascii="Times New Roman" w:hAnsi="Times New Roman" w:cs="Times New Roman"/>
          <w:sz w:val="20"/>
          <w:szCs w:val="20"/>
        </w:rPr>
        <w:br/>
        <w:t xml:space="preserve">Acronyms: NGS: next generation sequencing; </w:t>
      </w:r>
      <w:r w:rsidR="003D15E6">
        <w:rPr>
          <w:rFonts w:ascii="Times New Roman" w:hAnsi="Times New Roman" w:cs="Times New Roman"/>
          <w:sz w:val="20"/>
          <w:szCs w:val="20"/>
        </w:rPr>
        <w:t xml:space="preserve">IPC: </w:t>
      </w:r>
      <w:r w:rsidR="000C5E6F">
        <w:rPr>
          <w:rFonts w:ascii="Times New Roman" w:hAnsi="Times New Roman" w:cs="Times New Roman"/>
          <w:sz w:val="20"/>
          <w:szCs w:val="20"/>
        </w:rPr>
        <w:t>i</w:t>
      </w:r>
      <w:r w:rsidR="003D15E6">
        <w:rPr>
          <w:rFonts w:ascii="Times New Roman" w:hAnsi="Times New Roman" w:cs="Times New Roman"/>
          <w:sz w:val="20"/>
          <w:szCs w:val="20"/>
        </w:rPr>
        <w:t>nfection prevention and control; CLIA: C</w:t>
      </w:r>
      <w:r w:rsidR="000C5E6F">
        <w:rPr>
          <w:rFonts w:ascii="Times New Roman" w:hAnsi="Times New Roman" w:cs="Times New Roman"/>
          <w:sz w:val="20"/>
          <w:szCs w:val="20"/>
        </w:rPr>
        <w:t xml:space="preserve">linical Laboratory Improvement Amendments; WGS: whole genome sequencing; AR: antimicrobial resistance; </w:t>
      </w:r>
      <w:r w:rsidR="00F26C87">
        <w:rPr>
          <w:rFonts w:ascii="Times New Roman" w:hAnsi="Times New Roman" w:cs="Times New Roman"/>
          <w:bCs/>
          <w:sz w:val="20"/>
          <w:szCs w:val="20"/>
        </w:rPr>
        <w:t>LMICs: l</w:t>
      </w:r>
      <w:r w:rsidR="00F26C87" w:rsidRPr="00F26C87">
        <w:rPr>
          <w:rFonts w:ascii="Times New Roman" w:hAnsi="Times New Roman" w:cs="Times New Roman"/>
          <w:bCs/>
          <w:sz w:val="20"/>
          <w:szCs w:val="20"/>
        </w:rPr>
        <w:t>ow- and middle-income countries</w:t>
      </w:r>
      <w:r w:rsidR="00F26C87">
        <w:rPr>
          <w:rFonts w:ascii="Times New Roman" w:hAnsi="Times New Roman" w:cs="Times New Roman"/>
          <w:bCs/>
          <w:sz w:val="20"/>
          <w:szCs w:val="20"/>
        </w:rPr>
        <w:t xml:space="preserve">; </w:t>
      </w:r>
      <w:r w:rsidR="003810E9">
        <w:rPr>
          <w:rFonts w:ascii="Times New Roman" w:hAnsi="Times New Roman" w:cs="Times New Roman"/>
          <w:bCs/>
          <w:sz w:val="20"/>
          <w:szCs w:val="20"/>
        </w:rPr>
        <w:t xml:space="preserve">IQCP: individualized quality control plan </w:t>
      </w:r>
    </w:p>
    <w:tbl>
      <w:tblPr>
        <w:tblStyle w:val="TableGrid"/>
        <w:tblW w:w="9715" w:type="dxa"/>
        <w:tblLayout w:type="fixed"/>
        <w:tblLook w:val="04A0" w:firstRow="1" w:lastRow="0" w:firstColumn="1" w:lastColumn="0" w:noHBand="0" w:noVBand="1"/>
      </w:tblPr>
      <w:tblGrid>
        <w:gridCol w:w="1345"/>
        <w:gridCol w:w="3690"/>
        <w:gridCol w:w="4680"/>
      </w:tblGrid>
      <w:tr w:rsidR="008F5127" w:rsidRPr="008F5127" w14:paraId="04FBADAE" w14:textId="77777777" w:rsidTr="008F5127">
        <w:tc>
          <w:tcPr>
            <w:tcW w:w="1345" w:type="dxa"/>
          </w:tcPr>
          <w:p w14:paraId="0B653654" w14:textId="26FE1037" w:rsidR="008F5127" w:rsidRPr="008F5127" w:rsidRDefault="008F5127" w:rsidP="00F77A2A">
            <w:pPr>
              <w:rPr>
                <w:rFonts w:ascii="Times New Roman" w:hAnsi="Times New Roman" w:cs="Times New Roman"/>
                <w:b/>
                <w:bCs/>
                <w:sz w:val="16"/>
                <w:szCs w:val="16"/>
              </w:rPr>
            </w:pPr>
          </w:p>
        </w:tc>
        <w:tc>
          <w:tcPr>
            <w:tcW w:w="3690" w:type="dxa"/>
          </w:tcPr>
          <w:p w14:paraId="44E1E4FF" w14:textId="77777777" w:rsidR="008F5127" w:rsidRPr="008F5127" w:rsidRDefault="008F5127" w:rsidP="00F77A2A">
            <w:pPr>
              <w:rPr>
                <w:rFonts w:ascii="Times New Roman" w:hAnsi="Times New Roman" w:cs="Times New Roman"/>
                <w:b/>
                <w:bCs/>
                <w:sz w:val="16"/>
                <w:szCs w:val="16"/>
              </w:rPr>
            </w:pPr>
            <w:r w:rsidRPr="008F5127">
              <w:rPr>
                <w:rFonts w:ascii="Times New Roman" w:hAnsi="Times New Roman" w:cs="Times New Roman"/>
                <w:b/>
                <w:bCs/>
                <w:sz w:val="16"/>
                <w:szCs w:val="16"/>
              </w:rPr>
              <w:t>Example Barriers</w:t>
            </w:r>
          </w:p>
        </w:tc>
        <w:tc>
          <w:tcPr>
            <w:tcW w:w="4680" w:type="dxa"/>
          </w:tcPr>
          <w:p w14:paraId="291AD21F" w14:textId="77777777" w:rsidR="008F5127" w:rsidRPr="008F5127" w:rsidRDefault="008F5127" w:rsidP="00F77A2A">
            <w:pPr>
              <w:rPr>
                <w:rFonts w:ascii="Times New Roman" w:hAnsi="Times New Roman" w:cs="Times New Roman"/>
                <w:b/>
                <w:bCs/>
                <w:sz w:val="16"/>
                <w:szCs w:val="16"/>
              </w:rPr>
            </w:pPr>
            <w:r w:rsidRPr="008F5127">
              <w:rPr>
                <w:rFonts w:ascii="Times New Roman" w:hAnsi="Times New Roman" w:cs="Times New Roman"/>
                <w:b/>
                <w:bCs/>
                <w:sz w:val="16"/>
                <w:szCs w:val="16"/>
              </w:rPr>
              <w:t>Possible solutions/opportunities</w:t>
            </w:r>
          </w:p>
        </w:tc>
      </w:tr>
      <w:tr w:rsidR="00854F75" w:rsidRPr="008F5127" w14:paraId="243BB06A" w14:textId="77777777" w:rsidTr="008F5127">
        <w:tc>
          <w:tcPr>
            <w:tcW w:w="1345" w:type="dxa"/>
          </w:tcPr>
          <w:p w14:paraId="56236935" w14:textId="0612B122" w:rsidR="00854F75" w:rsidRPr="008F5127" w:rsidRDefault="00854F75" w:rsidP="00854F75">
            <w:pPr>
              <w:rPr>
                <w:rFonts w:ascii="Times New Roman" w:hAnsi="Times New Roman" w:cs="Times New Roman"/>
                <w:bCs/>
                <w:sz w:val="16"/>
                <w:szCs w:val="16"/>
              </w:rPr>
            </w:pPr>
            <w:r w:rsidRPr="008F5127">
              <w:rPr>
                <w:rFonts w:ascii="Times New Roman" w:hAnsi="Times New Roman" w:cs="Times New Roman"/>
                <w:b/>
                <w:bCs/>
                <w:sz w:val="16"/>
                <w:szCs w:val="16"/>
              </w:rPr>
              <w:t>Category</w:t>
            </w:r>
          </w:p>
        </w:tc>
        <w:tc>
          <w:tcPr>
            <w:tcW w:w="3690" w:type="dxa"/>
          </w:tcPr>
          <w:p w14:paraId="2787FA96" w14:textId="77777777" w:rsidR="00854F75" w:rsidRPr="008F5127" w:rsidRDefault="00854F75" w:rsidP="00854F75">
            <w:pPr>
              <w:rPr>
                <w:rFonts w:ascii="Times New Roman" w:hAnsi="Times New Roman" w:cs="Times New Roman"/>
                <w:bCs/>
                <w:sz w:val="16"/>
                <w:szCs w:val="16"/>
              </w:rPr>
            </w:pPr>
          </w:p>
        </w:tc>
        <w:tc>
          <w:tcPr>
            <w:tcW w:w="4680" w:type="dxa"/>
          </w:tcPr>
          <w:p w14:paraId="26A50849"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p>
        </w:tc>
      </w:tr>
      <w:tr w:rsidR="00854F75" w:rsidRPr="008F5127" w14:paraId="1D211065" w14:textId="77777777" w:rsidTr="008F5127">
        <w:tc>
          <w:tcPr>
            <w:tcW w:w="1345" w:type="dxa"/>
          </w:tcPr>
          <w:p w14:paraId="4642AB73" w14:textId="77777777"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t>Typing</w:t>
            </w:r>
          </w:p>
        </w:tc>
        <w:tc>
          <w:tcPr>
            <w:tcW w:w="3690" w:type="dxa"/>
          </w:tcPr>
          <w:p w14:paraId="06B8404F" w14:textId="77777777" w:rsidR="00854F75" w:rsidRPr="008F5127" w:rsidRDefault="00854F75" w:rsidP="00854F75">
            <w:pPr>
              <w:rPr>
                <w:rFonts w:ascii="Times New Roman" w:hAnsi="Times New Roman" w:cs="Times New Roman"/>
                <w:bCs/>
                <w:sz w:val="16"/>
                <w:szCs w:val="16"/>
              </w:rPr>
            </w:pPr>
            <w:r w:rsidRPr="008F5127">
              <w:rPr>
                <w:rFonts w:ascii="Times New Roman" w:hAnsi="Times New Roman" w:cs="Times New Roman"/>
                <w:bCs/>
                <w:sz w:val="16"/>
                <w:szCs w:val="16"/>
              </w:rPr>
              <w:t>Bridging to NGS/bioinformatics</w:t>
            </w:r>
          </w:p>
          <w:p w14:paraId="6587CEE5"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Legacy typing systems lack perfect one-to-one match with NGS results</w:t>
            </w:r>
          </w:p>
          <w:p w14:paraId="261909E0"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Legacy reporting data systems are not built to handle or link genomic data, or link with other laboratory testing results, or clinical/epidemiologic data</w:t>
            </w:r>
          </w:p>
          <w:p w14:paraId="299C9252" w14:textId="77777777" w:rsidR="00854F75" w:rsidRPr="008F5127" w:rsidRDefault="00854F75" w:rsidP="00854F75">
            <w:pPr>
              <w:rPr>
                <w:rFonts w:ascii="Times New Roman" w:hAnsi="Times New Roman" w:cs="Times New Roman"/>
                <w:bCs/>
                <w:sz w:val="16"/>
                <w:szCs w:val="16"/>
              </w:rPr>
            </w:pPr>
          </w:p>
        </w:tc>
        <w:tc>
          <w:tcPr>
            <w:tcW w:w="4680" w:type="dxa"/>
          </w:tcPr>
          <w:p w14:paraId="76A61340"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Isolate sets that can be used to inform our ability to make sequencing backwards-compatible with historical laboratory testing and typing methods </w:t>
            </w:r>
          </w:p>
          <w:p w14:paraId="5C3D78AE" w14:textId="77777777"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sz w:val="16"/>
                <w:szCs w:val="16"/>
              </w:rPr>
              <w:t>Crosswalk NGS typing data with legacy systems to leverage older (but robust) temporal data, including establishing flagship reference isolate sets</w:t>
            </w:r>
          </w:p>
          <w:p w14:paraId="3D4BA3EC" w14:textId="77777777"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t>Partnering with industry for platform development (consideration for sustained resource dedication, i.e., futureproofing) should be considered</w:t>
            </w:r>
          </w:p>
          <w:p w14:paraId="19DC601D" w14:textId="77777777" w:rsidR="00854F75" w:rsidRPr="008F5127" w:rsidRDefault="00854F75" w:rsidP="00854F75">
            <w:pPr>
              <w:pStyle w:val="ListParagraph"/>
              <w:numPr>
                <w:ilvl w:val="0"/>
                <w:numId w:val="1"/>
              </w:numPr>
              <w:ind w:left="166" w:hanging="166"/>
              <w:rPr>
                <w:rFonts w:ascii="Times New Roman" w:hAnsi="Times New Roman" w:cs="Times New Roman"/>
                <w:sz w:val="16"/>
                <w:szCs w:val="16"/>
              </w:rPr>
            </w:pPr>
            <w:r w:rsidRPr="008F5127">
              <w:rPr>
                <w:rFonts w:ascii="Times New Roman" w:hAnsi="Times New Roman" w:cs="Times New Roman"/>
                <w:sz w:val="16"/>
                <w:szCs w:val="16"/>
              </w:rPr>
              <w:t xml:space="preserve">Supporting informatics transformations to handle these large datasets </w:t>
            </w:r>
          </w:p>
          <w:p w14:paraId="36600809" w14:textId="57DF9393" w:rsidR="00854F75" w:rsidRPr="008F5127" w:rsidRDefault="00854F75" w:rsidP="00854F75">
            <w:pPr>
              <w:pStyle w:val="ListParagraph"/>
              <w:numPr>
                <w:ilvl w:val="0"/>
                <w:numId w:val="1"/>
              </w:numPr>
              <w:ind w:left="166" w:hanging="166"/>
              <w:rPr>
                <w:rFonts w:ascii="Times New Roman" w:hAnsi="Times New Roman" w:cs="Times New Roman"/>
                <w:sz w:val="16"/>
                <w:szCs w:val="16"/>
              </w:rPr>
            </w:pPr>
            <w:r w:rsidRPr="008F5127">
              <w:rPr>
                <w:rFonts w:ascii="Times New Roman" w:hAnsi="Times New Roman" w:cs="Times New Roman"/>
                <w:sz w:val="16"/>
                <w:szCs w:val="16"/>
              </w:rPr>
              <w:t>Need to crosswalk with legacy systems to leverage and relate to the wealth of older</w:t>
            </w:r>
            <w:r>
              <w:rPr>
                <w:rFonts w:ascii="Times New Roman" w:hAnsi="Times New Roman" w:cs="Times New Roman"/>
                <w:sz w:val="16"/>
                <w:szCs w:val="16"/>
              </w:rPr>
              <w:t xml:space="preserve">, </w:t>
            </w:r>
            <w:r w:rsidRPr="008F5127">
              <w:rPr>
                <w:rFonts w:ascii="Times New Roman" w:hAnsi="Times New Roman" w:cs="Times New Roman"/>
                <w:sz w:val="16"/>
                <w:szCs w:val="16"/>
              </w:rPr>
              <w:t>but robust</w:t>
            </w:r>
            <w:r>
              <w:rPr>
                <w:rFonts w:ascii="Times New Roman" w:hAnsi="Times New Roman" w:cs="Times New Roman"/>
                <w:sz w:val="16"/>
                <w:szCs w:val="16"/>
              </w:rPr>
              <w:t>,</w:t>
            </w:r>
            <w:r w:rsidRPr="008F5127">
              <w:rPr>
                <w:rFonts w:ascii="Times New Roman" w:hAnsi="Times New Roman" w:cs="Times New Roman"/>
                <w:sz w:val="16"/>
                <w:szCs w:val="16"/>
              </w:rPr>
              <w:t xml:space="preserve"> temporal data</w:t>
            </w:r>
          </w:p>
        </w:tc>
      </w:tr>
      <w:tr w:rsidR="00854F75" w:rsidRPr="008F5127" w14:paraId="2F50C7CB" w14:textId="77777777" w:rsidTr="009A5329">
        <w:trPr>
          <w:trHeight w:val="620"/>
        </w:trPr>
        <w:tc>
          <w:tcPr>
            <w:tcW w:w="1345" w:type="dxa"/>
          </w:tcPr>
          <w:p w14:paraId="187EC557" w14:textId="77777777"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t>Reporting</w:t>
            </w:r>
          </w:p>
          <w:p w14:paraId="52655B7E" w14:textId="77777777" w:rsidR="00854F75" w:rsidRPr="008F5127" w:rsidRDefault="00854F75" w:rsidP="00854F75">
            <w:pPr>
              <w:jc w:val="right"/>
              <w:rPr>
                <w:rFonts w:ascii="Times New Roman" w:hAnsi="Times New Roman" w:cs="Times New Roman"/>
                <w:bCs/>
                <w:sz w:val="16"/>
                <w:szCs w:val="16"/>
              </w:rPr>
            </w:pPr>
          </w:p>
        </w:tc>
        <w:tc>
          <w:tcPr>
            <w:tcW w:w="3690" w:type="dxa"/>
          </w:tcPr>
          <w:p w14:paraId="1573D628"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Reporting tools need to distinguish between individual (clinical/ diagnosis) and public health/aggregated (outbreak) sequencing </w:t>
            </w:r>
          </w:p>
          <w:p w14:paraId="17EB66CB"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sz w:val="16"/>
                <w:szCs w:val="16"/>
              </w:rPr>
              <w:t>Differences in mission between academia, clinical laboratories and public health (data exchange, utility, and reporting of NGS efforts are unclear/undefined)</w:t>
            </w:r>
          </w:p>
          <w:p w14:paraId="441F3B42"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sz w:val="16"/>
                <w:szCs w:val="16"/>
              </w:rPr>
              <w:t>Sequencing continues to advance - NGS and bioinformatics evolve rapidly while clinical laboratories require stagnant/locked-down, controlled procedures everything locked down – no clear path of how to bridge/implement and databases</w:t>
            </w:r>
          </w:p>
          <w:p w14:paraId="45B0564E" w14:textId="77777777" w:rsidR="00854F75"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Turnaround time for WGS is typically longer than traditional laboratory approaches, which challenges rapid public health or IPC action from data not available until after IPC measures have been implemented or after novel/emerging threats (e.g., AR genes) have taken hold in a facility/region</w:t>
            </w:r>
          </w:p>
          <w:p w14:paraId="114372B4" w14:textId="59986039" w:rsidR="00854F75" w:rsidRPr="009A5329" w:rsidRDefault="00854F75" w:rsidP="00854F75">
            <w:pPr>
              <w:pStyle w:val="ListParagraph"/>
              <w:numPr>
                <w:ilvl w:val="0"/>
                <w:numId w:val="1"/>
              </w:numPr>
              <w:ind w:left="166" w:hanging="180"/>
              <w:rPr>
                <w:rFonts w:ascii="Times New Roman" w:hAnsi="Times New Roman" w:cs="Times New Roman"/>
                <w:bCs/>
                <w:sz w:val="16"/>
                <w:szCs w:val="16"/>
              </w:rPr>
            </w:pPr>
            <w:r w:rsidRPr="009A5329">
              <w:rPr>
                <w:rFonts w:ascii="Times New Roman" w:hAnsi="Times New Roman" w:cs="Times New Roman"/>
                <w:bCs/>
                <w:sz w:val="16"/>
                <w:szCs w:val="16"/>
              </w:rPr>
              <w:t xml:space="preserve">Sequence data do not always provide clear answers and there is a lack of data/guidance to inform when sequence data will be informative (or not) </w:t>
            </w:r>
          </w:p>
        </w:tc>
        <w:tc>
          <w:tcPr>
            <w:tcW w:w="4680" w:type="dxa"/>
          </w:tcPr>
          <w:p w14:paraId="4B5D2F9C" w14:textId="77777777" w:rsidR="00854F75" w:rsidRDefault="00854F75" w:rsidP="00854F75">
            <w:pPr>
              <w:pStyle w:val="ListParagraph"/>
              <w:numPr>
                <w:ilvl w:val="0"/>
                <w:numId w:val="1"/>
              </w:numPr>
              <w:ind w:left="166" w:hanging="166"/>
              <w:rPr>
                <w:rFonts w:ascii="Times New Roman" w:hAnsi="Times New Roman" w:cs="Times New Roman"/>
                <w:sz w:val="16"/>
                <w:szCs w:val="16"/>
              </w:rPr>
            </w:pPr>
            <w:r w:rsidRPr="008F5127">
              <w:rPr>
                <w:rFonts w:ascii="Times New Roman" w:hAnsi="Times New Roman" w:cs="Times New Roman"/>
                <w:sz w:val="16"/>
                <w:szCs w:val="16"/>
              </w:rPr>
              <w:t xml:space="preserve">Consider respective/country-specific regulatory aspects to better bridge individually-identifiable data beyond direct therapy decisions </w:t>
            </w:r>
          </w:p>
          <w:p w14:paraId="42CDF95D" w14:textId="662C44ED" w:rsidR="00854F75" w:rsidRPr="008F5127" w:rsidRDefault="00854F75" w:rsidP="00854F75">
            <w:pPr>
              <w:pStyle w:val="ListParagraph"/>
              <w:numPr>
                <w:ilvl w:val="0"/>
                <w:numId w:val="1"/>
              </w:numPr>
              <w:ind w:left="166" w:hanging="166"/>
              <w:rPr>
                <w:rFonts w:ascii="Times New Roman" w:hAnsi="Times New Roman" w:cs="Times New Roman"/>
                <w:sz w:val="16"/>
                <w:szCs w:val="16"/>
              </w:rPr>
            </w:pPr>
            <w:r w:rsidRPr="008F5127">
              <w:rPr>
                <w:rFonts w:ascii="Times New Roman" w:hAnsi="Times New Roman" w:cs="Times New Roman"/>
                <w:sz w:val="16"/>
                <w:szCs w:val="16"/>
              </w:rPr>
              <w:t>How does unique attribution better inform environmental IPC actions?</w:t>
            </w:r>
          </w:p>
          <w:p w14:paraId="72E44571" w14:textId="77777777"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t>Develop standards for different applications depending on scale and need of application (e.g., outbreak in hospital versus global emergence of a strain)</w:t>
            </w:r>
          </w:p>
          <w:p w14:paraId="3D0B89C9" w14:textId="77777777" w:rsidR="00854F75"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t>Have strain collections available and accessible for validation</w:t>
            </w:r>
          </w:p>
          <w:p w14:paraId="19AD7CA0" w14:textId="35D810DC"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t>Provide concrete guidance on the elements needed in an IQCP for labs and pipelines</w:t>
            </w:r>
          </w:p>
          <w:p w14:paraId="2F92D70D" w14:textId="50C53537" w:rsidR="00854F75" w:rsidRPr="008F5127" w:rsidRDefault="00854F75" w:rsidP="00854F75">
            <w:pPr>
              <w:pStyle w:val="ListParagraph"/>
              <w:numPr>
                <w:ilvl w:val="0"/>
                <w:numId w:val="1"/>
              </w:numPr>
              <w:ind w:left="166" w:hanging="166"/>
              <w:rPr>
                <w:rFonts w:ascii="Times New Roman" w:hAnsi="Times New Roman" w:cs="Times New Roman"/>
                <w:sz w:val="16"/>
                <w:szCs w:val="16"/>
              </w:rPr>
            </w:pPr>
            <w:r w:rsidRPr="008F5127">
              <w:rPr>
                <w:rFonts w:ascii="Times New Roman" w:hAnsi="Times New Roman" w:cs="Times New Roman"/>
                <w:bCs/>
                <w:sz w:val="16"/>
                <w:szCs w:val="16"/>
              </w:rPr>
              <w:t>Sequence-first strategy could identify colonized individuals in advance of infection/transmission/expansion but further advances in timeliness and additional cost-benefit analyses/ demonstration are needed</w:t>
            </w:r>
          </w:p>
        </w:tc>
      </w:tr>
      <w:tr w:rsidR="00854F75" w:rsidRPr="008F5127" w14:paraId="3A5063D2" w14:textId="77777777" w:rsidTr="008F5127">
        <w:tc>
          <w:tcPr>
            <w:tcW w:w="1345" w:type="dxa"/>
          </w:tcPr>
          <w:p w14:paraId="490D87D1" w14:textId="77777777"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t>Surveillance/ scale-up</w:t>
            </w:r>
          </w:p>
        </w:tc>
        <w:tc>
          <w:tcPr>
            <w:tcW w:w="3690" w:type="dxa"/>
          </w:tcPr>
          <w:p w14:paraId="27204B4C" w14:textId="77777777" w:rsidR="00854F75" w:rsidRPr="008F5127" w:rsidRDefault="00854F75" w:rsidP="00854F75">
            <w:pPr>
              <w:pStyle w:val="ListParagraph"/>
              <w:numPr>
                <w:ilvl w:val="0"/>
                <w:numId w:val="1"/>
              </w:numPr>
              <w:ind w:left="160" w:hanging="174"/>
              <w:rPr>
                <w:rFonts w:ascii="Times New Roman" w:hAnsi="Times New Roman" w:cs="Times New Roman"/>
                <w:bCs/>
                <w:sz w:val="16"/>
                <w:szCs w:val="16"/>
              </w:rPr>
            </w:pPr>
            <w:r w:rsidRPr="008F5127">
              <w:rPr>
                <w:rFonts w:ascii="Times New Roman" w:hAnsi="Times New Roman" w:cs="Times New Roman"/>
                <w:bCs/>
                <w:sz w:val="16"/>
                <w:szCs w:val="16"/>
              </w:rPr>
              <w:t xml:space="preserve">Tools and computational/ informatics platforms must accommodate the need for scaled-up analyses, queries </w:t>
            </w:r>
          </w:p>
          <w:p w14:paraId="1CF56B71" w14:textId="77777777" w:rsidR="00854F75" w:rsidRPr="008F5127" w:rsidRDefault="00854F75" w:rsidP="00854F75">
            <w:pPr>
              <w:pStyle w:val="ListParagraph"/>
              <w:numPr>
                <w:ilvl w:val="0"/>
                <w:numId w:val="1"/>
              </w:numPr>
              <w:ind w:left="160" w:hanging="174"/>
              <w:rPr>
                <w:rFonts w:ascii="Times New Roman" w:hAnsi="Times New Roman" w:cs="Times New Roman"/>
                <w:bCs/>
                <w:sz w:val="16"/>
                <w:szCs w:val="16"/>
              </w:rPr>
            </w:pPr>
            <w:r w:rsidRPr="008F5127">
              <w:rPr>
                <w:rFonts w:ascii="Times New Roman" w:hAnsi="Times New Roman" w:cs="Times New Roman"/>
                <w:sz w:val="16"/>
                <w:szCs w:val="16"/>
              </w:rPr>
              <w:t>Lack of sequence-first approach inherently misses key linkages and requires a well-defined and rational basis for overall design and application</w:t>
            </w:r>
          </w:p>
        </w:tc>
        <w:tc>
          <w:tcPr>
            <w:tcW w:w="4680" w:type="dxa"/>
          </w:tcPr>
          <w:p w14:paraId="0E2796CF" w14:textId="77777777" w:rsidR="00854F75" w:rsidRPr="008F5127" w:rsidRDefault="00854F75" w:rsidP="00854F75">
            <w:pPr>
              <w:pStyle w:val="ListParagraph"/>
              <w:numPr>
                <w:ilvl w:val="0"/>
                <w:numId w:val="1"/>
              </w:numPr>
              <w:ind w:left="166" w:hanging="166"/>
              <w:rPr>
                <w:rFonts w:ascii="Times New Roman" w:hAnsi="Times New Roman" w:cs="Times New Roman"/>
                <w:sz w:val="16"/>
                <w:szCs w:val="16"/>
              </w:rPr>
            </w:pPr>
            <w:r w:rsidRPr="008F5127">
              <w:rPr>
                <w:rFonts w:ascii="Times New Roman" w:hAnsi="Times New Roman" w:cs="Times New Roman"/>
                <w:sz w:val="16"/>
                <w:szCs w:val="16"/>
              </w:rPr>
              <w:t>Consider modeling and “right-size”/fit-for-purpose strategies similar to surveillance approaches for SARS-CoV-2, and foodborne (e.g., PulseNet)</w:t>
            </w:r>
          </w:p>
          <w:p w14:paraId="1FD144FD" w14:textId="77777777" w:rsidR="00854F75" w:rsidRPr="008F5127" w:rsidRDefault="00854F75" w:rsidP="00854F75">
            <w:pPr>
              <w:pStyle w:val="ListParagraph"/>
              <w:ind w:left="166"/>
              <w:rPr>
                <w:rFonts w:ascii="Times New Roman" w:hAnsi="Times New Roman" w:cs="Times New Roman"/>
                <w:sz w:val="16"/>
                <w:szCs w:val="16"/>
              </w:rPr>
            </w:pPr>
          </w:p>
        </w:tc>
      </w:tr>
      <w:tr w:rsidR="00854F75" w:rsidRPr="008F5127" w14:paraId="4C8FD925" w14:textId="77777777" w:rsidTr="008F5127">
        <w:tc>
          <w:tcPr>
            <w:tcW w:w="1345" w:type="dxa"/>
          </w:tcPr>
          <w:p w14:paraId="391234D3" w14:textId="77777777"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t>Informatics/ data architecture</w:t>
            </w:r>
          </w:p>
        </w:tc>
        <w:tc>
          <w:tcPr>
            <w:tcW w:w="3690" w:type="dxa"/>
          </w:tcPr>
          <w:p w14:paraId="0A814BB6" w14:textId="77777777" w:rsidR="00854F75" w:rsidRPr="008F5127" w:rsidRDefault="00854F75" w:rsidP="00854F75">
            <w:pPr>
              <w:pStyle w:val="ListParagraph"/>
              <w:numPr>
                <w:ilvl w:val="0"/>
                <w:numId w:val="1"/>
              </w:numPr>
              <w:ind w:left="160" w:hanging="174"/>
              <w:rPr>
                <w:rFonts w:ascii="Times New Roman" w:hAnsi="Times New Roman" w:cs="Times New Roman"/>
                <w:bCs/>
                <w:sz w:val="16"/>
                <w:szCs w:val="16"/>
              </w:rPr>
            </w:pPr>
            <w:r w:rsidRPr="008F5127">
              <w:rPr>
                <w:rFonts w:ascii="Times New Roman" w:hAnsi="Times New Roman" w:cs="Times New Roman"/>
                <w:bCs/>
                <w:sz w:val="16"/>
                <w:szCs w:val="16"/>
              </w:rPr>
              <w:t>Data storage, internet access</w:t>
            </w:r>
          </w:p>
          <w:p w14:paraId="1D423C6B" w14:textId="77777777" w:rsidR="00854F75" w:rsidRPr="008F5127" w:rsidRDefault="00854F75" w:rsidP="00854F75">
            <w:pPr>
              <w:pStyle w:val="ListParagraph"/>
              <w:numPr>
                <w:ilvl w:val="0"/>
                <w:numId w:val="1"/>
              </w:numPr>
              <w:ind w:left="160" w:hanging="174"/>
              <w:rPr>
                <w:rFonts w:ascii="Times New Roman" w:hAnsi="Times New Roman" w:cs="Times New Roman"/>
                <w:bCs/>
                <w:sz w:val="16"/>
                <w:szCs w:val="16"/>
              </w:rPr>
            </w:pPr>
            <w:r w:rsidRPr="008F5127">
              <w:rPr>
                <w:rFonts w:ascii="Times New Roman" w:hAnsi="Times New Roman" w:cs="Times New Roman"/>
                <w:bCs/>
                <w:sz w:val="16"/>
                <w:szCs w:val="16"/>
              </w:rPr>
              <w:t xml:space="preserve">Lacking connected metadata/isolate attribute data which is critical for guided action </w:t>
            </w:r>
          </w:p>
          <w:p w14:paraId="11148A4C" w14:textId="77777777" w:rsidR="00854F75" w:rsidRPr="008F5127" w:rsidRDefault="00854F75" w:rsidP="00854F75">
            <w:pPr>
              <w:pStyle w:val="ListParagraph"/>
              <w:numPr>
                <w:ilvl w:val="0"/>
                <w:numId w:val="1"/>
              </w:numPr>
              <w:ind w:left="160" w:hanging="174"/>
              <w:rPr>
                <w:rFonts w:ascii="Times New Roman" w:hAnsi="Times New Roman" w:cs="Times New Roman"/>
                <w:bCs/>
                <w:sz w:val="16"/>
                <w:szCs w:val="16"/>
              </w:rPr>
            </w:pPr>
            <w:r w:rsidRPr="008F5127">
              <w:rPr>
                <w:rFonts w:ascii="Times New Roman" w:hAnsi="Times New Roman" w:cs="Times New Roman"/>
                <w:bCs/>
                <w:sz w:val="16"/>
                <w:szCs w:val="16"/>
              </w:rPr>
              <w:t>Lack of interoperability does not facilitate reproducibility or cross-comparisons</w:t>
            </w:r>
          </w:p>
          <w:p w14:paraId="5C0A4CA4"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Legacy systems that were not built for NGS data </w:t>
            </w:r>
          </w:p>
          <w:p w14:paraId="122B10EA"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Lacking established best practices for storing/ managing data </w:t>
            </w:r>
          </w:p>
          <w:p w14:paraId="1934929D"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Curated databases support democratization of data, </w:t>
            </w:r>
          </w:p>
          <w:p w14:paraId="330E1BAC" w14:textId="77777777" w:rsidR="00854F75"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Accountability of data quality, etc. </w:t>
            </w:r>
          </w:p>
          <w:p w14:paraId="616056F7" w14:textId="421B796D" w:rsidR="00854F75" w:rsidRPr="009A5329" w:rsidRDefault="00854F75" w:rsidP="00854F75">
            <w:pPr>
              <w:pStyle w:val="ListParagraph"/>
              <w:numPr>
                <w:ilvl w:val="0"/>
                <w:numId w:val="1"/>
              </w:numPr>
              <w:ind w:left="166" w:hanging="180"/>
              <w:rPr>
                <w:rFonts w:ascii="Times New Roman" w:hAnsi="Times New Roman" w:cs="Times New Roman"/>
                <w:bCs/>
                <w:sz w:val="16"/>
                <w:szCs w:val="16"/>
              </w:rPr>
            </w:pPr>
            <w:r w:rsidRPr="009A5329">
              <w:rPr>
                <w:rFonts w:ascii="Times New Roman" w:hAnsi="Times New Roman" w:cs="Times New Roman"/>
                <w:bCs/>
                <w:sz w:val="16"/>
                <w:szCs w:val="16"/>
              </w:rPr>
              <w:t>Political/cultural/academic reasons to withhold or delay sharing of data</w:t>
            </w:r>
          </w:p>
        </w:tc>
        <w:tc>
          <w:tcPr>
            <w:tcW w:w="4680" w:type="dxa"/>
          </w:tcPr>
          <w:p w14:paraId="47F52CF4" w14:textId="77777777" w:rsidR="00854F75" w:rsidRPr="008F5127" w:rsidRDefault="00854F75" w:rsidP="00854F75">
            <w:pPr>
              <w:pStyle w:val="ListParagraph"/>
              <w:numPr>
                <w:ilvl w:val="0"/>
                <w:numId w:val="1"/>
              </w:numPr>
              <w:ind w:left="166" w:hanging="166"/>
              <w:rPr>
                <w:rFonts w:ascii="Times New Roman" w:hAnsi="Times New Roman" w:cs="Times New Roman"/>
                <w:sz w:val="16"/>
                <w:szCs w:val="16"/>
              </w:rPr>
            </w:pPr>
            <w:r w:rsidRPr="008F5127">
              <w:rPr>
                <w:rFonts w:ascii="Times New Roman" w:hAnsi="Times New Roman" w:cs="Times New Roman"/>
                <w:sz w:val="16"/>
                <w:szCs w:val="16"/>
              </w:rPr>
              <w:t xml:space="preserve">Supporting informatics transformations to handle these large datasets, promote system connectivity  </w:t>
            </w:r>
          </w:p>
          <w:p w14:paraId="23CA63B6" w14:textId="5C84AC9D"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Online repositories enhance access and may decrease cost for LMICs</w:t>
            </w:r>
          </w:p>
          <w:p w14:paraId="265FF324"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Work with information systems partners to devise feasible solutions for legacy systems</w:t>
            </w:r>
          </w:p>
          <w:p w14:paraId="49FF847E" w14:textId="77777777" w:rsidR="00854F75" w:rsidRPr="008F5127" w:rsidRDefault="00854F75" w:rsidP="00854F75">
            <w:pPr>
              <w:pStyle w:val="ListParagraph"/>
              <w:ind w:left="166"/>
              <w:rPr>
                <w:rFonts w:ascii="Times New Roman" w:hAnsi="Times New Roman" w:cs="Times New Roman"/>
                <w:bCs/>
                <w:sz w:val="16"/>
                <w:szCs w:val="16"/>
              </w:rPr>
            </w:pPr>
          </w:p>
          <w:p w14:paraId="6A8ABC7F" w14:textId="4898D3CB"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C22366">
              <w:rPr>
                <w:rFonts w:ascii="Times New Roman" w:hAnsi="Times New Roman" w:cs="Times New Roman"/>
                <w:bCs/>
                <w:sz w:val="16"/>
                <w:szCs w:val="16"/>
              </w:rPr>
              <w:t>International Nucleotide Sequence Database Collaboration</w:t>
            </w:r>
            <w:r w:rsidRPr="008F5127">
              <w:rPr>
                <w:rFonts w:ascii="Times New Roman" w:hAnsi="Times New Roman" w:cs="Times New Roman"/>
                <w:bCs/>
                <w:sz w:val="16"/>
                <w:szCs w:val="16"/>
              </w:rPr>
              <w:t xml:space="preserve"> </w:t>
            </w:r>
            <w:r w:rsidRPr="008F5127">
              <w:rPr>
                <w:rFonts w:ascii="Times New Roman" w:hAnsi="Times New Roman" w:cs="Times New Roman"/>
                <w:sz w:val="16"/>
                <w:szCs w:val="16"/>
              </w:rPr>
              <w:t>assist with data storage/ management but are not highly curated</w:t>
            </w:r>
          </w:p>
          <w:p w14:paraId="676E5576"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Agree upon minimum expectations for data quality (parameters and thresholds)</w:t>
            </w:r>
          </w:p>
          <w:p w14:paraId="0ED17D57"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Minimum metadata sharing</w:t>
            </w:r>
          </w:p>
          <w:p w14:paraId="15C2348C"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Journals could require data sharing</w:t>
            </w:r>
          </w:p>
          <w:p w14:paraId="3722C943" w14:textId="4CE26BF9" w:rsidR="00854F75" w:rsidRPr="0051719C" w:rsidRDefault="00854F75" w:rsidP="0051719C">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Public funding could utilize pre-defined agreements that require data sharing </w:t>
            </w:r>
          </w:p>
        </w:tc>
      </w:tr>
      <w:tr w:rsidR="00854F75" w:rsidRPr="008F5127" w14:paraId="3BB5C654" w14:textId="77777777" w:rsidTr="009A5329">
        <w:trPr>
          <w:trHeight w:val="2366"/>
        </w:trPr>
        <w:tc>
          <w:tcPr>
            <w:tcW w:w="1345" w:type="dxa"/>
          </w:tcPr>
          <w:p w14:paraId="458A370F" w14:textId="77777777"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lastRenderedPageBreak/>
              <w:t>Analytics</w:t>
            </w:r>
          </w:p>
          <w:p w14:paraId="626F1363" w14:textId="77777777" w:rsidR="00854F75" w:rsidRPr="008F5127" w:rsidRDefault="00854F75" w:rsidP="00854F75">
            <w:pPr>
              <w:jc w:val="right"/>
              <w:rPr>
                <w:rFonts w:ascii="Times New Roman" w:hAnsi="Times New Roman" w:cs="Times New Roman"/>
                <w:bCs/>
                <w:sz w:val="16"/>
                <w:szCs w:val="16"/>
              </w:rPr>
            </w:pPr>
          </w:p>
        </w:tc>
        <w:tc>
          <w:tcPr>
            <w:tcW w:w="3690" w:type="dxa"/>
          </w:tcPr>
          <w:p w14:paraId="5A47AE1B"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sz w:val="16"/>
                <w:szCs w:val="16"/>
              </w:rPr>
              <w:t>Field of bioinformatics is a rapidly moving field and thus does not lend itself to uniform standardized bioinformatic processes, platforms, parameters/ assumptions for raw data transformation</w:t>
            </w:r>
          </w:p>
          <w:p w14:paraId="0AEF264A"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sz w:val="16"/>
                <w:szCs w:val="16"/>
              </w:rPr>
              <w:t xml:space="preserve">Short-read sequencing limits ability to complete genomic attribution (e.g., chromosomal vs. plasmid-/mobile genetic element-mediated) </w:t>
            </w:r>
          </w:p>
          <w:p w14:paraId="7CE38CAE" w14:textId="11C728AF" w:rsidR="00854F75" w:rsidRPr="0051719C" w:rsidRDefault="00854F75" w:rsidP="0051719C">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Difficult to assess for monoclonal outbreaks, including accounting for uncertainty (environmental sources/pressures like desiccation), mutation rates, within host/source genomic cloud</w:t>
            </w:r>
          </w:p>
        </w:tc>
        <w:tc>
          <w:tcPr>
            <w:tcW w:w="4680" w:type="dxa"/>
          </w:tcPr>
          <w:p w14:paraId="4098F2A3" w14:textId="1C01A589"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Set standards that processes must meet (versus requiring uniform/standardized processes)</w:t>
            </w:r>
          </w:p>
          <w:p w14:paraId="46A121C5"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Consensus across groups on analytical workflows, including menu of basic tools and parameters used to run these tools  </w:t>
            </w:r>
          </w:p>
          <w:p w14:paraId="2E995224" w14:textId="77777777" w:rsidR="00854F75" w:rsidRPr="008F5127" w:rsidRDefault="00854F75" w:rsidP="00854F75">
            <w:pPr>
              <w:pStyle w:val="ListParagraph"/>
              <w:ind w:left="166"/>
              <w:rPr>
                <w:rFonts w:ascii="Times New Roman" w:hAnsi="Times New Roman" w:cs="Times New Roman"/>
                <w:bCs/>
                <w:sz w:val="16"/>
                <w:szCs w:val="16"/>
              </w:rPr>
            </w:pPr>
          </w:p>
          <w:p w14:paraId="553E5DDA" w14:textId="77777777" w:rsidR="00854F75" w:rsidRPr="008F5127" w:rsidRDefault="00854F75" w:rsidP="00854F75">
            <w:pPr>
              <w:pStyle w:val="ListParagraph"/>
              <w:numPr>
                <w:ilvl w:val="0"/>
                <w:numId w:val="1"/>
              </w:numPr>
              <w:ind w:left="162" w:hanging="180"/>
              <w:rPr>
                <w:rFonts w:ascii="Times New Roman" w:hAnsi="Times New Roman" w:cs="Times New Roman"/>
                <w:bCs/>
                <w:sz w:val="16"/>
                <w:szCs w:val="16"/>
              </w:rPr>
            </w:pPr>
            <w:r w:rsidRPr="008F5127">
              <w:rPr>
                <w:rFonts w:ascii="Times New Roman" w:hAnsi="Times New Roman" w:cs="Times New Roman"/>
                <w:bCs/>
                <w:sz w:val="16"/>
                <w:szCs w:val="16"/>
              </w:rPr>
              <w:t xml:space="preserve">Long-read platforms continue to evolve and improve in accuracy  </w:t>
            </w:r>
          </w:p>
          <w:p w14:paraId="57CEB93D" w14:textId="77777777" w:rsidR="00854F75" w:rsidRPr="008F5127" w:rsidRDefault="00854F75" w:rsidP="00854F75">
            <w:pPr>
              <w:rPr>
                <w:rFonts w:ascii="Times New Roman" w:hAnsi="Times New Roman" w:cs="Times New Roman"/>
                <w:bCs/>
                <w:sz w:val="16"/>
                <w:szCs w:val="16"/>
              </w:rPr>
            </w:pPr>
          </w:p>
          <w:p w14:paraId="30A54F79" w14:textId="77777777"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t>Species-specific hqSNV/core genome thresholds or confidence levels of outbreak/relatedness including measures of diagnostic performance (e.g., sensitivity, specificity)</w:t>
            </w:r>
          </w:p>
          <w:p w14:paraId="50E6A787" w14:textId="77777777"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t>Provide range of interpretations (confirmed/highly likely, probably related, possibly related)</w:t>
            </w:r>
          </w:p>
        </w:tc>
      </w:tr>
      <w:tr w:rsidR="00854F75" w:rsidRPr="008F5127" w14:paraId="45D7E6EA" w14:textId="77777777" w:rsidTr="0051719C">
        <w:trPr>
          <w:trHeight w:val="1493"/>
        </w:trPr>
        <w:tc>
          <w:tcPr>
            <w:tcW w:w="1345" w:type="dxa"/>
          </w:tcPr>
          <w:p w14:paraId="478647A7" w14:textId="77777777"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t>Resource access</w:t>
            </w:r>
          </w:p>
        </w:tc>
        <w:tc>
          <w:tcPr>
            <w:tcW w:w="3690" w:type="dxa"/>
          </w:tcPr>
          <w:p w14:paraId="0577A1EC"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Intermittent/unreliable internet access which is critical for accessing bioinformatics platforms and tools</w:t>
            </w:r>
          </w:p>
          <w:p w14:paraId="598B7C73"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Reliable electricity is needed for equipment and instruments used in sequencing and analyses (e.g., freezers, sequencers)</w:t>
            </w:r>
          </w:p>
          <w:p w14:paraId="3D7F0B30" w14:textId="3A90D972" w:rsidR="00854F75" w:rsidRPr="0051719C" w:rsidRDefault="00854F75" w:rsidP="0051719C">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Access to equipment, consumables, technical support services, water, reagents, etc</w:t>
            </w:r>
            <w:r w:rsidR="005F5A77">
              <w:rPr>
                <w:rFonts w:ascii="Times New Roman" w:hAnsi="Times New Roman" w:cs="Times New Roman"/>
                <w:bCs/>
                <w:sz w:val="16"/>
                <w:szCs w:val="16"/>
              </w:rPr>
              <w:t>.</w:t>
            </w:r>
          </w:p>
        </w:tc>
        <w:tc>
          <w:tcPr>
            <w:tcW w:w="4680" w:type="dxa"/>
          </w:tcPr>
          <w:p w14:paraId="4DDCF299"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Develop tools and databases that can be downloaded and used offline</w:t>
            </w:r>
          </w:p>
          <w:p w14:paraId="3053C055"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Centralize data analyses </w:t>
            </w:r>
          </w:p>
          <w:p w14:paraId="1806542C"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Centralized reference laboratories to maintain laboratory infrastructure and capacity </w:t>
            </w:r>
          </w:p>
        </w:tc>
      </w:tr>
      <w:tr w:rsidR="00854F75" w:rsidRPr="008F5127" w14:paraId="7FC05AD4" w14:textId="77777777" w:rsidTr="008F5127">
        <w:tc>
          <w:tcPr>
            <w:tcW w:w="1345" w:type="dxa"/>
          </w:tcPr>
          <w:p w14:paraId="06C26B10" w14:textId="77777777"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t xml:space="preserve">Reporting/ Regulatory </w:t>
            </w:r>
          </w:p>
        </w:tc>
        <w:tc>
          <w:tcPr>
            <w:tcW w:w="3690" w:type="dxa"/>
          </w:tcPr>
          <w:p w14:paraId="6B92064C"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Individual/patient-level reporting needs to account for protecting patient privacy/ identifiable information and regulatory requirements (e.g., CLIA)</w:t>
            </w:r>
          </w:p>
          <w:p w14:paraId="5C08885F"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Lacking </w:t>
            </w:r>
            <w:r w:rsidRPr="008F5127">
              <w:rPr>
                <w:rFonts w:ascii="Times New Roman" w:hAnsi="Times New Roman" w:cs="Times New Roman"/>
                <w:sz w:val="16"/>
                <w:szCs w:val="16"/>
              </w:rPr>
              <w:t>relevant regulatory and governance frameworks and requirements</w:t>
            </w:r>
            <w:r w:rsidRPr="008F5127">
              <w:rPr>
                <w:rFonts w:ascii="Times New Roman" w:hAnsi="Times New Roman" w:cs="Times New Roman"/>
                <w:bCs/>
                <w:sz w:val="16"/>
                <w:szCs w:val="16"/>
              </w:rPr>
              <w:t xml:space="preserve"> (e.g., CLIA) </w:t>
            </w:r>
          </w:p>
        </w:tc>
        <w:tc>
          <w:tcPr>
            <w:tcW w:w="4680" w:type="dxa"/>
          </w:tcPr>
          <w:p w14:paraId="4E647A9B" w14:textId="610E263C" w:rsidR="00854F75" w:rsidRPr="008F5127" w:rsidRDefault="00854F75" w:rsidP="00854F75">
            <w:pPr>
              <w:pStyle w:val="ListParagraph"/>
              <w:numPr>
                <w:ilvl w:val="0"/>
                <w:numId w:val="1"/>
              </w:numPr>
              <w:ind w:left="166" w:hanging="180"/>
              <w:rPr>
                <w:rFonts w:ascii="Times New Roman" w:hAnsi="Times New Roman" w:cs="Times New Roman"/>
                <w:sz w:val="16"/>
                <w:szCs w:val="16"/>
              </w:rPr>
            </w:pPr>
            <w:r w:rsidRPr="008F5127">
              <w:rPr>
                <w:rFonts w:ascii="Times New Roman" w:hAnsi="Times New Roman" w:cs="Times New Roman"/>
                <w:sz w:val="16"/>
                <w:szCs w:val="16"/>
              </w:rPr>
              <w:t xml:space="preserve">Increasing data management plan and requirements for identifying and linking patient records to sequence results in a manner that </w:t>
            </w:r>
            <w:r>
              <w:rPr>
                <w:rFonts w:ascii="Times New Roman" w:hAnsi="Times New Roman" w:cs="Times New Roman"/>
                <w:sz w:val="16"/>
                <w:szCs w:val="16"/>
              </w:rPr>
              <w:t>guards</w:t>
            </w:r>
            <w:r w:rsidRPr="008F5127">
              <w:rPr>
                <w:rFonts w:ascii="Times New Roman" w:hAnsi="Times New Roman" w:cs="Times New Roman"/>
                <w:sz w:val="16"/>
                <w:szCs w:val="16"/>
              </w:rPr>
              <w:t xml:space="preserve"> </w:t>
            </w:r>
            <w:r>
              <w:rPr>
                <w:rFonts w:ascii="Times New Roman" w:hAnsi="Times New Roman" w:cs="Times New Roman"/>
                <w:sz w:val="16"/>
                <w:szCs w:val="16"/>
              </w:rPr>
              <w:t>protected health information</w:t>
            </w:r>
          </w:p>
        </w:tc>
      </w:tr>
      <w:tr w:rsidR="00854F75" w:rsidRPr="008F5127" w14:paraId="504D4784" w14:textId="77777777" w:rsidTr="008F5127">
        <w:tc>
          <w:tcPr>
            <w:tcW w:w="1345" w:type="dxa"/>
          </w:tcPr>
          <w:p w14:paraId="11698502" w14:textId="77777777"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t>Cost</w:t>
            </w:r>
          </w:p>
        </w:tc>
        <w:tc>
          <w:tcPr>
            <w:tcW w:w="3690" w:type="dxa"/>
          </w:tcPr>
          <w:p w14:paraId="1820594C" w14:textId="0C74AFC3"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Both initial start-up requirements as well as sustained maintenance and training (especially in LMIC</w:t>
            </w:r>
            <w:r>
              <w:rPr>
                <w:rFonts w:ascii="Times New Roman" w:hAnsi="Times New Roman" w:cs="Times New Roman"/>
                <w:bCs/>
                <w:sz w:val="16"/>
                <w:szCs w:val="16"/>
              </w:rPr>
              <w:t>s</w:t>
            </w:r>
            <w:r w:rsidRPr="008F5127">
              <w:rPr>
                <w:rFonts w:ascii="Times New Roman" w:hAnsi="Times New Roman" w:cs="Times New Roman"/>
                <w:bCs/>
                <w:sz w:val="16"/>
                <w:szCs w:val="16"/>
              </w:rPr>
              <w:t>)</w:t>
            </w:r>
          </w:p>
        </w:tc>
        <w:tc>
          <w:tcPr>
            <w:tcW w:w="4680" w:type="dxa"/>
          </w:tcPr>
          <w:p w14:paraId="2C0E7B99"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Outside investments for AR monitoring in locations able to maintain quality</w:t>
            </w:r>
          </w:p>
          <w:p w14:paraId="42A85EE5"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New platforms, technology, workflows that decrease sequencing cost per isolate </w:t>
            </w:r>
          </w:p>
        </w:tc>
      </w:tr>
      <w:tr w:rsidR="00854F75" w:rsidRPr="008F5127" w14:paraId="6642D65D" w14:textId="77777777" w:rsidTr="008F5127">
        <w:tc>
          <w:tcPr>
            <w:tcW w:w="1345" w:type="dxa"/>
          </w:tcPr>
          <w:p w14:paraId="3FBD6201" w14:textId="77777777"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t>Return on Investment</w:t>
            </w:r>
          </w:p>
        </w:tc>
        <w:tc>
          <w:tcPr>
            <w:tcW w:w="3690" w:type="dxa"/>
          </w:tcPr>
          <w:p w14:paraId="5F658C0A"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Intervention is cheap while sequencing is expensive</w:t>
            </w:r>
          </w:p>
        </w:tc>
        <w:tc>
          <w:tcPr>
            <w:tcW w:w="4680" w:type="dxa"/>
          </w:tcPr>
          <w:p w14:paraId="55BA4701" w14:textId="63C5EE68"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Continue to demonstrate improved interventions with sequencing in nosocomial settings with enhanced sequencing and adapt translation into LMIC</w:t>
            </w:r>
            <w:r>
              <w:rPr>
                <w:rFonts w:ascii="Times New Roman" w:hAnsi="Times New Roman" w:cs="Times New Roman"/>
                <w:bCs/>
                <w:sz w:val="16"/>
                <w:szCs w:val="16"/>
              </w:rPr>
              <w:t xml:space="preserve"> settings</w:t>
            </w:r>
          </w:p>
        </w:tc>
      </w:tr>
      <w:tr w:rsidR="00854F75" w:rsidRPr="008F5127" w14:paraId="58ADCD14" w14:textId="77777777" w:rsidTr="008F5127">
        <w:trPr>
          <w:trHeight w:val="1790"/>
        </w:trPr>
        <w:tc>
          <w:tcPr>
            <w:tcW w:w="1345" w:type="dxa"/>
          </w:tcPr>
          <w:p w14:paraId="3F131E69" w14:textId="7935C0D2" w:rsidR="00854F75" w:rsidRPr="008F5127" w:rsidRDefault="003F3F85" w:rsidP="003F3F85">
            <w:pPr>
              <w:jc w:val="right"/>
              <w:rPr>
                <w:rFonts w:ascii="Times New Roman" w:hAnsi="Times New Roman" w:cs="Times New Roman"/>
                <w:bCs/>
                <w:sz w:val="16"/>
                <w:szCs w:val="16"/>
              </w:rPr>
            </w:pPr>
            <w:r>
              <w:rPr>
                <w:rFonts w:ascii="Times New Roman" w:hAnsi="Times New Roman" w:cs="Times New Roman"/>
                <w:bCs/>
                <w:sz w:val="16"/>
                <w:szCs w:val="16"/>
              </w:rPr>
              <w:t xml:space="preserve">Workforce </w:t>
            </w:r>
          </w:p>
        </w:tc>
        <w:tc>
          <w:tcPr>
            <w:tcW w:w="3690" w:type="dxa"/>
          </w:tcPr>
          <w:p w14:paraId="5B8281D4" w14:textId="71FFAD02"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Next generation technologies continue to evolve and thus we need both initial and continued/sustained training of laboratory staff and bioinformaticians</w:t>
            </w:r>
          </w:p>
          <w:p w14:paraId="384D2702" w14:textId="1E333486" w:rsidR="00174BA8" w:rsidRDefault="00174BA8" w:rsidP="00174BA8">
            <w:pPr>
              <w:pStyle w:val="ListParagraph"/>
              <w:numPr>
                <w:ilvl w:val="0"/>
                <w:numId w:val="1"/>
              </w:numPr>
              <w:ind w:left="166" w:hanging="180"/>
              <w:rPr>
                <w:rFonts w:ascii="Times New Roman" w:hAnsi="Times New Roman" w:cs="Times New Roman"/>
                <w:bCs/>
                <w:sz w:val="16"/>
                <w:szCs w:val="16"/>
              </w:rPr>
            </w:pPr>
            <w:r>
              <w:rPr>
                <w:rFonts w:ascii="Times New Roman" w:hAnsi="Times New Roman" w:cs="Times New Roman"/>
                <w:bCs/>
                <w:sz w:val="16"/>
                <w:szCs w:val="16"/>
              </w:rPr>
              <w:t xml:space="preserve">Lack of bioinformatic expertise in hospital infection control teams </w:t>
            </w:r>
          </w:p>
          <w:p w14:paraId="27ABD206" w14:textId="47A8F85F" w:rsidR="00174BA8" w:rsidRDefault="00174BA8" w:rsidP="00174BA8">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Epidemiologists, infection preventionists, etc. need to be cross-trained and upskilled to engage in the process and application of sequence data to infection control/containment/public health</w:t>
            </w:r>
          </w:p>
          <w:p w14:paraId="38BB7A22" w14:textId="05A4F890" w:rsidR="00174BA8" w:rsidRPr="008F5127" w:rsidRDefault="00174BA8" w:rsidP="0051719C">
            <w:pPr>
              <w:pStyle w:val="ListParagraph"/>
              <w:ind w:left="166"/>
              <w:rPr>
                <w:rFonts w:ascii="Times New Roman" w:hAnsi="Times New Roman" w:cs="Times New Roman"/>
                <w:bCs/>
                <w:sz w:val="16"/>
                <w:szCs w:val="16"/>
              </w:rPr>
            </w:pPr>
          </w:p>
        </w:tc>
        <w:tc>
          <w:tcPr>
            <w:tcW w:w="4680" w:type="dxa"/>
          </w:tcPr>
          <w:p w14:paraId="0B493535" w14:textId="68E3BEB8"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Genomic </w:t>
            </w:r>
            <w:r>
              <w:rPr>
                <w:rFonts w:ascii="Times New Roman" w:hAnsi="Times New Roman" w:cs="Times New Roman"/>
                <w:bCs/>
                <w:sz w:val="16"/>
                <w:szCs w:val="16"/>
              </w:rPr>
              <w:t>external quality assessment</w:t>
            </w:r>
            <w:r w:rsidRPr="008F5127">
              <w:rPr>
                <w:rFonts w:ascii="Times New Roman" w:hAnsi="Times New Roman" w:cs="Times New Roman"/>
                <w:bCs/>
                <w:sz w:val="16"/>
                <w:szCs w:val="16"/>
              </w:rPr>
              <w:t xml:space="preserve"> that </w:t>
            </w:r>
            <w:r>
              <w:rPr>
                <w:rFonts w:ascii="Times New Roman" w:hAnsi="Times New Roman" w:cs="Times New Roman"/>
                <w:bCs/>
                <w:sz w:val="16"/>
                <w:szCs w:val="16"/>
              </w:rPr>
              <w:t>Technical University of Denmark</w:t>
            </w:r>
            <w:r w:rsidRPr="008F5127">
              <w:rPr>
                <w:rFonts w:ascii="Times New Roman" w:hAnsi="Times New Roman" w:cs="Times New Roman"/>
                <w:bCs/>
                <w:sz w:val="16"/>
                <w:szCs w:val="16"/>
              </w:rPr>
              <w:t xml:space="preserve"> offer</w:t>
            </w:r>
            <w:r>
              <w:rPr>
                <w:rFonts w:ascii="Times New Roman" w:hAnsi="Times New Roman" w:cs="Times New Roman"/>
                <w:bCs/>
                <w:sz w:val="16"/>
                <w:szCs w:val="16"/>
              </w:rPr>
              <w:t>s</w:t>
            </w:r>
            <w:r w:rsidRPr="008F5127">
              <w:rPr>
                <w:rFonts w:ascii="Times New Roman" w:hAnsi="Times New Roman" w:cs="Times New Roman"/>
                <w:bCs/>
                <w:sz w:val="16"/>
                <w:szCs w:val="16"/>
              </w:rPr>
              <w:t xml:space="preserve"> and the </w:t>
            </w:r>
            <w:r>
              <w:rPr>
                <w:rFonts w:ascii="Times New Roman" w:hAnsi="Times New Roman" w:cs="Times New Roman"/>
                <w:bCs/>
                <w:sz w:val="16"/>
                <w:szCs w:val="16"/>
              </w:rPr>
              <w:t>European Reference Laboratory for antimicrobial resistance</w:t>
            </w:r>
            <w:r w:rsidRPr="008F5127">
              <w:rPr>
                <w:rFonts w:ascii="Times New Roman" w:hAnsi="Times New Roman" w:cs="Times New Roman"/>
                <w:bCs/>
                <w:sz w:val="16"/>
                <w:szCs w:val="16"/>
              </w:rPr>
              <w:t xml:space="preserve"> (</w:t>
            </w:r>
            <w:hyperlink r:id="rId7" w:history="1">
              <w:r w:rsidRPr="008F5127">
                <w:rPr>
                  <w:rStyle w:val="Hyperlink"/>
                  <w:rFonts w:ascii="Times New Roman" w:hAnsi="Times New Roman" w:cs="Times New Roman"/>
                  <w:bCs/>
                  <w:sz w:val="16"/>
                  <w:szCs w:val="16"/>
                </w:rPr>
                <w:t>https://www.globalsurveillance.eu/projects/genomic-proficiency-test-2021</w:t>
              </w:r>
            </w:hyperlink>
            <w:r w:rsidRPr="008F5127">
              <w:rPr>
                <w:rFonts w:ascii="Times New Roman" w:hAnsi="Times New Roman" w:cs="Times New Roman"/>
                <w:bCs/>
                <w:sz w:val="16"/>
                <w:szCs w:val="16"/>
              </w:rPr>
              <w:t xml:space="preserve">) </w:t>
            </w:r>
          </w:p>
          <w:p w14:paraId="128AF757" w14:textId="3B57F7E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Continue to support open access training materials to LMIC</w:t>
            </w:r>
            <w:r>
              <w:rPr>
                <w:rFonts w:ascii="Times New Roman" w:hAnsi="Times New Roman" w:cs="Times New Roman"/>
                <w:bCs/>
                <w:sz w:val="16"/>
                <w:szCs w:val="16"/>
              </w:rPr>
              <w:t>s</w:t>
            </w:r>
            <w:r w:rsidRPr="008F5127">
              <w:rPr>
                <w:rFonts w:ascii="Times New Roman" w:hAnsi="Times New Roman" w:cs="Times New Roman"/>
                <w:bCs/>
                <w:sz w:val="16"/>
                <w:szCs w:val="16"/>
              </w:rPr>
              <w:t xml:space="preserve"> </w:t>
            </w:r>
          </w:p>
          <w:p w14:paraId="783F8A36"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Fellowships (e.g., CDC-ASM Genomic Surveillance Training program)</w:t>
            </w:r>
          </w:p>
          <w:p w14:paraId="38A63001"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Continue to refine and develop standard training programs with principles outlined about standardization and differing approach</w:t>
            </w:r>
          </w:p>
          <w:p w14:paraId="43A3675E" w14:textId="77777777" w:rsidR="00854F75"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Require knowledge of genomic epidemiology education in infection control practitioners</w:t>
            </w:r>
          </w:p>
          <w:p w14:paraId="1FE3F4DE" w14:textId="77777777" w:rsidR="00BC2EBB" w:rsidRDefault="002165D4" w:rsidP="00854F75">
            <w:pPr>
              <w:pStyle w:val="ListParagraph"/>
              <w:numPr>
                <w:ilvl w:val="0"/>
                <w:numId w:val="1"/>
              </w:numPr>
              <w:ind w:left="166" w:hanging="180"/>
              <w:rPr>
                <w:rFonts w:ascii="Times New Roman" w:hAnsi="Times New Roman" w:cs="Times New Roman"/>
                <w:bCs/>
                <w:sz w:val="16"/>
                <w:szCs w:val="16"/>
              </w:rPr>
            </w:pPr>
            <w:r>
              <w:rPr>
                <w:rFonts w:ascii="Times New Roman" w:hAnsi="Times New Roman" w:cs="Times New Roman"/>
                <w:bCs/>
                <w:sz w:val="16"/>
                <w:szCs w:val="16"/>
              </w:rPr>
              <w:t>Create bioinformatics-specific job series or categories to streamline identification of qualified candidates</w:t>
            </w:r>
          </w:p>
          <w:p w14:paraId="064F9891" w14:textId="77777777" w:rsidR="002165D4" w:rsidRDefault="002165D4" w:rsidP="00854F75">
            <w:pPr>
              <w:pStyle w:val="ListParagraph"/>
              <w:numPr>
                <w:ilvl w:val="0"/>
                <w:numId w:val="1"/>
              </w:numPr>
              <w:ind w:left="166" w:hanging="180"/>
              <w:rPr>
                <w:rFonts w:ascii="Times New Roman" w:hAnsi="Times New Roman" w:cs="Times New Roman"/>
                <w:bCs/>
                <w:sz w:val="16"/>
                <w:szCs w:val="16"/>
              </w:rPr>
            </w:pPr>
            <w:r>
              <w:rPr>
                <w:rFonts w:ascii="Times New Roman" w:hAnsi="Times New Roman" w:cs="Times New Roman"/>
                <w:bCs/>
                <w:sz w:val="16"/>
                <w:szCs w:val="16"/>
              </w:rPr>
              <w:t>Allow remote work options</w:t>
            </w:r>
            <w:r w:rsidR="00EF67D1">
              <w:rPr>
                <w:rFonts w:ascii="Times New Roman" w:hAnsi="Times New Roman" w:cs="Times New Roman"/>
                <w:bCs/>
                <w:sz w:val="16"/>
                <w:szCs w:val="16"/>
              </w:rPr>
              <w:t xml:space="preserve"> to combat any limitation geography might have and expand the available job candidate pool</w:t>
            </w:r>
          </w:p>
          <w:p w14:paraId="5A8C6FE7" w14:textId="01ECC665" w:rsidR="00EF67D1" w:rsidRPr="008F5127" w:rsidRDefault="00D95CE1" w:rsidP="00854F75">
            <w:pPr>
              <w:pStyle w:val="ListParagraph"/>
              <w:numPr>
                <w:ilvl w:val="0"/>
                <w:numId w:val="1"/>
              </w:numPr>
              <w:ind w:left="166" w:hanging="180"/>
              <w:rPr>
                <w:rFonts w:ascii="Times New Roman" w:hAnsi="Times New Roman" w:cs="Times New Roman"/>
                <w:bCs/>
                <w:sz w:val="16"/>
                <w:szCs w:val="16"/>
              </w:rPr>
            </w:pPr>
            <w:r>
              <w:rPr>
                <w:rFonts w:ascii="Times New Roman" w:hAnsi="Times New Roman" w:cs="Times New Roman"/>
                <w:bCs/>
                <w:sz w:val="16"/>
                <w:szCs w:val="16"/>
              </w:rPr>
              <w:t>Create</w:t>
            </w:r>
            <w:r w:rsidR="00EF67D1">
              <w:rPr>
                <w:rFonts w:ascii="Times New Roman" w:hAnsi="Times New Roman" w:cs="Times New Roman"/>
                <w:bCs/>
                <w:sz w:val="16"/>
                <w:szCs w:val="16"/>
              </w:rPr>
              <w:t xml:space="preserve"> positions that serve </w:t>
            </w:r>
            <w:r>
              <w:rPr>
                <w:rFonts w:ascii="Times New Roman" w:hAnsi="Times New Roman" w:cs="Times New Roman"/>
                <w:bCs/>
                <w:sz w:val="16"/>
                <w:szCs w:val="16"/>
              </w:rPr>
              <w:t xml:space="preserve">a region or network, rather than a single facility </w:t>
            </w:r>
          </w:p>
        </w:tc>
      </w:tr>
      <w:tr w:rsidR="00854F75" w:rsidRPr="008F5127" w14:paraId="5FDC79B8" w14:textId="77777777" w:rsidTr="008F5127">
        <w:tc>
          <w:tcPr>
            <w:tcW w:w="1345" w:type="dxa"/>
          </w:tcPr>
          <w:p w14:paraId="1EA16224" w14:textId="77777777"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t>Sampling and selection bias</w:t>
            </w:r>
          </w:p>
        </w:tc>
        <w:tc>
          <w:tcPr>
            <w:tcW w:w="3690" w:type="dxa"/>
          </w:tcPr>
          <w:p w14:paraId="303ECBCE"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Sampling and selection biases </w:t>
            </w:r>
          </w:p>
          <w:p w14:paraId="741D77AC"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Missed transmission/ contamination events </w:t>
            </w:r>
          </w:p>
        </w:tc>
        <w:tc>
          <w:tcPr>
            <w:tcW w:w="4680" w:type="dxa"/>
          </w:tcPr>
          <w:p w14:paraId="2984F985" w14:textId="77777777"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t>Evaluate whether this can be alleviated through a prospective sequencing approach or other random sampling of sequencing of subsets sampling strategies that support infection control at lower cost</w:t>
            </w:r>
          </w:p>
          <w:p w14:paraId="6D653CDA" w14:textId="77777777"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t xml:space="preserve">Determine if all isolates need to be sequenced or can a sampling strategy support infection control at lower cost </w:t>
            </w:r>
          </w:p>
        </w:tc>
      </w:tr>
      <w:tr w:rsidR="00854F75" w:rsidRPr="008F5127" w14:paraId="631D2F45" w14:textId="77777777" w:rsidTr="008F5127">
        <w:tc>
          <w:tcPr>
            <w:tcW w:w="1345" w:type="dxa"/>
          </w:tcPr>
          <w:p w14:paraId="283671DE" w14:textId="2364DAF6"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t xml:space="preserve">Data for </w:t>
            </w:r>
            <w:r>
              <w:rPr>
                <w:rFonts w:ascii="Times New Roman" w:hAnsi="Times New Roman" w:cs="Times New Roman"/>
                <w:bCs/>
                <w:sz w:val="16"/>
                <w:szCs w:val="16"/>
              </w:rPr>
              <w:t>a</w:t>
            </w:r>
            <w:r w:rsidRPr="008F5127">
              <w:rPr>
                <w:rFonts w:ascii="Times New Roman" w:hAnsi="Times New Roman" w:cs="Times New Roman"/>
                <w:bCs/>
                <w:sz w:val="16"/>
                <w:szCs w:val="16"/>
              </w:rPr>
              <w:t>ction</w:t>
            </w:r>
          </w:p>
        </w:tc>
        <w:tc>
          <w:tcPr>
            <w:tcW w:w="3690" w:type="dxa"/>
          </w:tcPr>
          <w:p w14:paraId="4BBB2C50"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 xml:space="preserve">Epidemiologists and infection preventionists are not always trained to understand and use the data </w:t>
            </w:r>
          </w:p>
          <w:p w14:paraId="669FCAA8" w14:textId="77777777" w:rsidR="00854F75" w:rsidRPr="008F5127" w:rsidRDefault="00854F75" w:rsidP="00854F75">
            <w:pPr>
              <w:pStyle w:val="ListParagraph"/>
              <w:ind w:left="166"/>
              <w:rPr>
                <w:rFonts w:ascii="Times New Roman" w:hAnsi="Times New Roman" w:cs="Times New Roman"/>
                <w:bCs/>
                <w:sz w:val="16"/>
                <w:szCs w:val="16"/>
              </w:rPr>
            </w:pPr>
          </w:p>
        </w:tc>
        <w:tc>
          <w:tcPr>
            <w:tcW w:w="4680" w:type="dxa"/>
          </w:tcPr>
          <w:p w14:paraId="1B2E87D1" w14:textId="77777777"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t xml:space="preserve">Toolkits (e.g., genomic epi or genomic infection control toolkits) are needed to guide use, application, and integration of sequencing into infection prevention and control </w:t>
            </w:r>
          </w:p>
        </w:tc>
      </w:tr>
      <w:tr w:rsidR="00854F75" w:rsidRPr="008F5127" w14:paraId="73E014D0" w14:textId="77777777" w:rsidTr="008F5127">
        <w:tc>
          <w:tcPr>
            <w:tcW w:w="1345" w:type="dxa"/>
          </w:tcPr>
          <w:p w14:paraId="71AB5BCE" w14:textId="23419D9E" w:rsidR="00854F75" w:rsidRPr="008F5127" w:rsidRDefault="00854F75" w:rsidP="00854F75">
            <w:pPr>
              <w:jc w:val="right"/>
              <w:rPr>
                <w:rFonts w:ascii="Times New Roman" w:hAnsi="Times New Roman" w:cs="Times New Roman"/>
                <w:bCs/>
                <w:sz w:val="16"/>
                <w:szCs w:val="16"/>
              </w:rPr>
            </w:pPr>
            <w:r w:rsidRPr="008F5127">
              <w:rPr>
                <w:rFonts w:ascii="Times New Roman" w:hAnsi="Times New Roman" w:cs="Times New Roman"/>
                <w:bCs/>
                <w:sz w:val="16"/>
                <w:szCs w:val="16"/>
              </w:rPr>
              <w:t xml:space="preserve">Data </w:t>
            </w:r>
            <w:r>
              <w:rPr>
                <w:rFonts w:ascii="Times New Roman" w:hAnsi="Times New Roman" w:cs="Times New Roman"/>
                <w:bCs/>
                <w:sz w:val="16"/>
                <w:szCs w:val="16"/>
              </w:rPr>
              <w:t>s</w:t>
            </w:r>
            <w:r w:rsidRPr="008F5127">
              <w:rPr>
                <w:rFonts w:ascii="Times New Roman" w:hAnsi="Times New Roman" w:cs="Times New Roman"/>
                <w:bCs/>
                <w:sz w:val="16"/>
                <w:szCs w:val="16"/>
              </w:rPr>
              <w:t xml:space="preserve">torage/ </w:t>
            </w:r>
            <w:r>
              <w:rPr>
                <w:rFonts w:ascii="Times New Roman" w:hAnsi="Times New Roman" w:cs="Times New Roman"/>
                <w:bCs/>
                <w:sz w:val="16"/>
                <w:szCs w:val="16"/>
              </w:rPr>
              <w:t>r</w:t>
            </w:r>
            <w:r w:rsidRPr="008F5127">
              <w:rPr>
                <w:rFonts w:ascii="Times New Roman" w:hAnsi="Times New Roman" w:cs="Times New Roman"/>
                <w:bCs/>
                <w:sz w:val="16"/>
                <w:szCs w:val="16"/>
              </w:rPr>
              <w:t>epositories</w:t>
            </w:r>
          </w:p>
        </w:tc>
        <w:tc>
          <w:tcPr>
            <w:tcW w:w="3690" w:type="dxa"/>
          </w:tcPr>
          <w:p w14:paraId="55EDE3B2"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Lacking repositories or storage systems that are sustained, maintained, and curated with genomic data along with relevant/standardized metadata (e.g., other laboratory data, geography/country, year, source)</w:t>
            </w:r>
          </w:p>
          <w:p w14:paraId="2245193B"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bCs/>
                <w:sz w:val="16"/>
                <w:szCs w:val="16"/>
              </w:rPr>
              <w:t>Existing systems lack connectivity/ interoperability</w:t>
            </w:r>
          </w:p>
          <w:p w14:paraId="4FE59FAF" w14:textId="77777777" w:rsidR="00854F75" w:rsidRPr="008F5127" w:rsidRDefault="00854F75" w:rsidP="00854F75">
            <w:pPr>
              <w:pStyle w:val="ListParagraph"/>
              <w:numPr>
                <w:ilvl w:val="0"/>
                <w:numId w:val="1"/>
              </w:numPr>
              <w:ind w:left="166" w:hanging="180"/>
              <w:rPr>
                <w:rFonts w:ascii="Times New Roman" w:hAnsi="Times New Roman" w:cs="Times New Roman"/>
                <w:bCs/>
                <w:sz w:val="16"/>
                <w:szCs w:val="16"/>
              </w:rPr>
            </w:pPr>
            <w:r w:rsidRPr="008F5127">
              <w:rPr>
                <w:rFonts w:ascii="Times New Roman" w:hAnsi="Times New Roman" w:cs="Times New Roman"/>
                <w:sz w:val="16"/>
                <w:szCs w:val="16"/>
              </w:rPr>
              <w:lastRenderedPageBreak/>
              <w:t xml:space="preserve">Data sharing/reporting and the governance and regulatory issues related to this </w:t>
            </w:r>
          </w:p>
        </w:tc>
        <w:tc>
          <w:tcPr>
            <w:tcW w:w="4680" w:type="dxa"/>
          </w:tcPr>
          <w:p w14:paraId="372BDFB5" w14:textId="77777777"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lastRenderedPageBreak/>
              <w:t>Journals could require posting and set quality standards as part of publication</w:t>
            </w:r>
          </w:p>
          <w:p w14:paraId="2931E225" w14:textId="77777777"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t>Develop minimal global standards for sequence metadata and quality</w:t>
            </w:r>
          </w:p>
          <w:p w14:paraId="79BD728A" w14:textId="77777777" w:rsidR="00854F75" w:rsidRPr="008F5127" w:rsidRDefault="00854F75" w:rsidP="00854F75">
            <w:pPr>
              <w:pStyle w:val="ListParagraph"/>
              <w:numPr>
                <w:ilvl w:val="0"/>
                <w:numId w:val="1"/>
              </w:numPr>
              <w:ind w:left="166" w:hanging="166"/>
              <w:rPr>
                <w:rFonts w:ascii="Times New Roman" w:hAnsi="Times New Roman" w:cs="Times New Roman"/>
                <w:bCs/>
                <w:sz w:val="16"/>
                <w:szCs w:val="16"/>
              </w:rPr>
            </w:pPr>
            <w:r w:rsidRPr="008F5127">
              <w:rPr>
                <w:rFonts w:ascii="Times New Roman" w:hAnsi="Times New Roman" w:cs="Times New Roman"/>
                <w:bCs/>
                <w:sz w:val="16"/>
                <w:szCs w:val="16"/>
              </w:rPr>
              <w:t>Develop a static curated repository which then is updated periodically (e.g., AR gene database) or when new AR or virulence arises</w:t>
            </w:r>
          </w:p>
        </w:tc>
      </w:tr>
    </w:tbl>
    <w:p w14:paraId="1FBABB0A" w14:textId="77777777" w:rsidR="008F5127" w:rsidRPr="008F5127" w:rsidRDefault="008F5127">
      <w:pPr>
        <w:rPr>
          <w:rFonts w:ascii="Times New Roman" w:hAnsi="Times New Roman" w:cs="Times New Roman"/>
        </w:rPr>
      </w:pPr>
    </w:p>
    <w:sectPr w:rsidR="008F5127" w:rsidRPr="008F512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5B9D4" w14:textId="77777777" w:rsidR="00CD252A" w:rsidRDefault="00CD252A" w:rsidP="004324A9">
      <w:pPr>
        <w:spacing w:after="0" w:line="240" w:lineRule="auto"/>
      </w:pPr>
      <w:r>
        <w:separator/>
      </w:r>
    </w:p>
  </w:endnote>
  <w:endnote w:type="continuationSeparator" w:id="0">
    <w:p w14:paraId="2D9B1BE2" w14:textId="77777777" w:rsidR="00CD252A" w:rsidRDefault="00CD252A" w:rsidP="00432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243109"/>
      <w:docPartObj>
        <w:docPartGallery w:val="Page Numbers (Bottom of Page)"/>
        <w:docPartUnique/>
      </w:docPartObj>
    </w:sdtPr>
    <w:sdtEndPr>
      <w:rPr>
        <w:noProof/>
      </w:rPr>
    </w:sdtEndPr>
    <w:sdtContent>
      <w:p w14:paraId="78AA2710" w14:textId="02D33F8B" w:rsidR="004324A9" w:rsidRDefault="004324A9">
        <w:pPr>
          <w:pStyle w:val="Footer"/>
        </w:pPr>
        <w:r>
          <w:fldChar w:fldCharType="begin"/>
        </w:r>
        <w:r>
          <w:instrText xml:space="preserve"> PAGE   \* MERGEFORMAT </w:instrText>
        </w:r>
        <w:r>
          <w:fldChar w:fldCharType="separate"/>
        </w:r>
        <w:r>
          <w:rPr>
            <w:noProof/>
          </w:rPr>
          <w:t>2</w:t>
        </w:r>
        <w:r>
          <w:rPr>
            <w:noProof/>
          </w:rPr>
          <w:fldChar w:fldCharType="end"/>
        </w:r>
      </w:p>
    </w:sdtContent>
  </w:sdt>
  <w:p w14:paraId="44A9D831" w14:textId="77777777" w:rsidR="004324A9" w:rsidRDefault="00432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F13EA" w14:textId="77777777" w:rsidR="00CD252A" w:rsidRDefault="00CD252A" w:rsidP="004324A9">
      <w:pPr>
        <w:spacing w:after="0" w:line="240" w:lineRule="auto"/>
      </w:pPr>
      <w:r>
        <w:separator/>
      </w:r>
    </w:p>
  </w:footnote>
  <w:footnote w:type="continuationSeparator" w:id="0">
    <w:p w14:paraId="3DAA4144" w14:textId="77777777" w:rsidR="00CD252A" w:rsidRDefault="00CD252A" w:rsidP="004324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B708D"/>
    <w:multiLevelType w:val="hybridMultilevel"/>
    <w:tmpl w:val="E06289B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039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127"/>
    <w:rsid w:val="000C5E6F"/>
    <w:rsid w:val="00113CED"/>
    <w:rsid w:val="00174BA8"/>
    <w:rsid w:val="002165D4"/>
    <w:rsid w:val="0027466C"/>
    <w:rsid w:val="003810E9"/>
    <w:rsid w:val="003D15E6"/>
    <w:rsid w:val="003F3F85"/>
    <w:rsid w:val="004324A9"/>
    <w:rsid w:val="0051719C"/>
    <w:rsid w:val="005C0192"/>
    <w:rsid w:val="005F5A77"/>
    <w:rsid w:val="006A0086"/>
    <w:rsid w:val="007237E1"/>
    <w:rsid w:val="00753A5A"/>
    <w:rsid w:val="00810FF9"/>
    <w:rsid w:val="00854F75"/>
    <w:rsid w:val="008F5127"/>
    <w:rsid w:val="009A5329"/>
    <w:rsid w:val="009E083C"/>
    <w:rsid w:val="009E4F6F"/>
    <w:rsid w:val="00A2545D"/>
    <w:rsid w:val="00A41945"/>
    <w:rsid w:val="00BC2EBB"/>
    <w:rsid w:val="00C2015B"/>
    <w:rsid w:val="00C22366"/>
    <w:rsid w:val="00CB4205"/>
    <w:rsid w:val="00CD252A"/>
    <w:rsid w:val="00D95CE1"/>
    <w:rsid w:val="00D97386"/>
    <w:rsid w:val="00E474C1"/>
    <w:rsid w:val="00EA21CD"/>
    <w:rsid w:val="00EF67D1"/>
    <w:rsid w:val="00F26C87"/>
    <w:rsid w:val="00FA0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9AAA1"/>
  <w15:chartTrackingRefBased/>
  <w15:docId w15:val="{95289BFB-90A2-403E-A771-8693BFC96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127"/>
    <w:rPr>
      <w:kern w:val="0"/>
      <w14:ligatures w14:val="none"/>
    </w:rPr>
  </w:style>
  <w:style w:type="paragraph" w:styleId="Heading1">
    <w:name w:val="heading 1"/>
    <w:basedOn w:val="Normal"/>
    <w:next w:val="Normal"/>
    <w:link w:val="Heading1Char"/>
    <w:uiPriority w:val="9"/>
    <w:qFormat/>
    <w:rsid w:val="008F51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F51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127"/>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8F5127"/>
    <w:rPr>
      <w:rFonts w:asciiTheme="majorHAnsi" w:eastAsiaTheme="majorEastAsia" w:hAnsiTheme="majorHAnsi" w:cstheme="majorBidi"/>
      <w:color w:val="2F5496" w:themeColor="accent1" w:themeShade="BF"/>
      <w:kern w:val="0"/>
      <w:sz w:val="26"/>
      <w:szCs w:val="26"/>
      <w14:ligatures w14:val="none"/>
    </w:rPr>
  </w:style>
  <w:style w:type="paragraph" w:styleId="ListParagraph">
    <w:name w:val="List Paragraph"/>
    <w:basedOn w:val="Normal"/>
    <w:uiPriority w:val="34"/>
    <w:qFormat/>
    <w:rsid w:val="008F5127"/>
    <w:pPr>
      <w:ind w:left="720"/>
      <w:contextualSpacing/>
    </w:pPr>
  </w:style>
  <w:style w:type="character" w:styleId="Hyperlink">
    <w:name w:val="Hyperlink"/>
    <w:basedOn w:val="DefaultParagraphFont"/>
    <w:uiPriority w:val="99"/>
    <w:unhideWhenUsed/>
    <w:rsid w:val="008F5127"/>
    <w:rPr>
      <w:color w:val="0000FF"/>
      <w:u w:val="single"/>
    </w:rPr>
  </w:style>
  <w:style w:type="table" w:styleId="TableGrid">
    <w:name w:val="Table Grid"/>
    <w:basedOn w:val="TableNormal"/>
    <w:uiPriority w:val="39"/>
    <w:rsid w:val="008F512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F5127"/>
    <w:rPr>
      <w:sz w:val="16"/>
      <w:szCs w:val="16"/>
    </w:rPr>
  </w:style>
  <w:style w:type="paragraph" w:styleId="Revision">
    <w:name w:val="Revision"/>
    <w:hidden/>
    <w:uiPriority w:val="99"/>
    <w:semiHidden/>
    <w:rsid w:val="00CB4205"/>
    <w:pPr>
      <w:spacing w:after="0" w:line="240" w:lineRule="auto"/>
    </w:pPr>
    <w:rPr>
      <w:kern w:val="0"/>
      <w14:ligatures w14:val="none"/>
    </w:rPr>
  </w:style>
  <w:style w:type="paragraph" w:styleId="Header">
    <w:name w:val="header"/>
    <w:basedOn w:val="Normal"/>
    <w:link w:val="HeaderChar"/>
    <w:uiPriority w:val="99"/>
    <w:unhideWhenUsed/>
    <w:rsid w:val="00432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4A9"/>
    <w:rPr>
      <w:kern w:val="0"/>
      <w14:ligatures w14:val="none"/>
    </w:rPr>
  </w:style>
  <w:style w:type="paragraph" w:styleId="Footer">
    <w:name w:val="footer"/>
    <w:basedOn w:val="Normal"/>
    <w:link w:val="FooterChar"/>
    <w:uiPriority w:val="99"/>
    <w:unhideWhenUsed/>
    <w:rsid w:val="004324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4A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lobalsurveillance.eu/projects/genomic-proficiency-test-2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1647</Words>
  <Characters>9771</Characters>
  <Application>Microsoft Office Word</Application>
  <DocSecurity>0</DocSecurity>
  <Lines>1085</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Laufer Halpin, Alison S. (CDC/NCEZID/DHQP/CEMB)</dc:creator>
  <cp:keywords/>
  <dc:description/>
  <cp:lastModifiedBy>Laufer Halpin, Alison S. (CDC/NCEZID/DHQP/CEMB)</cp:lastModifiedBy>
  <cp:revision>3</cp:revision>
  <dcterms:created xsi:type="dcterms:W3CDTF">2024-10-09T03:31:00Z</dcterms:created>
  <dcterms:modified xsi:type="dcterms:W3CDTF">2024-10-09T03:31:00Z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2024-08-04T17:11:43Z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42db704f-d590-474a-8139-c9df71a91e35</vt:lpwstr>
  </property>
  <property fmtid="{D5CDD505-2E9C-101B-9397-08002B2CF9AE}" pid="8" name="MSIP_Label_7b94a7b8-f06c-4dfe-bdcc-9b548fd58c31_ContentBits">
    <vt:lpwstr>0</vt:lpwstr>
  </property>
</Properties>
</file>