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92D35" w14:textId="77777777" w:rsidR="001F4CE0" w:rsidRDefault="001F4CE0" w:rsidP="001F4CE0">
      <w:pPr>
        <w:spacing w:line="480" w:lineRule="auto"/>
        <w:rPr>
          <w:rFonts w:ascii="Times New Roman" w:hAnsi="Times New Roman" w:cs="Times New Roman"/>
          <w:b/>
          <w:bCs/>
        </w:rPr>
      </w:pPr>
      <w:r w:rsidRPr="00994BAF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Material</w:t>
      </w:r>
    </w:p>
    <w:p w14:paraId="73D83CE4" w14:textId="11B4E57F" w:rsidR="001F4CE0" w:rsidRDefault="001F4CE0" w:rsidP="001F4CE0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Methods</w:t>
      </w:r>
      <w:r w:rsidRPr="00994BAF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For this study, we</w:t>
      </w:r>
      <w:r w:rsidRPr="00895B08">
        <w:rPr>
          <w:rFonts w:ascii="Times New Roman" w:eastAsia="Times New Roman" w:hAnsi="Times New Roman" w:cs="Times New Roman"/>
        </w:rPr>
        <w:t xml:space="preserve"> examined patients whose topical antifungal prescription was potentially unnecessary</w:t>
      </w:r>
      <w:r>
        <w:rPr>
          <w:rFonts w:ascii="Times New Roman" w:eastAsia="Times New Roman" w:hAnsi="Times New Roman" w:cs="Times New Roman"/>
        </w:rPr>
        <w:t xml:space="preserve">. We defined potentially unnecessary topical antifungal prescriptions </w:t>
      </w:r>
      <w:r w:rsidRPr="00895B08">
        <w:rPr>
          <w:rFonts w:ascii="Times New Roman" w:eastAsia="Times New Roman" w:hAnsi="Times New Roman" w:cs="Times New Roman"/>
        </w:rPr>
        <w:t xml:space="preserve">as those </w:t>
      </w:r>
      <w:r w:rsidR="002651E4">
        <w:rPr>
          <w:rFonts w:ascii="Times New Roman" w:eastAsia="Times New Roman" w:hAnsi="Times New Roman" w:cs="Times New Roman"/>
        </w:rPr>
        <w:t>that did</w:t>
      </w:r>
      <w:r w:rsidRPr="00895B08">
        <w:rPr>
          <w:rFonts w:ascii="Times New Roman" w:eastAsia="Times New Roman" w:hAnsi="Times New Roman" w:cs="Times New Roman"/>
        </w:rPr>
        <w:t xml:space="preserve"> not have an associated fungal infection diagnostic code and also did not have associated diagnostic testing</w:t>
      </w:r>
      <w:r>
        <w:rPr>
          <w:rFonts w:ascii="Times New Roman" w:eastAsia="Times New Roman" w:hAnsi="Times New Roman" w:cs="Times New Roman"/>
        </w:rPr>
        <w:t>.</w:t>
      </w:r>
      <w:r w:rsidRPr="00895B08">
        <w:rPr>
          <w:rFonts w:ascii="Times New Roman" w:eastAsia="Times New Roman" w:hAnsi="Times New Roman" w:cs="Times New Roman"/>
        </w:rPr>
        <w:t xml:space="preserve"> </w:t>
      </w:r>
      <w:r w:rsidRPr="00FC3371">
        <w:rPr>
          <w:rFonts w:ascii="Times New Roman" w:eastAsia="Times New Roman" w:hAnsi="Times New Roman" w:cs="Times New Roman"/>
        </w:rPr>
        <w:t xml:space="preserve">We required </w:t>
      </w:r>
      <w:r w:rsidR="002651E4">
        <w:rPr>
          <w:rFonts w:ascii="Times New Roman" w:eastAsia="Times New Roman" w:hAnsi="Times New Roman" w:cs="Times New Roman"/>
        </w:rPr>
        <w:t xml:space="preserve">patients to have </w:t>
      </w:r>
      <w:r w:rsidRPr="00FC3371">
        <w:rPr>
          <w:rFonts w:ascii="Times New Roman" w:eastAsia="Times New Roman" w:hAnsi="Times New Roman" w:cs="Times New Roman"/>
        </w:rPr>
        <w:t xml:space="preserve">continuous insurance enrollment for the 30 days </w:t>
      </w:r>
      <w:r w:rsidR="0098116C">
        <w:rPr>
          <w:rFonts w:ascii="Times New Roman" w:eastAsia="Times New Roman" w:hAnsi="Times New Roman" w:cs="Times New Roman"/>
        </w:rPr>
        <w:t>before and after</w:t>
      </w:r>
      <w:r w:rsidRPr="00FC3371">
        <w:rPr>
          <w:rFonts w:ascii="Times New Roman" w:eastAsia="Times New Roman" w:hAnsi="Times New Roman" w:cs="Times New Roman"/>
        </w:rPr>
        <w:t xml:space="preserve"> the prescription date. </w:t>
      </w:r>
    </w:p>
    <w:p w14:paraId="49A4F395" w14:textId="14598B77" w:rsidR="001F4CE0" w:rsidRDefault="001F4CE0" w:rsidP="001F4CE0">
      <w:pPr>
        <w:spacing w:line="480" w:lineRule="auto"/>
        <w:rPr>
          <w:rFonts w:ascii="Times New Roman" w:hAnsi="Times New Roman" w:cs="Times New Roman"/>
        </w:rPr>
      </w:pPr>
      <w:r w:rsidRPr="00FC3371">
        <w:rPr>
          <w:rFonts w:ascii="Times New Roman" w:eastAsia="Times New Roman" w:hAnsi="Times New Roman" w:cs="Times New Roman"/>
        </w:rPr>
        <w:t xml:space="preserve">We examined specialty types seen in the 7 days </w:t>
      </w:r>
      <w:r w:rsidR="009F40EB">
        <w:rPr>
          <w:rFonts w:ascii="Times New Roman" w:eastAsia="Times New Roman" w:hAnsi="Times New Roman" w:cs="Times New Roman"/>
        </w:rPr>
        <w:t xml:space="preserve">before </w:t>
      </w:r>
      <w:r w:rsidR="009F40EB" w:rsidRPr="00FC3371">
        <w:rPr>
          <w:rFonts w:ascii="Times New Roman" w:eastAsia="Times New Roman" w:hAnsi="Times New Roman" w:cs="Times New Roman"/>
        </w:rPr>
        <w:t>the prescription date</w:t>
      </w:r>
      <w:r w:rsidR="009F40EB">
        <w:rPr>
          <w:rFonts w:ascii="Times New Roman" w:eastAsia="Times New Roman" w:hAnsi="Times New Roman" w:cs="Times New Roman"/>
        </w:rPr>
        <w:t xml:space="preserve"> and we examined d</w:t>
      </w:r>
      <w:r w:rsidRPr="00FC3371">
        <w:rPr>
          <w:rFonts w:ascii="Times New Roman" w:eastAsia="Times New Roman" w:hAnsi="Times New Roman" w:cs="Times New Roman"/>
        </w:rPr>
        <w:t xml:space="preserve">iagnoses and diagnostic testing in the 30 days </w:t>
      </w:r>
      <w:r w:rsidR="009F40EB">
        <w:rPr>
          <w:rFonts w:ascii="Times New Roman" w:eastAsia="Times New Roman" w:hAnsi="Times New Roman" w:cs="Times New Roman"/>
        </w:rPr>
        <w:t xml:space="preserve">before </w:t>
      </w:r>
      <w:r w:rsidR="006C4B50">
        <w:rPr>
          <w:rFonts w:ascii="Times New Roman" w:eastAsia="Times New Roman" w:hAnsi="Times New Roman" w:cs="Times New Roman"/>
        </w:rPr>
        <w:t>and</w:t>
      </w:r>
      <w:r w:rsidR="009F40EB">
        <w:rPr>
          <w:rFonts w:ascii="Times New Roman" w:eastAsia="Times New Roman" w:hAnsi="Times New Roman" w:cs="Times New Roman"/>
        </w:rPr>
        <w:t xml:space="preserve"> after the prescription date</w:t>
      </w:r>
      <w:r w:rsidRPr="00FC3371">
        <w:rPr>
          <w:rFonts w:ascii="Times New Roman" w:eastAsia="Times New Roman" w:hAnsi="Times New Roman" w:cs="Times New Roman"/>
        </w:rPr>
        <w:t xml:space="preserve">. Clotrimazole-betamethasone prescribing for patients </w:t>
      </w:r>
      <w:r w:rsidR="009F40EB">
        <w:rPr>
          <w:rFonts w:ascii="Times New Roman" w:eastAsia="Times New Roman" w:hAnsi="Times New Roman" w:cs="Times New Roman"/>
        </w:rPr>
        <w:t xml:space="preserve">aged </w:t>
      </w:r>
      <w:r w:rsidRPr="00FC3371">
        <w:rPr>
          <w:rFonts w:ascii="Times New Roman" w:eastAsia="Times New Roman" w:hAnsi="Times New Roman" w:cs="Times New Roman"/>
        </w:rPr>
        <w:t>&lt;17 years or for vaginitis is not recommended; thus, we categorized such prescriptions as potentially unnecessary. We categorized topical antifungal monotherapy for seborrheic dermatitis as appropriate. We excluded antifungal powders, shampoos, and oral formulations (including lozenges and troches).</w:t>
      </w:r>
      <w:r>
        <w:rPr>
          <w:rFonts w:ascii="Times New Roman" w:eastAsia="Times New Roman" w:hAnsi="Times New Roman" w:cs="Times New Roman"/>
        </w:rPr>
        <w:t xml:space="preserve"> The table below provides a list of </w:t>
      </w:r>
      <w:r w:rsidRPr="00833FBB">
        <w:rPr>
          <w:rFonts w:ascii="Times New Roman" w:eastAsia="Times New Roman" w:hAnsi="Times New Roman" w:cs="Times New Roman"/>
        </w:rPr>
        <w:t>International Classification of Diseases, Tenth Revision, Clinical Modification (ICD-10-CM) and Current Procedural Terminology (CPT) codes used to identify diagnoses and procedures of interest</w:t>
      </w:r>
      <w:r>
        <w:rPr>
          <w:rFonts w:ascii="Times New Roman" w:eastAsia="Times New Roman" w:hAnsi="Times New Roman" w:cs="Times New Roman"/>
        </w:rPr>
        <w:t>.</w:t>
      </w:r>
    </w:p>
    <w:tbl>
      <w:tblPr>
        <w:tblW w:w="8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3957"/>
      </w:tblGrid>
      <w:tr w:rsidR="001F4CE0" w:rsidRPr="009E1550" w14:paraId="190F430F" w14:textId="77777777" w:rsidTr="00994BAF">
        <w:trPr>
          <w:trHeight w:val="80"/>
        </w:trPr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21859A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Supplementa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ry</w:t>
            </w:r>
            <w:r w:rsidRPr="009E15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Table: International Classification of Diseases, Tenth Revision, Clinical Modification (ICD-10-CM) and Current Procedural Terminology (CPT) codes used to identify diagnoses and procedures of interest</w:t>
            </w:r>
          </w:p>
        </w:tc>
      </w:tr>
      <w:tr w:rsidR="001F4CE0" w:rsidRPr="009E1550" w14:paraId="16CBD176" w14:textId="77777777" w:rsidTr="00994BAF">
        <w:trPr>
          <w:trHeight w:val="70"/>
        </w:trPr>
        <w:tc>
          <w:tcPr>
            <w:tcW w:w="81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4F51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ICD-10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-CM</w:t>
            </w:r>
            <w:r w:rsidRPr="009E15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Codes</w:t>
            </w:r>
          </w:p>
        </w:tc>
      </w:tr>
      <w:tr w:rsidR="001F4CE0" w:rsidRPr="009E1550" w14:paraId="73846A88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242F593C" w14:textId="77777777" w:rsidR="001F4CE0" w:rsidRPr="00727F54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727F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Fungal diagnoses</w:t>
            </w:r>
          </w:p>
        </w:tc>
        <w:tc>
          <w:tcPr>
            <w:tcW w:w="3957" w:type="dxa"/>
            <w:shd w:val="clear" w:color="auto" w:fill="auto"/>
            <w:vAlign w:val="bottom"/>
            <w:hideMark/>
          </w:tcPr>
          <w:p w14:paraId="477F2392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1F4CE0" w:rsidRPr="009E1550" w14:paraId="35F78920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9F7E316" w14:textId="77777777" w:rsidR="001F4CE0" w:rsidRPr="009E1550" w:rsidRDefault="001F4CE0" w:rsidP="00994B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Dermatophytosis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(including onychomycosis)</w:t>
            </w:r>
          </w:p>
        </w:tc>
        <w:tc>
          <w:tcPr>
            <w:tcW w:w="3957" w:type="dxa"/>
            <w:shd w:val="clear" w:color="auto" w:fill="auto"/>
            <w:vAlign w:val="center"/>
            <w:hideMark/>
          </w:tcPr>
          <w:p w14:paraId="75CF8A3F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B35</w:t>
            </w:r>
          </w:p>
        </w:tc>
      </w:tr>
      <w:tr w:rsidR="001F4CE0" w:rsidRPr="009E1550" w14:paraId="44C93C03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4545C60" w14:textId="77777777" w:rsidR="001F4CE0" w:rsidRPr="009E1550" w:rsidRDefault="001F4CE0" w:rsidP="00994B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superficial mycoses</w:t>
            </w:r>
          </w:p>
        </w:tc>
        <w:tc>
          <w:tcPr>
            <w:tcW w:w="3957" w:type="dxa"/>
            <w:shd w:val="clear" w:color="auto" w:fill="auto"/>
            <w:vAlign w:val="center"/>
            <w:hideMark/>
          </w:tcPr>
          <w:p w14:paraId="6368C137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B36</w:t>
            </w:r>
          </w:p>
        </w:tc>
      </w:tr>
      <w:tr w:rsidR="001F4CE0" w:rsidRPr="009E1550" w14:paraId="7D13673D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710218B" w14:textId="77777777" w:rsidR="001F4CE0" w:rsidRPr="009E1550" w:rsidRDefault="001F4CE0" w:rsidP="00994B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Candidiasis</w:t>
            </w:r>
          </w:p>
        </w:tc>
        <w:tc>
          <w:tcPr>
            <w:tcW w:w="3957" w:type="dxa"/>
            <w:shd w:val="clear" w:color="auto" w:fill="auto"/>
            <w:vAlign w:val="center"/>
            <w:hideMark/>
          </w:tcPr>
          <w:p w14:paraId="40E3C543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B37</w:t>
            </w:r>
          </w:p>
        </w:tc>
      </w:tr>
      <w:tr w:rsidR="001F4CE0" w:rsidRPr="009E1550" w14:paraId="52922FDC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6C6C8F6F" w14:textId="77777777" w:rsidR="001F4CE0" w:rsidRPr="009E1550" w:rsidRDefault="001F4CE0" w:rsidP="00994B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Unspecified mycoses</w:t>
            </w:r>
          </w:p>
        </w:tc>
        <w:tc>
          <w:tcPr>
            <w:tcW w:w="3957" w:type="dxa"/>
            <w:shd w:val="clear" w:color="auto" w:fill="auto"/>
            <w:vAlign w:val="center"/>
            <w:hideMark/>
          </w:tcPr>
          <w:p w14:paraId="1BC79455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B49</w:t>
            </w:r>
          </w:p>
        </w:tc>
      </w:tr>
      <w:tr w:rsidR="00D51564" w:rsidRPr="009E1550" w14:paraId="12813896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</w:tcPr>
          <w:p w14:paraId="32E5655C" w14:textId="08E6C559" w:rsidR="00D51564" w:rsidRPr="009E1550" w:rsidRDefault="00D51564" w:rsidP="00D51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27F5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Other diagnoses</w:t>
            </w:r>
          </w:p>
        </w:tc>
        <w:tc>
          <w:tcPr>
            <w:tcW w:w="3957" w:type="dxa"/>
            <w:shd w:val="clear" w:color="auto" w:fill="auto"/>
            <w:vAlign w:val="center"/>
          </w:tcPr>
          <w:p w14:paraId="256E4607" w14:textId="77777777" w:rsidR="00D51564" w:rsidRPr="009E1550" w:rsidRDefault="00D51564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1F4CE0" w:rsidRPr="009E1550" w14:paraId="510D8D36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D42E07D" w14:textId="72ADC5A5" w:rsidR="001F4CE0" w:rsidRPr="009E1550" w:rsidRDefault="00D51564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="001F4CE0"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Infections of the skin and subcutaneous tissue (non-fungal)</w:t>
            </w:r>
          </w:p>
        </w:tc>
        <w:tc>
          <w:tcPr>
            <w:tcW w:w="3957" w:type="dxa"/>
            <w:shd w:val="clear" w:color="auto" w:fill="auto"/>
            <w:vAlign w:val="center"/>
            <w:hideMark/>
          </w:tcPr>
          <w:p w14:paraId="19AB05E3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L00–L08</w:t>
            </w:r>
          </w:p>
        </w:tc>
      </w:tr>
      <w:tr w:rsidR="001F4CE0" w:rsidRPr="009E1550" w14:paraId="650E0BDD" w14:textId="77777777" w:rsidTr="00994BAF">
        <w:trPr>
          <w:trHeight w:val="107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FEF2FDB" w14:textId="047B60FC" w:rsidR="001F4CE0" w:rsidRPr="009E1550" w:rsidRDefault="00D51564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="001F4CE0"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Dermatitis and eczema (excluding seborrheic dermatitis)</w:t>
            </w:r>
          </w:p>
        </w:tc>
        <w:tc>
          <w:tcPr>
            <w:tcW w:w="3957" w:type="dxa"/>
            <w:shd w:val="clear" w:color="auto" w:fill="auto"/>
            <w:vAlign w:val="center"/>
            <w:hideMark/>
          </w:tcPr>
          <w:p w14:paraId="660B92DD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L20, L22–L30</w:t>
            </w:r>
          </w:p>
        </w:tc>
      </w:tr>
      <w:tr w:rsidR="001F4CE0" w:rsidRPr="009E1550" w14:paraId="0714D174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54C48CA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Seborrheic dermatitis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</w:t>
            </w:r>
          </w:p>
        </w:tc>
        <w:tc>
          <w:tcPr>
            <w:tcW w:w="3957" w:type="dxa"/>
            <w:shd w:val="clear" w:color="auto" w:fill="auto"/>
            <w:vAlign w:val="center"/>
            <w:hideMark/>
          </w:tcPr>
          <w:p w14:paraId="0A916678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L21</w:t>
            </w:r>
          </w:p>
        </w:tc>
      </w:tr>
      <w:tr w:rsidR="001F4CE0" w:rsidRPr="009E1550" w14:paraId="5C36341A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4B40A09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Acute vaginitis</w:t>
            </w:r>
          </w:p>
        </w:tc>
        <w:tc>
          <w:tcPr>
            <w:tcW w:w="3957" w:type="dxa"/>
            <w:shd w:val="clear" w:color="auto" w:fill="auto"/>
            <w:vAlign w:val="center"/>
            <w:hideMark/>
          </w:tcPr>
          <w:p w14:paraId="49F1CC44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N76.0</w:t>
            </w:r>
          </w:p>
        </w:tc>
      </w:tr>
      <w:tr w:rsidR="001F4CE0" w:rsidRPr="009E1550" w14:paraId="0EDE4905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2679BCC3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Acute </w:t>
            </w:r>
            <w:proofErr w:type="spellStart"/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vulvitis</w:t>
            </w:r>
            <w:proofErr w:type="spellEnd"/>
          </w:p>
        </w:tc>
        <w:tc>
          <w:tcPr>
            <w:tcW w:w="3957" w:type="dxa"/>
            <w:shd w:val="clear" w:color="auto" w:fill="auto"/>
            <w:vAlign w:val="center"/>
            <w:hideMark/>
          </w:tcPr>
          <w:p w14:paraId="274B4D39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N76.2</w:t>
            </w:r>
          </w:p>
        </w:tc>
      </w:tr>
      <w:tr w:rsidR="001F4CE0" w:rsidRPr="009E1550" w14:paraId="7C5097C6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0A3F8F8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specified noninflammatory disorders of vagina</w:t>
            </w:r>
          </w:p>
        </w:tc>
        <w:tc>
          <w:tcPr>
            <w:tcW w:w="3957" w:type="dxa"/>
            <w:shd w:val="clear" w:color="auto" w:fill="auto"/>
            <w:vAlign w:val="center"/>
            <w:hideMark/>
          </w:tcPr>
          <w:p w14:paraId="2D9305C1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N89.8</w:t>
            </w:r>
          </w:p>
        </w:tc>
      </w:tr>
      <w:tr w:rsidR="001F4CE0" w:rsidRPr="009E1550" w14:paraId="584F0E9E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ADB8A64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    </w:t>
            </w: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Rash and other nonspecific skin eruption</w:t>
            </w:r>
          </w:p>
        </w:tc>
        <w:tc>
          <w:tcPr>
            <w:tcW w:w="3957" w:type="dxa"/>
            <w:shd w:val="clear" w:color="auto" w:fill="auto"/>
            <w:vAlign w:val="center"/>
            <w:hideMark/>
          </w:tcPr>
          <w:p w14:paraId="1358FF83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R21</w:t>
            </w:r>
          </w:p>
        </w:tc>
      </w:tr>
      <w:tr w:rsidR="001F4CE0" w:rsidRPr="009E1550" w14:paraId="0B736051" w14:textId="77777777" w:rsidTr="00994BAF">
        <w:trPr>
          <w:trHeight w:val="70"/>
        </w:trPr>
        <w:tc>
          <w:tcPr>
            <w:tcW w:w="8100" w:type="dxa"/>
            <w:gridSpan w:val="2"/>
            <w:shd w:val="clear" w:color="auto" w:fill="auto"/>
            <w:noWrap/>
            <w:vAlign w:val="center"/>
            <w:hideMark/>
          </w:tcPr>
          <w:p w14:paraId="6BF0AEEB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CPT codes for diagnostic testing</w:t>
            </w:r>
          </w:p>
        </w:tc>
      </w:tr>
      <w:tr w:rsidR="001F4CE0" w:rsidRPr="009E1550" w14:paraId="05FB975E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6442A91D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Microscopy</w:t>
            </w:r>
          </w:p>
        </w:tc>
        <w:tc>
          <w:tcPr>
            <w:tcW w:w="3957" w:type="dxa"/>
            <w:shd w:val="clear" w:color="auto" w:fill="auto"/>
            <w:vAlign w:val="bottom"/>
            <w:hideMark/>
          </w:tcPr>
          <w:p w14:paraId="6C5EA562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87205, 87206, 87210, 87220</w:t>
            </w:r>
          </w:p>
        </w:tc>
      </w:tr>
      <w:tr w:rsidR="001F4CE0" w:rsidRPr="009E1550" w14:paraId="0A393FF8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1FEAA0E1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Culture</w:t>
            </w:r>
          </w:p>
        </w:tc>
        <w:tc>
          <w:tcPr>
            <w:tcW w:w="3957" w:type="dxa"/>
            <w:shd w:val="clear" w:color="auto" w:fill="auto"/>
            <w:vAlign w:val="bottom"/>
            <w:hideMark/>
          </w:tcPr>
          <w:p w14:paraId="072AA644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87101, 87102, 87106, 87107</w:t>
            </w:r>
          </w:p>
        </w:tc>
      </w:tr>
      <w:tr w:rsidR="001F4CE0" w:rsidRPr="009E1550" w14:paraId="1B42CBCF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5157C896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Biopsy</w:t>
            </w:r>
          </w:p>
        </w:tc>
        <w:tc>
          <w:tcPr>
            <w:tcW w:w="3957" w:type="dxa"/>
            <w:shd w:val="clear" w:color="auto" w:fill="auto"/>
            <w:vAlign w:val="bottom"/>
            <w:hideMark/>
          </w:tcPr>
          <w:p w14:paraId="2FB704E0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11100, 11101, 11102, 11103, 11104, 11105, 11106, 11107</w:t>
            </w:r>
          </w:p>
        </w:tc>
      </w:tr>
      <w:tr w:rsidR="001F4CE0" w:rsidRPr="009E1550" w14:paraId="54FE6B4F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6C919425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Polymerase chain reaction</w:t>
            </w:r>
          </w:p>
        </w:tc>
        <w:tc>
          <w:tcPr>
            <w:tcW w:w="3957" w:type="dxa"/>
            <w:shd w:val="clear" w:color="auto" w:fill="auto"/>
            <w:vAlign w:val="bottom"/>
            <w:hideMark/>
          </w:tcPr>
          <w:p w14:paraId="27ED4861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87481, 87798, 87800, 87801</w:t>
            </w:r>
          </w:p>
        </w:tc>
      </w:tr>
      <w:tr w:rsidR="001F4CE0" w:rsidRPr="009E1550" w14:paraId="76E4BD04" w14:textId="77777777" w:rsidTr="00994BAF">
        <w:trPr>
          <w:trHeight w:val="70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F6786C6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Histopathology </w:t>
            </w:r>
          </w:p>
        </w:tc>
        <w:tc>
          <w:tcPr>
            <w:tcW w:w="3957" w:type="dxa"/>
            <w:shd w:val="clear" w:color="auto" w:fill="auto"/>
            <w:vAlign w:val="bottom"/>
            <w:hideMark/>
          </w:tcPr>
          <w:p w14:paraId="01AA21F1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88300, 88302, 88304, 88305, 88307, 88309, 88311, 88312, 88313, 88314, 88319, 88321, 88323, 88325, 88342</w:t>
            </w:r>
          </w:p>
        </w:tc>
      </w:tr>
      <w:tr w:rsidR="001F4CE0" w:rsidRPr="009E1550" w14:paraId="227227AA" w14:textId="77777777" w:rsidTr="00994BAF">
        <w:trPr>
          <w:trHeight w:val="273"/>
        </w:trPr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0343193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Candida</w:t>
            </w:r>
            <w:r w:rsidRPr="009E15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nucleic acid test</w:t>
            </w:r>
          </w:p>
        </w:tc>
        <w:tc>
          <w:tcPr>
            <w:tcW w:w="3957" w:type="dxa"/>
            <w:shd w:val="clear" w:color="auto" w:fill="auto"/>
            <w:vAlign w:val="bottom"/>
            <w:hideMark/>
          </w:tcPr>
          <w:p w14:paraId="2D5EA1CE" w14:textId="77777777" w:rsidR="001F4CE0" w:rsidRPr="009E1550" w:rsidRDefault="001F4CE0" w:rsidP="009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E15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87480, 87481, 87482</w:t>
            </w:r>
          </w:p>
        </w:tc>
      </w:tr>
      <w:tr w:rsidR="001F4CE0" w:rsidRPr="009E1550" w14:paraId="12C51128" w14:textId="77777777" w:rsidTr="00994BAF">
        <w:trPr>
          <w:trHeight w:val="273"/>
        </w:trPr>
        <w:tc>
          <w:tcPr>
            <w:tcW w:w="8100" w:type="dxa"/>
            <w:gridSpan w:val="2"/>
            <w:shd w:val="clear" w:color="auto" w:fill="auto"/>
            <w:noWrap/>
            <w:vAlign w:val="center"/>
          </w:tcPr>
          <w:p w14:paraId="106877B5" w14:textId="77777777" w:rsidR="001F4CE0" w:rsidRPr="009E1550" w:rsidRDefault="001F4CE0" w:rsidP="00994B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*Topical antifungal monotherapy was classified as appropriate for patients with a </w:t>
            </w:r>
            <w:r>
              <w:rPr>
                <w:rFonts w:ascii="Times New Roman" w:eastAsia="Times New Roman" w:hAnsi="Times New Roman" w:cs="Times New Roman"/>
              </w:rPr>
              <w:t>diagnosis code</w:t>
            </w:r>
            <w:r w:rsidRPr="00FC3371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for </w:t>
            </w:r>
            <w:r w:rsidRPr="00FC3371">
              <w:rPr>
                <w:rFonts w:ascii="Times New Roman" w:eastAsia="Times New Roman" w:hAnsi="Times New Roman" w:cs="Times New Roman"/>
              </w:rPr>
              <w:t>seborrheic dermatitis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FC337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2D2FDA10" w14:textId="77777777" w:rsidR="001F4CE0" w:rsidRPr="00727F54" w:rsidRDefault="001F4CE0" w:rsidP="001F4CE0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50780FC" w14:textId="77777777" w:rsidR="00EB0A13" w:rsidRDefault="00EB0A13"/>
    <w:sectPr w:rsidR="00EB0A13" w:rsidSect="001F4CE0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B79C6" w14:textId="77777777" w:rsidR="00E04411" w:rsidRDefault="00E04411">
      <w:pPr>
        <w:spacing w:after="0" w:line="240" w:lineRule="auto"/>
      </w:pPr>
      <w:r>
        <w:separator/>
      </w:r>
    </w:p>
  </w:endnote>
  <w:endnote w:type="continuationSeparator" w:id="0">
    <w:p w14:paraId="2192FD58" w14:textId="77777777" w:rsidR="00E04411" w:rsidRDefault="00E04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83689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CD69F0" w14:textId="77777777" w:rsidR="001F4CE0" w:rsidRDefault="001F4C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65D2AA" w14:textId="77777777" w:rsidR="001F4CE0" w:rsidRDefault="001F4C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8B5CB" w14:textId="77777777" w:rsidR="00E04411" w:rsidRDefault="00E04411">
      <w:pPr>
        <w:spacing w:after="0" w:line="240" w:lineRule="auto"/>
      </w:pPr>
      <w:r>
        <w:separator/>
      </w:r>
    </w:p>
  </w:footnote>
  <w:footnote w:type="continuationSeparator" w:id="0">
    <w:p w14:paraId="5EE0FADE" w14:textId="77777777" w:rsidR="00E04411" w:rsidRDefault="00E044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13"/>
    <w:rsid w:val="001F4CE0"/>
    <w:rsid w:val="002651E4"/>
    <w:rsid w:val="002F7C11"/>
    <w:rsid w:val="006306F6"/>
    <w:rsid w:val="006C4B50"/>
    <w:rsid w:val="0098116C"/>
    <w:rsid w:val="009F40EB"/>
    <w:rsid w:val="00D51564"/>
    <w:rsid w:val="00E04411"/>
    <w:rsid w:val="00E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110B5"/>
  <w15:chartTrackingRefBased/>
  <w15:docId w15:val="{20A755A5-8C93-4E77-B427-50B0EF5A6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C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F4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CE0"/>
  </w:style>
  <w:style w:type="character" w:styleId="LineNumber">
    <w:name w:val="line number"/>
    <w:basedOn w:val="DefaultParagraphFont"/>
    <w:uiPriority w:val="99"/>
    <w:semiHidden/>
    <w:unhideWhenUsed/>
    <w:rsid w:val="001F4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Gold, Jeremy (CDC/NCEZID/DFWED/MDB)</dc:creator>
  <cp:keywords/>
  <dc:description/>
  <cp:lastModifiedBy>Gold, Jeremy (CDC/NCEZID/DFWED/MDB)</cp:lastModifiedBy>
  <cp:revision>9</cp:revision>
  <dcterms:created xsi:type="dcterms:W3CDTF">2024-12-12T15:29:00Z</dcterms:created>
  <dcterms:modified xsi:type="dcterms:W3CDTF">2024-12-12T15:59:00Z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2024-12-12T15:29:35Z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a62774dd-c291-43d6-b6da-b190862e239d</vt:lpwstr>
  </property>
  <property fmtid="{D5CDD505-2E9C-101B-9397-08002B2CF9AE}" pid="8" name="MSIP_Label_7b94a7b8-f06c-4dfe-bdcc-9b548fd58c31_ContentBits">
    <vt:lpwstr>0</vt:lpwstr>
  </property>
</Properties>
</file>