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16739" w14:textId="77777777" w:rsidR="0008504F" w:rsidRDefault="00A870C6">
      <w:pPr>
        <w:pStyle w:val="Title"/>
      </w:pPr>
      <w:r>
        <w:t>Supplementary materials for ‘Estimating COVID-19 associated hospitalizations, ICU admissions, and in-hospital deaths averted in the United States by 2023-2024 COVID-19 vaccination: A conditional probability, causal inference, and multiplier-based approach’</w:t>
      </w:r>
    </w:p>
    <w:p w14:paraId="2DC1673A" w14:textId="77777777" w:rsidR="0008504F" w:rsidRDefault="00A870C6">
      <w:pPr>
        <w:pStyle w:val="Author"/>
      </w:pPr>
      <w:r>
        <w:t>Ryan E. Wiegand, Owen Devine, Megan Wallace, Ismael R. Ortega-Sanchez, Huong T. Pham, Diba Khan, Danielle L. Moulia, Lauren E. Roper, Imelda Trejo Lorenzo, Katherine E. Fleming-Dutra, Fiona P. Havers, and Christopher A. Taylor</w:t>
      </w:r>
    </w:p>
    <w:sdt>
      <w:sdtPr>
        <w:rPr>
          <w:rFonts w:asciiTheme="minorHAnsi" w:eastAsiaTheme="minorHAnsi" w:hAnsiTheme="minorHAnsi" w:cstheme="minorBidi"/>
          <w:color w:val="auto"/>
          <w:sz w:val="24"/>
          <w:szCs w:val="24"/>
        </w:rPr>
        <w:id w:val="815761878"/>
        <w:docPartObj>
          <w:docPartGallery w:val="Table of Contents"/>
          <w:docPartUnique/>
        </w:docPartObj>
      </w:sdtPr>
      <w:sdtEndPr>
        <w:rPr>
          <w:b/>
          <w:bCs/>
          <w:noProof/>
        </w:rPr>
      </w:sdtEndPr>
      <w:sdtContent>
        <w:p w14:paraId="1380E486" w14:textId="2E80A53C" w:rsidR="000316D2" w:rsidRDefault="000316D2">
          <w:pPr>
            <w:pStyle w:val="TOCHeading"/>
          </w:pPr>
          <w:r>
            <w:t>Contents</w:t>
          </w:r>
        </w:p>
        <w:p w14:paraId="345EFB5A" w14:textId="5F9AE52C" w:rsidR="00EC1BB9" w:rsidRDefault="000316D2">
          <w:pPr>
            <w:pStyle w:val="TOC1"/>
            <w:tabs>
              <w:tab w:val="right" w:leader="dot" w:pos="9350"/>
            </w:tabs>
            <w:rPr>
              <w:rFonts w:eastAsiaTheme="minorEastAsia"/>
              <w:noProof/>
              <w:kern w:val="2"/>
              <w:sz w:val="22"/>
              <w:szCs w:val="22"/>
              <w14:ligatures w14:val="standardContextual"/>
            </w:rPr>
          </w:pPr>
          <w:r>
            <w:fldChar w:fldCharType="begin"/>
          </w:r>
          <w:r>
            <w:instrText xml:space="preserve"> TOC \o "1-3" \h \z \u </w:instrText>
          </w:r>
          <w:r>
            <w:fldChar w:fldCharType="separate"/>
          </w:r>
          <w:hyperlink w:anchor="_Toc184289779" w:history="1">
            <w:r w:rsidR="00EC1BB9" w:rsidRPr="007109C9">
              <w:rPr>
                <w:rStyle w:val="Hyperlink"/>
                <w:noProof/>
              </w:rPr>
              <w:t>Supplementary methods</w:t>
            </w:r>
            <w:r w:rsidR="00EC1BB9">
              <w:rPr>
                <w:noProof/>
                <w:webHidden/>
              </w:rPr>
              <w:tab/>
            </w:r>
            <w:r w:rsidR="00EC1BB9">
              <w:rPr>
                <w:noProof/>
                <w:webHidden/>
              </w:rPr>
              <w:fldChar w:fldCharType="begin"/>
            </w:r>
            <w:r w:rsidR="00EC1BB9">
              <w:rPr>
                <w:noProof/>
                <w:webHidden/>
              </w:rPr>
              <w:instrText xml:space="preserve"> PAGEREF _Toc184289779 \h </w:instrText>
            </w:r>
            <w:r w:rsidR="00EC1BB9">
              <w:rPr>
                <w:noProof/>
                <w:webHidden/>
              </w:rPr>
            </w:r>
            <w:r w:rsidR="00EC1BB9">
              <w:rPr>
                <w:noProof/>
                <w:webHidden/>
              </w:rPr>
              <w:fldChar w:fldCharType="separate"/>
            </w:r>
            <w:r w:rsidR="00EC1BB9">
              <w:rPr>
                <w:noProof/>
                <w:webHidden/>
              </w:rPr>
              <w:t>2</w:t>
            </w:r>
            <w:r w:rsidR="00EC1BB9">
              <w:rPr>
                <w:noProof/>
                <w:webHidden/>
              </w:rPr>
              <w:fldChar w:fldCharType="end"/>
            </w:r>
          </w:hyperlink>
        </w:p>
        <w:p w14:paraId="3ADD6D42" w14:textId="188A4524" w:rsidR="00EC1BB9" w:rsidRDefault="00EC1BB9">
          <w:pPr>
            <w:pStyle w:val="TOC2"/>
            <w:tabs>
              <w:tab w:val="right" w:leader="dot" w:pos="9350"/>
            </w:tabs>
            <w:rPr>
              <w:rFonts w:eastAsiaTheme="minorEastAsia"/>
              <w:noProof/>
              <w:kern w:val="2"/>
              <w:sz w:val="22"/>
              <w:szCs w:val="22"/>
              <w14:ligatures w14:val="standardContextual"/>
            </w:rPr>
          </w:pPr>
          <w:hyperlink w:anchor="_Toc184289780" w:history="1">
            <w:r w:rsidRPr="007109C9">
              <w:rPr>
                <w:rStyle w:val="Hyperlink"/>
                <w:noProof/>
              </w:rPr>
              <w:t>Study framework</w:t>
            </w:r>
            <w:r>
              <w:rPr>
                <w:noProof/>
                <w:webHidden/>
              </w:rPr>
              <w:tab/>
            </w:r>
            <w:r>
              <w:rPr>
                <w:noProof/>
                <w:webHidden/>
              </w:rPr>
              <w:fldChar w:fldCharType="begin"/>
            </w:r>
            <w:r>
              <w:rPr>
                <w:noProof/>
                <w:webHidden/>
              </w:rPr>
              <w:instrText xml:space="preserve"> PAGEREF _Toc184289780 \h </w:instrText>
            </w:r>
            <w:r>
              <w:rPr>
                <w:noProof/>
                <w:webHidden/>
              </w:rPr>
            </w:r>
            <w:r>
              <w:rPr>
                <w:noProof/>
                <w:webHidden/>
              </w:rPr>
              <w:fldChar w:fldCharType="separate"/>
            </w:r>
            <w:r>
              <w:rPr>
                <w:noProof/>
                <w:webHidden/>
              </w:rPr>
              <w:t>2</w:t>
            </w:r>
            <w:r>
              <w:rPr>
                <w:noProof/>
                <w:webHidden/>
              </w:rPr>
              <w:fldChar w:fldCharType="end"/>
            </w:r>
          </w:hyperlink>
        </w:p>
        <w:p w14:paraId="5BB55457" w14:textId="0857664A" w:rsidR="00EC1BB9" w:rsidRDefault="00EC1BB9">
          <w:pPr>
            <w:pStyle w:val="TOC3"/>
            <w:tabs>
              <w:tab w:val="right" w:leader="dot" w:pos="9350"/>
            </w:tabs>
            <w:rPr>
              <w:rFonts w:eastAsiaTheme="minorEastAsia"/>
              <w:noProof/>
              <w:kern w:val="2"/>
              <w:sz w:val="22"/>
              <w:szCs w:val="22"/>
              <w14:ligatures w14:val="standardContextual"/>
            </w:rPr>
          </w:pPr>
          <w:hyperlink w:anchor="_Toc184289781" w:history="1">
            <w:r w:rsidRPr="007109C9">
              <w:rPr>
                <w:rStyle w:val="Hyperlink"/>
                <w:noProof/>
              </w:rPr>
              <w:t>Estimates unadjusted for people with immunocompromising conditions</w:t>
            </w:r>
            <w:r>
              <w:rPr>
                <w:noProof/>
                <w:webHidden/>
              </w:rPr>
              <w:tab/>
            </w:r>
            <w:r>
              <w:rPr>
                <w:noProof/>
                <w:webHidden/>
              </w:rPr>
              <w:fldChar w:fldCharType="begin"/>
            </w:r>
            <w:r>
              <w:rPr>
                <w:noProof/>
                <w:webHidden/>
              </w:rPr>
              <w:instrText xml:space="preserve"> PAGEREF _Toc184289781 \h </w:instrText>
            </w:r>
            <w:r>
              <w:rPr>
                <w:noProof/>
                <w:webHidden/>
              </w:rPr>
            </w:r>
            <w:r>
              <w:rPr>
                <w:noProof/>
                <w:webHidden/>
              </w:rPr>
              <w:fldChar w:fldCharType="separate"/>
            </w:r>
            <w:r>
              <w:rPr>
                <w:noProof/>
                <w:webHidden/>
              </w:rPr>
              <w:t>2</w:t>
            </w:r>
            <w:r>
              <w:rPr>
                <w:noProof/>
                <w:webHidden/>
              </w:rPr>
              <w:fldChar w:fldCharType="end"/>
            </w:r>
          </w:hyperlink>
        </w:p>
        <w:p w14:paraId="567185DD" w14:textId="523FF2AD" w:rsidR="00EC1BB9" w:rsidRDefault="00EC1BB9">
          <w:pPr>
            <w:pStyle w:val="TOC3"/>
            <w:tabs>
              <w:tab w:val="right" w:leader="dot" w:pos="9350"/>
            </w:tabs>
            <w:rPr>
              <w:rFonts w:eastAsiaTheme="minorEastAsia"/>
              <w:noProof/>
              <w:kern w:val="2"/>
              <w:sz w:val="22"/>
              <w:szCs w:val="22"/>
              <w14:ligatures w14:val="standardContextual"/>
            </w:rPr>
          </w:pPr>
          <w:hyperlink w:anchor="_Toc184289782" w:history="1">
            <w:r w:rsidRPr="007109C9">
              <w:rPr>
                <w:rStyle w:val="Hyperlink"/>
                <w:noProof/>
              </w:rPr>
              <w:t>Estimate adjusted for people with immunocompromising conditions</w:t>
            </w:r>
            <w:r>
              <w:rPr>
                <w:noProof/>
                <w:webHidden/>
              </w:rPr>
              <w:tab/>
            </w:r>
            <w:r>
              <w:rPr>
                <w:noProof/>
                <w:webHidden/>
              </w:rPr>
              <w:fldChar w:fldCharType="begin"/>
            </w:r>
            <w:r>
              <w:rPr>
                <w:noProof/>
                <w:webHidden/>
              </w:rPr>
              <w:instrText xml:space="preserve"> PAGEREF _Toc184289782 \h </w:instrText>
            </w:r>
            <w:r>
              <w:rPr>
                <w:noProof/>
                <w:webHidden/>
              </w:rPr>
            </w:r>
            <w:r>
              <w:rPr>
                <w:noProof/>
                <w:webHidden/>
              </w:rPr>
              <w:fldChar w:fldCharType="separate"/>
            </w:r>
            <w:r>
              <w:rPr>
                <w:noProof/>
                <w:webHidden/>
              </w:rPr>
              <w:t>5</w:t>
            </w:r>
            <w:r>
              <w:rPr>
                <w:noProof/>
                <w:webHidden/>
              </w:rPr>
              <w:fldChar w:fldCharType="end"/>
            </w:r>
          </w:hyperlink>
        </w:p>
        <w:p w14:paraId="5C295D94" w14:textId="77A951E6" w:rsidR="00EC1BB9" w:rsidRDefault="00EC1BB9">
          <w:pPr>
            <w:pStyle w:val="TOC2"/>
            <w:tabs>
              <w:tab w:val="right" w:leader="dot" w:pos="9350"/>
            </w:tabs>
            <w:rPr>
              <w:rFonts w:eastAsiaTheme="minorEastAsia"/>
              <w:noProof/>
              <w:kern w:val="2"/>
              <w:sz w:val="22"/>
              <w:szCs w:val="22"/>
              <w14:ligatures w14:val="standardContextual"/>
            </w:rPr>
          </w:pPr>
          <w:hyperlink w:anchor="_Toc184289783" w:history="1">
            <w:r w:rsidRPr="007109C9">
              <w:rPr>
                <w:rStyle w:val="Hyperlink"/>
                <w:noProof/>
              </w:rPr>
              <w:t>Method evaluation (one-way sensitivity analysis)</w:t>
            </w:r>
            <w:r>
              <w:rPr>
                <w:noProof/>
                <w:webHidden/>
              </w:rPr>
              <w:tab/>
            </w:r>
            <w:r>
              <w:rPr>
                <w:noProof/>
                <w:webHidden/>
              </w:rPr>
              <w:fldChar w:fldCharType="begin"/>
            </w:r>
            <w:r>
              <w:rPr>
                <w:noProof/>
                <w:webHidden/>
              </w:rPr>
              <w:instrText xml:space="preserve"> PAGEREF _Toc184289783 \h </w:instrText>
            </w:r>
            <w:r>
              <w:rPr>
                <w:noProof/>
                <w:webHidden/>
              </w:rPr>
            </w:r>
            <w:r>
              <w:rPr>
                <w:noProof/>
                <w:webHidden/>
              </w:rPr>
              <w:fldChar w:fldCharType="separate"/>
            </w:r>
            <w:r>
              <w:rPr>
                <w:noProof/>
                <w:webHidden/>
              </w:rPr>
              <w:t>7</w:t>
            </w:r>
            <w:r>
              <w:rPr>
                <w:noProof/>
                <w:webHidden/>
              </w:rPr>
              <w:fldChar w:fldCharType="end"/>
            </w:r>
          </w:hyperlink>
        </w:p>
        <w:p w14:paraId="39F7DEFE" w14:textId="7530038A" w:rsidR="00EC1BB9" w:rsidRDefault="00EC1BB9">
          <w:pPr>
            <w:pStyle w:val="TOC2"/>
            <w:tabs>
              <w:tab w:val="right" w:leader="dot" w:pos="9350"/>
            </w:tabs>
            <w:rPr>
              <w:rFonts w:eastAsiaTheme="minorEastAsia"/>
              <w:noProof/>
              <w:kern w:val="2"/>
              <w:sz w:val="22"/>
              <w:szCs w:val="22"/>
              <w14:ligatures w14:val="standardContextual"/>
            </w:rPr>
          </w:pPr>
          <w:hyperlink w:anchor="_Toc184289784" w:history="1">
            <w:r w:rsidRPr="007109C9">
              <w:rPr>
                <w:rStyle w:val="Hyperlink"/>
                <w:noProof/>
              </w:rPr>
              <w:t>Estimation of hospitalizations averted</w:t>
            </w:r>
            <w:r>
              <w:rPr>
                <w:noProof/>
                <w:webHidden/>
              </w:rPr>
              <w:tab/>
            </w:r>
            <w:r>
              <w:rPr>
                <w:noProof/>
                <w:webHidden/>
              </w:rPr>
              <w:fldChar w:fldCharType="begin"/>
            </w:r>
            <w:r>
              <w:rPr>
                <w:noProof/>
                <w:webHidden/>
              </w:rPr>
              <w:instrText xml:space="preserve"> PAGEREF _Toc184289784 \h </w:instrText>
            </w:r>
            <w:r>
              <w:rPr>
                <w:noProof/>
                <w:webHidden/>
              </w:rPr>
            </w:r>
            <w:r>
              <w:rPr>
                <w:noProof/>
                <w:webHidden/>
              </w:rPr>
              <w:fldChar w:fldCharType="separate"/>
            </w:r>
            <w:r>
              <w:rPr>
                <w:noProof/>
                <w:webHidden/>
              </w:rPr>
              <w:t>9</w:t>
            </w:r>
            <w:r>
              <w:rPr>
                <w:noProof/>
                <w:webHidden/>
              </w:rPr>
              <w:fldChar w:fldCharType="end"/>
            </w:r>
          </w:hyperlink>
        </w:p>
        <w:p w14:paraId="75328326" w14:textId="00FA694B" w:rsidR="00EC1BB9" w:rsidRDefault="00EC1BB9">
          <w:pPr>
            <w:pStyle w:val="TOC2"/>
            <w:tabs>
              <w:tab w:val="right" w:leader="dot" w:pos="9350"/>
            </w:tabs>
            <w:rPr>
              <w:rFonts w:eastAsiaTheme="minorEastAsia"/>
              <w:noProof/>
              <w:kern w:val="2"/>
              <w:sz w:val="22"/>
              <w:szCs w:val="22"/>
              <w14:ligatures w14:val="standardContextual"/>
            </w:rPr>
          </w:pPr>
          <w:hyperlink w:anchor="_Toc184289785" w:history="1">
            <w:r w:rsidRPr="007109C9">
              <w:rPr>
                <w:rStyle w:val="Hyperlink"/>
                <w:noProof/>
              </w:rPr>
              <w:t>Measuring uncertainty</w:t>
            </w:r>
            <w:r>
              <w:rPr>
                <w:noProof/>
                <w:webHidden/>
              </w:rPr>
              <w:tab/>
            </w:r>
            <w:r>
              <w:rPr>
                <w:noProof/>
                <w:webHidden/>
              </w:rPr>
              <w:fldChar w:fldCharType="begin"/>
            </w:r>
            <w:r>
              <w:rPr>
                <w:noProof/>
                <w:webHidden/>
              </w:rPr>
              <w:instrText xml:space="preserve"> PAGEREF _Toc184289785 \h </w:instrText>
            </w:r>
            <w:r>
              <w:rPr>
                <w:noProof/>
                <w:webHidden/>
              </w:rPr>
            </w:r>
            <w:r>
              <w:rPr>
                <w:noProof/>
                <w:webHidden/>
              </w:rPr>
              <w:fldChar w:fldCharType="separate"/>
            </w:r>
            <w:r>
              <w:rPr>
                <w:noProof/>
                <w:webHidden/>
              </w:rPr>
              <w:t>10</w:t>
            </w:r>
            <w:r>
              <w:rPr>
                <w:noProof/>
                <w:webHidden/>
              </w:rPr>
              <w:fldChar w:fldCharType="end"/>
            </w:r>
          </w:hyperlink>
        </w:p>
        <w:p w14:paraId="2DDE3095" w14:textId="46B47CC2" w:rsidR="00EC1BB9" w:rsidRDefault="00EC1BB9">
          <w:pPr>
            <w:pStyle w:val="TOC1"/>
            <w:tabs>
              <w:tab w:val="right" w:leader="dot" w:pos="9350"/>
            </w:tabs>
            <w:rPr>
              <w:rFonts w:eastAsiaTheme="minorEastAsia"/>
              <w:noProof/>
              <w:kern w:val="2"/>
              <w:sz w:val="22"/>
              <w:szCs w:val="22"/>
              <w14:ligatures w14:val="standardContextual"/>
            </w:rPr>
          </w:pPr>
          <w:hyperlink w:anchor="_Toc184289786" w:history="1">
            <w:r w:rsidRPr="007109C9">
              <w:rPr>
                <w:rStyle w:val="Hyperlink"/>
                <w:noProof/>
              </w:rPr>
              <w:t>Supplemental Tables</w:t>
            </w:r>
            <w:r>
              <w:rPr>
                <w:noProof/>
                <w:webHidden/>
              </w:rPr>
              <w:tab/>
            </w:r>
            <w:r>
              <w:rPr>
                <w:noProof/>
                <w:webHidden/>
              </w:rPr>
              <w:fldChar w:fldCharType="begin"/>
            </w:r>
            <w:r>
              <w:rPr>
                <w:noProof/>
                <w:webHidden/>
              </w:rPr>
              <w:instrText xml:space="preserve"> PAGEREF _Toc184289786 \h </w:instrText>
            </w:r>
            <w:r>
              <w:rPr>
                <w:noProof/>
                <w:webHidden/>
              </w:rPr>
            </w:r>
            <w:r>
              <w:rPr>
                <w:noProof/>
                <w:webHidden/>
              </w:rPr>
              <w:fldChar w:fldCharType="separate"/>
            </w:r>
            <w:r>
              <w:rPr>
                <w:noProof/>
                <w:webHidden/>
              </w:rPr>
              <w:t>14</w:t>
            </w:r>
            <w:r>
              <w:rPr>
                <w:noProof/>
                <w:webHidden/>
              </w:rPr>
              <w:fldChar w:fldCharType="end"/>
            </w:r>
          </w:hyperlink>
        </w:p>
        <w:p w14:paraId="3FFA8DA2" w14:textId="0ECF2E84" w:rsidR="00EC1BB9" w:rsidRDefault="00EC1BB9">
          <w:pPr>
            <w:pStyle w:val="TOC2"/>
            <w:tabs>
              <w:tab w:val="right" w:leader="dot" w:pos="9350"/>
            </w:tabs>
            <w:rPr>
              <w:rFonts w:eastAsiaTheme="minorEastAsia"/>
              <w:noProof/>
              <w:kern w:val="2"/>
              <w:sz w:val="22"/>
              <w:szCs w:val="22"/>
              <w14:ligatures w14:val="standardContextual"/>
            </w:rPr>
          </w:pPr>
          <w:hyperlink w:anchor="_Toc184289787" w:history="1">
            <w:r w:rsidRPr="007109C9">
              <w:rPr>
                <w:rStyle w:val="Hyperlink"/>
                <w:noProof/>
              </w:rPr>
              <w:t>Sensitivity analyses</w:t>
            </w:r>
            <w:r>
              <w:rPr>
                <w:noProof/>
                <w:webHidden/>
              </w:rPr>
              <w:tab/>
            </w:r>
            <w:r>
              <w:rPr>
                <w:noProof/>
                <w:webHidden/>
              </w:rPr>
              <w:fldChar w:fldCharType="begin"/>
            </w:r>
            <w:r>
              <w:rPr>
                <w:noProof/>
                <w:webHidden/>
              </w:rPr>
              <w:instrText xml:space="preserve"> PAGEREF _Toc184289787 \h </w:instrText>
            </w:r>
            <w:r>
              <w:rPr>
                <w:noProof/>
                <w:webHidden/>
              </w:rPr>
            </w:r>
            <w:r>
              <w:rPr>
                <w:noProof/>
                <w:webHidden/>
              </w:rPr>
              <w:fldChar w:fldCharType="separate"/>
            </w:r>
            <w:r>
              <w:rPr>
                <w:noProof/>
                <w:webHidden/>
              </w:rPr>
              <w:t>26</w:t>
            </w:r>
            <w:r>
              <w:rPr>
                <w:noProof/>
                <w:webHidden/>
              </w:rPr>
              <w:fldChar w:fldCharType="end"/>
            </w:r>
          </w:hyperlink>
        </w:p>
        <w:p w14:paraId="0A1860F6" w14:textId="474EA03C" w:rsidR="00EC1BB9" w:rsidRDefault="00EC1BB9">
          <w:pPr>
            <w:pStyle w:val="TOC1"/>
            <w:tabs>
              <w:tab w:val="right" w:leader="dot" w:pos="9350"/>
            </w:tabs>
            <w:rPr>
              <w:rFonts w:eastAsiaTheme="minorEastAsia"/>
              <w:noProof/>
              <w:kern w:val="2"/>
              <w:sz w:val="22"/>
              <w:szCs w:val="22"/>
              <w14:ligatures w14:val="standardContextual"/>
            </w:rPr>
          </w:pPr>
          <w:hyperlink w:anchor="_Toc184289788" w:history="1">
            <w:r w:rsidRPr="007109C9">
              <w:rPr>
                <w:rStyle w:val="Hyperlink"/>
                <w:noProof/>
              </w:rPr>
              <w:t>Supplemental Figure</w:t>
            </w:r>
            <w:r>
              <w:rPr>
                <w:noProof/>
                <w:webHidden/>
              </w:rPr>
              <w:tab/>
            </w:r>
            <w:r>
              <w:rPr>
                <w:noProof/>
                <w:webHidden/>
              </w:rPr>
              <w:fldChar w:fldCharType="begin"/>
            </w:r>
            <w:r>
              <w:rPr>
                <w:noProof/>
                <w:webHidden/>
              </w:rPr>
              <w:instrText xml:space="preserve"> PAGEREF _Toc184289788 \h </w:instrText>
            </w:r>
            <w:r>
              <w:rPr>
                <w:noProof/>
                <w:webHidden/>
              </w:rPr>
            </w:r>
            <w:r>
              <w:rPr>
                <w:noProof/>
                <w:webHidden/>
              </w:rPr>
              <w:fldChar w:fldCharType="separate"/>
            </w:r>
            <w:r>
              <w:rPr>
                <w:noProof/>
                <w:webHidden/>
              </w:rPr>
              <w:t>34</w:t>
            </w:r>
            <w:r>
              <w:rPr>
                <w:noProof/>
                <w:webHidden/>
              </w:rPr>
              <w:fldChar w:fldCharType="end"/>
            </w:r>
          </w:hyperlink>
        </w:p>
        <w:p w14:paraId="644C806D" w14:textId="22510BD1" w:rsidR="00EC1BB9" w:rsidRDefault="00EC1BB9">
          <w:pPr>
            <w:pStyle w:val="TOC1"/>
            <w:tabs>
              <w:tab w:val="right" w:leader="dot" w:pos="9350"/>
            </w:tabs>
            <w:rPr>
              <w:rFonts w:eastAsiaTheme="minorEastAsia"/>
              <w:noProof/>
              <w:kern w:val="2"/>
              <w:sz w:val="22"/>
              <w:szCs w:val="22"/>
              <w14:ligatures w14:val="standardContextual"/>
            </w:rPr>
          </w:pPr>
          <w:hyperlink w:anchor="_Toc184289789" w:history="1">
            <w:r w:rsidRPr="007109C9">
              <w:rPr>
                <w:rStyle w:val="Hyperlink"/>
                <w:noProof/>
              </w:rPr>
              <w:t>Bibliography</w:t>
            </w:r>
            <w:r>
              <w:rPr>
                <w:noProof/>
                <w:webHidden/>
              </w:rPr>
              <w:tab/>
            </w:r>
            <w:r>
              <w:rPr>
                <w:noProof/>
                <w:webHidden/>
              </w:rPr>
              <w:fldChar w:fldCharType="begin"/>
            </w:r>
            <w:r>
              <w:rPr>
                <w:noProof/>
                <w:webHidden/>
              </w:rPr>
              <w:instrText xml:space="preserve"> PAGEREF _Toc184289789 \h </w:instrText>
            </w:r>
            <w:r>
              <w:rPr>
                <w:noProof/>
                <w:webHidden/>
              </w:rPr>
            </w:r>
            <w:r>
              <w:rPr>
                <w:noProof/>
                <w:webHidden/>
              </w:rPr>
              <w:fldChar w:fldCharType="separate"/>
            </w:r>
            <w:r>
              <w:rPr>
                <w:noProof/>
                <w:webHidden/>
              </w:rPr>
              <w:t>35</w:t>
            </w:r>
            <w:r>
              <w:rPr>
                <w:noProof/>
                <w:webHidden/>
              </w:rPr>
              <w:fldChar w:fldCharType="end"/>
            </w:r>
          </w:hyperlink>
        </w:p>
        <w:p w14:paraId="52CBA871" w14:textId="25134D1A" w:rsidR="000316D2" w:rsidRDefault="000316D2">
          <w:r>
            <w:rPr>
              <w:b/>
              <w:bCs/>
              <w:noProof/>
            </w:rPr>
            <w:fldChar w:fldCharType="end"/>
          </w:r>
        </w:p>
      </w:sdtContent>
    </w:sdt>
    <w:p w14:paraId="572832A6" w14:textId="77777777" w:rsidR="000316D2" w:rsidRPr="000316D2" w:rsidRDefault="000316D2" w:rsidP="000316D2">
      <w:pPr>
        <w:pStyle w:val="BodyText"/>
      </w:pPr>
    </w:p>
    <w:p w14:paraId="50F10F29" w14:textId="77777777" w:rsidR="00A870C6" w:rsidRDefault="00A870C6">
      <w:pPr>
        <w:rPr>
          <w:rFonts w:asciiTheme="majorHAnsi" w:eastAsiaTheme="majorEastAsia" w:hAnsiTheme="majorHAnsi" w:cstheme="majorBidi"/>
          <w:b/>
          <w:bCs/>
          <w:color w:val="4F81BD" w:themeColor="accent1"/>
          <w:sz w:val="32"/>
          <w:szCs w:val="32"/>
        </w:rPr>
      </w:pPr>
      <w:bookmarkStart w:id="0" w:name="supplementary-methods"/>
      <w:r>
        <w:br w:type="page"/>
      </w:r>
    </w:p>
    <w:p w14:paraId="2DC1673B" w14:textId="1EEBA3A1" w:rsidR="0008504F" w:rsidRDefault="00A870C6">
      <w:pPr>
        <w:pStyle w:val="Heading1"/>
      </w:pPr>
      <w:bookmarkStart w:id="1" w:name="_Toc184289779"/>
      <w:r>
        <w:lastRenderedPageBreak/>
        <w:t>Supplementary methods</w:t>
      </w:r>
      <w:bookmarkEnd w:id="1"/>
    </w:p>
    <w:p w14:paraId="2DC1673C" w14:textId="77777777" w:rsidR="0008504F" w:rsidRDefault="00A870C6">
      <w:pPr>
        <w:pStyle w:val="Heading2"/>
      </w:pPr>
      <w:bookmarkStart w:id="2" w:name="_Toc184289780"/>
      <w:bookmarkStart w:id="3" w:name="study-framework"/>
      <w:r>
        <w:t>Study framework</w:t>
      </w:r>
      <w:bookmarkEnd w:id="2"/>
    </w:p>
    <w:p w14:paraId="2DC1673D" w14:textId="73CFE16F" w:rsidR="0008504F" w:rsidRDefault="00A870C6">
      <w:pPr>
        <w:pStyle w:val="FirstParagraph"/>
      </w:pPr>
      <w:r>
        <w:t xml:space="preserve">This section provides detailed information on methods used to generate estimated hospitalization counts under the causal inference framework that assumes no 2023-2024 COVID-19 vaccinations were available. </w:t>
      </w:r>
      <w:r w:rsidR="00C23F40">
        <w:t xml:space="preserve">We referred to the presence of </w:t>
      </w:r>
      <w:proofErr w:type="spellStart"/>
      <w:r w:rsidR="00C23F40">
        <w:t>of</w:t>
      </w:r>
      <w:proofErr w:type="spellEnd"/>
      <w:r w:rsidR="00C23F40">
        <w:t xml:space="preserve"> 2023-2024 COVID-19 vaccinations as the factual scenario, i.e., what </w:t>
      </w:r>
      <w:proofErr w:type="gramStart"/>
      <w:r w:rsidR="00C23F40">
        <w:t>happened in reality, and</w:t>
      </w:r>
      <w:proofErr w:type="gramEnd"/>
      <w:r w:rsidR="00C23F40">
        <w:t xml:space="preserve"> the absence of 2023-2024 COVID-19 vaccinations as the counterfactual scenario.</w:t>
      </w:r>
    </w:p>
    <w:p w14:paraId="2DC1673E" w14:textId="77777777" w:rsidR="0008504F" w:rsidRDefault="00A870C6">
      <w:pPr>
        <w:pStyle w:val="Heading3"/>
      </w:pPr>
      <w:bookmarkStart w:id="4" w:name="_Toc184289781"/>
      <w:bookmarkStart w:id="5" w:name="Xbb9b70704537756bf033e4b9d8bc279cd8a37d7"/>
      <w:r>
        <w:t>Estimates unadjusted for people with immunocompromising conditions</w:t>
      </w:r>
      <w:bookmarkEnd w:id="4"/>
    </w:p>
    <w:p w14:paraId="2DC1673F" w14:textId="6F2E753D" w:rsidR="0008504F" w:rsidRDefault="00A870C6">
      <w:pPr>
        <w:pStyle w:val="FirstParagraph"/>
      </w:pPr>
      <w:r>
        <w:t>The U.S. adult population can be categorized into four groups:</w:t>
      </w:r>
    </w:p>
    <w:p w14:paraId="2DC16740" w14:textId="77777777" w:rsidR="0008504F" w:rsidRDefault="00A870C6">
      <w:pPr>
        <w:pStyle w:val="Compact"/>
        <w:numPr>
          <w:ilvl w:val="0"/>
          <w:numId w:val="2"/>
        </w:numPr>
      </w:pPr>
      <w:r>
        <w:t>people without a 2023-2024 COVID-19 vaccination who did not have a COVID-19-associated hospitalization;</w:t>
      </w:r>
    </w:p>
    <w:p w14:paraId="2DC16741" w14:textId="77777777" w:rsidR="0008504F" w:rsidRDefault="00A870C6">
      <w:pPr>
        <w:pStyle w:val="Compact"/>
        <w:numPr>
          <w:ilvl w:val="0"/>
          <w:numId w:val="2"/>
        </w:numPr>
      </w:pPr>
      <w:r>
        <w:t>people with a 2023-2024 COVID-19 vaccination who did not have a COVID-19-associated hospitalization;</w:t>
      </w:r>
    </w:p>
    <w:p w14:paraId="2DC16742" w14:textId="77777777" w:rsidR="0008504F" w:rsidRDefault="00A870C6">
      <w:pPr>
        <w:pStyle w:val="Compact"/>
        <w:numPr>
          <w:ilvl w:val="0"/>
          <w:numId w:val="2"/>
        </w:numPr>
      </w:pPr>
      <w:r>
        <w:t>people without a 2023-2024 COVID-19 vaccination who had a COVID-19-associated hospitalization; and</w:t>
      </w:r>
    </w:p>
    <w:p w14:paraId="2DC16743" w14:textId="77777777" w:rsidR="0008504F" w:rsidRDefault="00A870C6">
      <w:pPr>
        <w:pStyle w:val="Compact"/>
        <w:numPr>
          <w:ilvl w:val="0"/>
          <w:numId w:val="2"/>
        </w:numPr>
      </w:pPr>
      <w:r>
        <w:t>people with a 2023-2024 COVID-19 vaccination who had a COVID-19-associated hospitalization.</w:t>
      </w:r>
    </w:p>
    <w:p w14:paraId="2DC16744" w14:textId="77777777" w:rsidR="0008504F" w:rsidRDefault="00A870C6">
      <w:pPr>
        <w:pStyle w:val="FirstParagraph"/>
      </w:pPr>
      <w:r>
        <w:t xml:space="preserve">Formalizing these numbers, the function </w:t>
      </w:r>
      <m:oMath>
        <m:r>
          <w:rPr>
            <w:rFonts w:ascii="Cambria Math" w:hAnsi="Cambria Math"/>
          </w:rPr>
          <m:t>C</m:t>
        </m:r>
        <m:d>
          <m:dPr>
            <m:ctrlPr>
              <w:rPr>
                <w:rFonts w:ascii="Cambria Math" w:hAnsi="Cambria Math"/>
              </w:rPr>
            </m:ctrlPr>
          </m:dPr>
          <m:e>
            <m:r>
              <w:rPr>
                <w:rFonts w:ascii="Cambria Math" w:hAnsi="Cambria Math"/>
              </w:rPr>
              <m:t>X</m:t>
            </m:r>
          </m:e>
        </m:d>
      </m:oMath>
      <w:r>
        <w:t xml:space="preserve"> denotes the count of the population with characteristic </w:t>
      </w:r>
      <m:oMath>
        <m:r>
          <w:rPr>
            <w:rFonts w:ascii="Cambria Math" w:hAnsi="Cambria Math"/>
          </w:rPr>
          <m:t>X</m:t>
        </m:r>
      </m:oMath>
      <w:r>
        <w:t xml:space="preserve">. Extending that to two characteristics, </w:t>
      </w:r>
      <m:oMath>
        <m:r>
          <w:rPr>
            <w:rFonts w:ascii="Cambria Math" w:hAnsi="Cambria Math"/>
          </w:rPr>
          <m:t>C</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oMath>
      <w:r>
        <w:t xml:space="preserve"> denotes the count of the population with characteristics </w:t>
      </w:r>
      <m:oMath>
        <m:r>
          <w:rPr>
            <w:rFonts w:ascii="Cambria Math" w:hAnsi="Cambria Math"/>
          </w:rPr>
          <m:t>X</m:t>
        </m:r>
      </m:oMath>
      <w:r>
        <w:t xml:space="preserve"> and </w:t>
      </w:r>
      <m:oMath>
        <m:r>
          <w:rPr>
            <w:rFonts w:ascii="Cambria Math" w:hAnsi="Cambria Math"/>
          </w:rPr>
          <m:t>Y</m:t>
        </m:r>
      </m:oMath>
      <w:r>
        <w:t>. (For simplicity, we ignore the time component, but this will be introduced in sections below.)</w:t>
      </w:r>
    </w:p>
    <w:p w14:paraId="2DC16745" w14:textId="77777777" w:rsidR="0008504F" w:rsidRDefault="00A870C6">
      <w:pPr>
        <w:pStyle w:val="BodyText"/>
      </w:pPr>
      <w:r>
        <w:t>Thus,</w:t>
      </w:r>
    </w:p>
    <w:p w14:paraId="2DC16746" w14:textId="77777777" w:rsidR="0008504F" w:rsidRDefault="00A870C6">
      <w:pPr>
        <w:pStyle w:val="Compact"/>
        <w:numPr>
          <w:ilvl w:val="0"/>
          <w:numId w:val="3"/>
        </w:numPr>
      </w:pPr>
      <m:oMath>
        <m:r>
          <w:rPr>
            <w:rFonts w:ascii="Cambria Math" w:hAnsi="Cambria Math"/>
          </w:rPr>
          <m:t>C</m:t>
        </m:r>
        <m:d>
          <m:dPr>
            <m:ctrlPr>
              <w:rPr>
                <w:rFonts w:ascii="Cambria Math" w:hAnsi="Cambria Math"/>
              </w:rPr>
            </m:ctrlPr>
          </m:dPr>
          <m:e>
            <m:r>
              <w:rPr>
                <w:rFonts w:ascii="Cambria Math" w:hAnsi="Cambria Math"/>
              </w:rPr>
              <m:t>NV</m:t>
            </m:r>
            <m:r>
              <m:rPr>
                <m:sty m:val="p"/>
              </m:rPr>
              <w:rPr>
                <w:rFonts w:ascii="Cambria Math" w:hAnsi="Cambria Math"/>
              </w:rPr>
              <m:t>,</m:t>
            </m:r>
            <m:r>
              <w:rPr>
                <w:rFonts w:ascii="Cambria Math" w:hAnsi="Cambria Math"/>
              </w:rPr>
              <m:t>NH</m:t>
            </m:r>
          </m:e>
        </m:d>
      </m:oMath>
      <w:r>
        <w:t xml:space="preserve"> is the number of people without a 2023-2024 COVID-19 vaccination who did not have a COVID-19-associated hospitalization;</w:t>
      </w:r>
    </w:p>
    <w:p w14:paraId="2DC16747" w14:textId="77777777" w:rsidR="0008504F" w:rsidRDefault="00A870C6">
      <w:pPr>
        <w:pStyle w:val="Compact"/>
        <w:numPr>
          <w:ilvl w:val="0"/>
          <w:numId w:val="3"/>
        </w:numPr>
      </w:pPr>
      <m:oMath>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oMath>
      <w:r>
        <w:t xml:space="preserve"> is the number of people with a 2023-2024 COVID-19 vaccination who did not have a COVID-19-associated hospitalization;</w:t>
      </w:r>
    </w:p>
    <w:p w14:paraId="2DC16748" w14:textId="77777777" w:rsidR="0008504F" w:rsidRDefault="00A870C6">
      <w:pPr>
        <w:pStyle w:val="Compact"/>
        <w:numPr>
          <w:ilvl w:val="0"/>
          <w:numId w:val="3"/>
        </w:numPr>
      </w:pPr>
      <m:oMath>
        <m:r>
          <w:rPr>
            <w:rFonts w:ascii="Cambria Math" w:hAnsi="Cambria Math"/>
          </w:rPr>
          <m:t>C</m:t>
        </m:r>
        <m:d>
          <m:dPr>
            <m:ctrlPr>
              <w:rPr>
                <w:rFonts w:ascii="Cambria Math" w:hAnsi="Cambria Math"/>
              </w:rPr>
            </m:ctrlPr>
          </m:dPr>
          <m:e>
            <m:r>
              <w:rPr>
                <w:rFonts w:ascii="Cambria Math" w:hAnsi="Cambria Math"/>
              </w:rPr>
              <m:t>NV</m:t>
            </m:r>
            <m:r>
              <m:rPr>
                <m:sty m:val="p"/>
              </m:rPr>
              <w:rPr>
                <w:rFonts w:ascii="Cambria Math" w:hAnsi="Cambria Math"/>
              </w:rPr>
              <m:t>,</m:t>
            </m:r>
            <m:r>
              <w:rPr>
                <w:rFonts w:ascii="Cambria Math" w:hAnsi="Cambria Math"/>
              </w:rPr>
              <m:t>H</m:t>
            </m:r>
          </m:e>
        </m:d>
      </m:oMath>
      <w:r>
        <w:t xml:space="preserve"> is the number of people without a 2023-2024 COVID-19 vaccination who had a COVID-19-associated hospitalization; and</w:t>
      </w:r>
    </w:p>
    <w:p w14:paraId="2DC16749" w14:textId="77777777" w:rsidR="0008504F" w:rsidRDefault="00A870C6">
      <w:pPr>
        <w:pStyle w:val="Compact"/>
        <w:numPr>
          <w:ilvl w:val="0"/>
          <w:numId w:val="3"/>
        </w:numPr>
      </w:pPr>
      <m:oMath>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H</m:t>
            </m:r>
          </m:e>
        </m:d>
      </m:oMath>
      <w:r>
        <w:t xml:space="preserve"> is the number of people with a 2023-2024 COVID-19 vaccination who had a COVID-19-associated hospitalization.</w:t>
      </w:r>
    </w:p>
    <w:p w14:paraId="2DC1674A" w14:textId="77777777" w:rsidR="0008504F" w:rsidRDefault="00A870C6">
      <w:pPr>
        <w:pStyle w:val="FirstParagraph"/>
      </w:pPr>
      <w:r>
        <w:t>Figure S1 depicts these four groups (not drawn to scale).</w:t>
      </w:r>
    </w:p>
    <w:p w14:paraId="2DC1674B" w14:textId="77777777" w:rsidR="0008504F" w:rsidRDefault="0008504F">
      <w:pPr>
        <w:pStyle w:val="BodyText"/>
      </w:pPr>
    </w:p>
    <w:p w14:paraId="2DC1674C" w14:textId="77777777" w:rsidR="0008504F" w:rsidRDefault="00A870C6">
      <w:pPr>
        <w:pStyle w:val="CaptionedFigure"/>
      </w:pPr>
      <w:r>
        <w:rPr>
          <w:noProof/>
        </w:rPr>
        <w:lastRenderedPageBreak/>
        <w:drawing>
          <wp:inline distT="0" distB="0" distL="0" distR="0" wp14:anchorId="2DC16D3F" wp14:editId="2DC16D40">
            <wp:extent cx="1848050" cy="2772075"/>
            <wp:effectExtent l="0" t="0" r="0" b="0"/>
            <wp:docPr id="21" name="Picture" descr="Figure S1: Categories of the U.S. population by 2023-2024 COVID-19 vaccination status (V=obtained a 2023-2024 COVID-19 vaccination; NV=did not obtain a 2023-2024 COVID-19 vaccination) and had a COVID-19-associated hospitalization outcome (H=had a COVID-19-associated hospitalization; NH=no COVID-19-associated hospitalization) plotted by frequency denoted by C()."/>
            <wp:cNvGraphicFramePr/>
            <a:graphic xmlns:a="http://schemas.openxmlformats.org/drawingml/2006/main">
              <a:graphicData uri="http://schemas.openxmlformats.org/drawingml/2006/picture">
                <pic:pic xmlns:pic="http://schemas.openxmlformats.org/drawingml/2006/picture">
                  <pic:nvPicPr>
                    <pic:cNvPr id="22" name="Picture" descr="burden_averted_supplement_2024-10-30_files/figure-docx/basic.diagram-1.png"/>
                    <pic:cNvPicPr>
                      <a:picLocks noChangeAspect="1" noChangeArrowheads="1"/>
                    </pic:cNvPicPr>
                  </pic:nvPicPr>
                  <pic:blipFill>
                    <a:blip r:embed="rId7"/>
                    <a:stretch>
                      <a:fillRect/>
                    </a:stretch>
                  </pic:blipFill>
                  <pic:spPr bwMode="auto">
                    <a:xfrm>
                      <a:off x="0" y="0"/>
                      <a:ext cx="1848050" cy="2772075"/>
                    </a:xfrm>
                    <a:prstGeom prst="rect">
                      <a:avLst/>
                    </a:prstGeom>
                    <a:noFill/>
                    <a:ln w="9525">
                      <a:noFill/>
                      <a:headEnd/>
                      <a:tailEnd/>
                    </a:ln>
                  </pic:spPr>
                </pic:pic>
              </a:graphicData>
            </a:graphic>
          </wp:inline>
        </w:drawing>
      </w:r>
    </w:p>
    <w:p w14:paraId="2DC1674D" w14:textId="77777777" w:rsidR="0008504F" w:rsidRDefault="00A870C6">
      <w:pPr>
        <w:pStyle w:val="ImageCaption"/>
      </w:pPr>
      <w:r>
        <w:t>Figure S1: Categories of the U.S. population by 2023-2024 COVID-19 vaccination status (</w:t>
      </w:r>
      <m:oMath>
        <m:r>
          <w:rPr>
            <w:rFonts w:ascii="Cambria Math" w:hAnsi="Cambria Math"/>
          </w:rPr>
          <m:t>V</m:t>
        </m:r>
      </m:oMath>
      <w:r>
        <w:t xml:space="preserve">=obtained a 2023-2024 COVID-19 vaccination; </w:t>
      </w:r>
      <m:oMath>
        <m:r>
          <w:rPr>
            <w:rFonts w:ascii="Cambria Math" w:hAnsi="Cambria Math"/>
          </w:rPr>
          <m:t>NV</m:t>
        </m:r>
      </m:oMath>
      <w:r>
        <w:t>=did not obtain a 2023-2024 COVID-19 vaccination) and had a COVID-19-associated hospitalization outcome (</w:t>
      </w:r>
      <m:oMath>
        <m:r>
          <w:rPr>
            <w:rFonts w:ascii="Cambria Math" w:hAnsi="Cambria Math"/>
          </w:rPr>
          <m:t>H</m:t>
        </m:r>
      </m:oMath>
      <w:r>
        <w:t xml:space="preserve">=had a COVID-19-associated hospitalization; </w:t>
      </w:r>
      <m:oMath>
        <m:r>
          <w:rPr>
            <w:rFonts w:ascii="Cambria Math" w:hAnsi="Cambria Math"/>
          </w:rPr>
          <m:t>NH</m:t>
        </m:r>
      </m:oMath>
      <w:r>
        <w:t xml:space="preserve">=no COVID-19-associated hospitalization) plotted by frequency denoted by </w:t>
      </w:r>
      <m:oMath>
        <m:r>
          <w:rPr>
            <w:rFonts w:ascii="Cambria Math" w:hAnsi="Cambria Math"/>
          </w:rPr>
          <m:t>C</m:t>
        </m:r>
        <m:d>
          <m:dPr>
            <m:ctrlPr>
              <w:rPr>
                <w:rFonts w:ascii="Cambria Math" w:hAnsi="Cambria Math"/>
              </w:rPr>
            </m:ctrlPr>
          </m:dPr>
          <m:e/>
        </m:d>
      </m:oMath>
      <w:r>
        <w:t>.</w:t>
      </w:r>
    </w:p>
    <w:p w14:paraId="2DC1674E" w14:textId="77777777" w:rsidR="0008504F" w:rsidRDefault="0008504F">
      <w:pPr>
        <w:pStyle w:val="BodyText"/>
      </w:pPr>
    </w:p>
    <w:p w14:paraId="2DC1674F" w14:textId="77777777" w:rsidR="0008504F" w:rsidRDefault="00A870C6">
      <w:pPr>
        <w:pStyle w:val="FirstParagraph"/>
      </w:pPr>
      <m:oMath>
        <m:r>
          <w:rPr>
            <w:rFonts w:ascii="Cambria Math" w:hAnsi="Cambria Math"/>
          </w:rPr>
          <m:t>C</m:t>
        </m:r>
        <m:d>
          <m:dPr>
            <m:ctrlPr>
              <w:rPr>
                <w:rFonts w:ascii="Cambria Math" w:hAnsi="Cambria Math"/>
              </w:rPr>
            </m:ctrlPr>
          </m:dPr>
          <m:e>
            <m:r>
              <w:rPr>
                <w:rFonts w:ascii="Cambria Math" w:hAnsi="Cambria Math"/>
              </w:rPr>
              <m:t>H</m:t>
            </m:r>
          </m:e>
        </m:d>
      </m:oMath>
      <w:r>
        <w:t xml:space="preserve"> is the total number of people with a COVID-19-associated hospitalization, and </w:t>
      </w:r>
      <m:oMath>
        <m:r>
          <w:rPr>
            <w:rFonts w:ascii="Cambria Math" w:hAnsi="Cambria Math"/>
          </w:rPr>
          <m:t>C</m:t>
        </m:r>
        <m:d>
          <m:dPr>
            <m:ctrlPr>
              <w:rPr>
                <w:rFonts w:ascii="Cambria Math" w:hAnsi="Cambria Math"/>
              </w:rPr>
            </m:ctrlPr>
          </m:dPr>
          <m:e>
            <m:r>
              <w:rPr>
                <w:rFonts w:ascii="Cambria Math" w:hAnsi="Cambria Math"/>
              </w:rPr>
              <m:t>H</m:t>
            </m:r>
          </m:e>
        </m:d>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NV</m:t>
            </m:r>
            <m:r>
              <m:rPr>
                <m:sty m:val="p"/>
              </m:rPr>
              <w:rPr>
                <w:rFonts w:ascii="Cambria Math" w:hAnsi="Cambria Math"/>
              </w:rPr>
              <m:t>,</m:t>
            </m:r>
            <m:r>
              <w:rPr>
                <w:rFonts w:ascii="Cambria Math" w:hAnsi="Cambria Math"/>
              </w:rPr>
              <m:t>H</m:t>
            </m:r>
          </m:e>
        </m:d>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H</m:t>
            </m:r>
          </m:e>
        </m:d>
      </m:oMath>
      <w:r>
        <w:t>.</w:t>
      </w:r>
    </w:p>
    <w:p w14:paraId="2DC16750" w14:textId="09084AC6" w:rsidR="0008504F" w:rsidRDefault="00A870C6">
      <w:pPr>
        <w:pStyle w:val="BodyText"/>
      </w:pPr>
      <w:r>
        <w:t>To estimate the burden averted by 2023-2024 COVID-19 vaccinations, we wanted to compare the total number of people hospitalized in the presence of 2023-2024 COVID-19 vaccinations</w:t>
      </w:r>
      <w:r w:rsidR="005D4B3F">
        <w:t>, the “factual” scenario, to the hypothetical total number of people with a COVID-19-associated hospitalization without the presence of 2023-2024 COVID-19 vaccinations, the “counterfactual” scenario.</w:t>
      </w:r>
    </w:p>
    <w:p w14:paraId="2DC16751" w14:textId="77777777" w:rsidR="0008504F" w:rsidRDefault="00A870C6">
      <w:pPr>
        <w:pStyle w:val="BodyText"/>
      </w:pPr>
      <w:r>
        <w:t>To do this, we made the following assumptions about each of these four groups:</w:t>
      </w:r>
    </w:p>
    <w:p w14:paraId="2DC16752" w14:textId="1E2953B1" w:rsidR="0008504F" w:rsidRDefault="00A870C6">
      <w:pPr>
        <w:pStyle w:val="Compact"/>
        <w:numPr>
          <w:ilvl w:val="0"/>
          <w:numId w:val="4"/>
        </w:numPr>
      </w:pPr>
      <w:r>
        <w:t xml:space="preserve">people without a 2023-2024 COVID-19 vaccination and no COVID-19-associated hospitalization would not have a COVID-19-associated hospitalization in the </w:t>
      </w:r>
      <w:r w:rsidR="00B730E7">
        <w:t xml:space="preserve">counterfactual </w:t>
      </w:r>
      <w:r>
        <w:t xml:space="preserve">because they experience no change in their protection </w:t>
      </w:r>
      <w:proofErr w:type="gramStart"/>
      <w:r>
        <w:t>levels;</w:t>
      </w:r>
      <w:proofErr w:type="gramEnd"/>
    </w:p>
    <w:p w14:paraId="2DC16753" w14:textId="327C64E6" w:rsidR="0008504F" w:rsidRDefault="00A870C6">
      <w:pPr>
        <w:pStyle w:val="Compact"/>
        <w:numPr>
          <w:ilvl w:val="0"/>
          <w:numId w:val="4"/>
        </w:numPr>
      </w:pPr>
      <w:r>
        <w:t xml:space="preserve">people with a 2023-2024 COVID-19 vaccination and no COVID-19-associated hospitalization would have a change in protection level and may have a COVID-19-associated hospitalization in the </w:t>
      </w:r>
      <w:r w:rsidR="003C3A1A">
        <w:t xml:space="preserve">counterfactual </w:t>
      </w:r>
      <w:proofErr w:type="gramStart"/>
      <w:r>
        <w:t>scenario;</w:t>
      </w:r>
      <w:proofErr w:type="gramEnd"/>
    </w:p>
    <w:p w14:paraId="2DC16754" w14:textId="69379CDA" w:rsidR="0008504F" w:rsidRDefault="00A870C6">
      <w:pPr>
        <w:pStyle w:val="Compact"/>
        <w:numPr>
          <w:ilvl w:val="0"/>
          <w:numId w:val="4"/>
        </w:numPr>
      </w:pPr>
      <w:r>
        <w:t xml:space="preserve">people without a 2023-2024 COVID-19 vaccination and a COVID-19-associated hospitalization would have a COVID-19-associated hospitalization in the </w:t>
      </w:r>
      <w:r w:rsidR="003C3A1A">
        <w:t>counterfactual</w:t>
      </w:r>
      <w:r w:rsidR="003C3A1A" w:rsidDel="003C3A1A">
        <w:t xml:space="preserve"> </w:t>
      </w:r>
      <w:r>
        <w:t>since they experience no change in protection level; and</w:t>
      </w:r>
    </w:p>
    <w:p w14:paraId="2DC16755" w14:textId="4BA0D2A3" w:rsidR="0008504F" w:rsidRDefault="00A870C6">
      <w:pPr>
        <w:pStyle w:val="Compact"/>
        <w:numPr>
          <w:ilvl w:val="0"/>
          <w:numId w:val="4"/>
        </w:numPr>
      </w:pPr>
      <w:r>
        <w:t xml:space="preserve">people with a 2023-2024 COVID-19 vaccination and a COVID-19-associated hospitalization would also have a COVID-19-associated hospitalization in the </w:t>
      </w:r>
      <w:r w:rsidR="00146E66">
        <w:lastRenderedPageBreak/>
        <w:t>counterfactual</w:t>
      </w:r>
      <w:r w:rsidR="00146E66" w:rsidDel="00146E66">
        <w:t xml:space="preserve"> </w:t>
      </w:r>
      <w:r>
        <w:t xml:space="preserve">since their protection level will be the same or </w:t>
      </w:r>
      <w:r w:rsidR="005120DF">
        <w:t xml:space="preserve">decrease </w:t>
      </w:r>
      <w:r>
        <w:t>without 2023-2024 COVID-19 vaccination.</w:t>
      </w:r>
    </w:p>
    <w:p w14:paraId="2DC16756" w14:textId="77777777" w:rsidR="0008504F" w:rsidRDefault="00A870C6">
      <w:pPr>
        <w:pStyle w:val="FirstParagraph"/>
      </w:pPr>
      <w:r>
        <w:t>This is shown in the manuscript as Figure 1.</w:t>
      </w:r>
    </w:p>
    <w:p w14:paraId="2DC16757" w14:textId="4DCE1117" w:rsidR="0008504F" w:rsidRDefault="00A870C6">
      <w:pPr>
        <w:pStyle w:val="BodyText"/>
      </w:pPr>
      <w:r>
        <w:t xml:space="preserve">Based on these assumptions, the subset of the population that could experience a change in the </w:t>
      </w:r>
      <w:r w:rsidR="002B657C">
        <w:t xml:space="preserve">counterfactual </w:t>
      </w:r>
      <w:r>
        <w:t xml:space="preserve">scenario are people with a 2023-2024 COVID-19 vaccination and no COVID-19-associated hospitalization, </w:t>
      </w:r>
      <m:oMath>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oMath>
      <w:r>
        <w:t xml:space="preserve">. Therefore, we assumed that a subset of </w:t>
      </w:r>
      <m:oMath>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oMath>
      <w:r>
        <w:t xml:space="preserve"> would have a COVID-19-associated hospitalization in the </w:t>
      </w:r>
      <w:r w:rsidR="002B657C">
        <w:t xml:space="preserve">counterfactual </w:t>
      </w:r>
      <w:r>
        <w:t>and comprise the number of COVID-19-associated hospitalization averted by COVID-19 vaccination. This is represented in Figure S2.</w:t>
      </w:r>
    </w:p>
    <w:p w14:paraId="2DC16758" w14:textId="77777777" w:rsidR="0008504F" w:rsidRDefault="0008504F">
      <w:pPr>
        <w:pStyle w:val="BodyText"/>
      </w:pPr>
    </w:p>
    <w:p w14:paraId="2DC16759" w14:textId="77777777" w:rsidR="0008504F" w:rsidRDefault="0008504F">
      <w:pPr>
        <w:pStyle w:val="FirstParagraph"/>
      </w:pPr>
    </w:p>
    <w:p w14:paraId="1F46C358" w14:textId="77777777" w:rsidR="00902DB3" w:rsidRDefault="00902DB3" w:rsidP="00902DB3">
      <w:pPr>
        <w:pStyle w:val="CaptionedFigure"/>
      </w:pPr>
      <w:r>
        <w:rPr>
          <w:noProof/>
        </w:rPr>
        <w:drawing>
          <wp:inline distT="0" distB="0" distL="0" distR="0" wp14:anchorId="78C0B798" wp14:editId="14503E01">
            <wp:extent cx="5334000" cy="2222500"/>
            <wp:effectExtent l="0" t="0" r="0" b="0"/>
            <wp:docPr id="1811223790" name="Picture" descr="Figure S2: Categories of the U.S. population by 2023-2024 COVID-19 vaccination status in the factual scenario and assumptions made in the counterfactual scenario (V=obtained a 2023-2024 COVID-19 vaccination; NV=did not obtain a 2023-2024 COVID-19 vaccination."/>
            <wp:cNvGraphicFramePr/>
            <a:graphic xmlns:a="http://schemas.openxmlformats.org/drawingml/2006/main">
              <a:graphicData uri="http://schemas.openxmlformats.org/drawingml/2006/picture">
                <pic:pic xmlns:pic="http://schemas.openxmlformats.org/drawingml/2006/picture">
                  <pic:nvPicPr>
                    <pic:cNvPr id="25" name="Picture" descr="burden_averted_supplement_2024-12-05_files/figure-docx/factual.cf.diagram1-1.png"/>
                    <pic:cNvPicPr>
                      <a:picLocks noChangeAspect="1" noChangeArrowheads="1"/>
                    </pic:cNvPicPr>
                  </pic:nvPicPr>
                  <pic:blipFill>
                    <a:blip r:embed="rId8"/>
                    <a:stretch>
                      <a:fillRect/>
                    </a:stretch>
                  </pic:blipFill>
                  <pic:spPr bwMode="auto">
                    <a:xfrm>
                      <a:off x="0" y="0"/>
                      <a:ext cx="5334000" cy="2222500"/>
                    </a:xfrm>
                    <a:prstGeom prst="rect">
                      <a:avLst/>
                    </a:prstGeom>
                    <a:noFill/>
                    <a:ln w="9525">
                      <a:noFill/>
                      <a:headEnd/>
                      <a:tailEnd/>
                    </a:ln>
                  </pic:spPr>
                </pic:pic>
              </a:graphicData>
            </a:graphic>
          </wp:inline>
        </w:drawing>
      </w:r>
    </w:p>
    <w:p w14:paraId="2DC1675B" w14:textId="4B54D82A" w:rsidR="0008504F" w:rsidRDefault="00A870C6">
      <w:pPr>
        <w:pStyle w:val="ImageCaption"/>
      </w:pPr>
      <w:r>
        <w:t xml:space="preserve">Figure S2: Categories of the U.S. population by 2023-2024 COVID-19 vaccination status in </w:t>
      </w:r>
      <w:r w:rsidR="00276000">
        <w:t xml:space="preserve">the factual scenario </w:t>
      </w:r>
      <w:r>
        <w:t xml:space="preserve">and assumptions made in the </w:t>
      </w:r>
      <w:r w:rsidR="002B657C">
        <w:t xml:space="preserve">counterfactual </w:t>
      </w:r>
      <w:r>
        <w:t>scenario (</w:t>
      </w:r>
      <m:oMath>
        <m:r>
          <w:rPr>
            <w:rFonts w:ascii="Cambria Math" w:hAnsi="Cambria Math"/>
          </w:rPr>
          <m:t>V</m:t>
        </m:r>
      </m:oMath>
      <w:r>
        <w:t xml:space="preserve">=obtained a 2023-2024 COVID-19 vaccination; </w:t>
      </w:r>
      <m:oMath>
        <m:r>
          <w:rPr>
            <w:rFonts w:ascii="Cambria Math" w:hAnsi="Cambria Math"/>
          </w:rPr>
          <m:t>NV</m:t>
        </m:r>
      </m:oMath>
      <w:r>
        <w:t>=did not obtain a 2023-2024 COVID-19 vaccination.</w:t>
      </w:r>
    </w:p>
    <w:p w14:paraId="2DC1675C" w14:textId="77777777" w:rsidR="0008504F" w:rsidRDefault="0008504F">
      <w:pPr>
        <w:pStyle w:val="BodyText"/>
      </w:pPr>
    </w:p>
    <w:p w14:paraId="2DC1675D" w14:textId="77777777" w:rsidR="0008504F" w:rsidRDefault="00A870C6">
      <w:pPr>
        <w:pStyle w:val="FirstParagraph"/>
      </w:pPr>
      <w:r>
        <w:t xml:space="preserve">Therefore, our goal was to determine the appropriate estimated probability to include in a product with </w:t>
      </w:r>
      <m:oMath>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oMath>
      <w:r>
        <w:t xml:space="preserve"> to determine </w:t>
      </w:r>
      <m:oMath>
        <m:r>
          <w:rPr>
            <w:rFonts w:ascii="Cambria Math" w:hAnsi="Cambria Math"/>
          </w:rPr>
          <m:t>C</m:t>
        </m:r>
        <m:d>
          <m:dPr>
            <m:ctrlPr>
              <w:rPr>
                <w:rFonts w:ascii="Cambria Math" w:hAnsi="Cambria Math"/>
              </w:rPr>
            </m:ctrlPr>
          </m:dPr>
          <m:e>
            <m:r>
              <w:rPr>
                <w:rFonts w:ascii="Cambria Math" w:hAnsi="Cambria Math"/>
              </w:rPr>
              <m:t>HA</m:t>
            </m:r>
          </m:e>
        </m:d>
      </m:oMath>
      <w:r>
        <w:t>, i.e.,</w:t>
      </w:r>
    </w:p>
    <w:p w14:paraId="2DC1675E" w14:textId="77777777" w:rsidR="0008504F" w:rsidRDefault="00A870C6">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HA</m:t>
              </m:r>
            </m:e>
          </m:d>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r>
            <m:rPr>
              <m:sty m:val="p"/>
            </m:rPr>
            <w:rPr>
              <w:rFonts w:ascii="Cambria Math" w:hAnsi="Cambria Math"/>
            </w:rPr>
            <m:t>*</m:t>
          </m:r>
          <m:r>
            <w:rPr>
              <w:rFonts w:ascii="Cambria Math" w:hAnsi="Cambria Math"/>
            </w:rPr>
            <m:t>γ</m:t>
          </m:r>
        </m:oMath>
      </m:oMathPara>
    </w:p>
    <w:p w14:paraId="2DC1675F" w14:textId="10F5A08C" w:rsidR="0008504F" w:rsidRDefault="00A870C6">
      <w:pPr>
        <w:pStyle w:val="FirstParagraph"/>
      </w:pPr>
      <w:r>
        <w:t xml:space="preserve">where </w:t>
      </w:r>
      <m:oMath>
        <m:r>
          <w:rPr>
            <w:rFonts w:ascii="Cambria Math" w:hAnsi="Cambria Math"/>
          </w:rPr>
          <m:t>γ</m:t>
        </m:r>
      </m:oMath>
      <w:r>
        <w:t xml:space="preserve"> is a probability denoting the likelihood of a person with a 2023-2024 COVID-19 vaccination and no COVID-19-associated hospitalization </w:t>
      </w:r>
      <w:proofErr w:type="gramStart"/>
      <w:r>
        <w:t>in reality experiencing</w:t>
      </w:r>
      <w:proofErr w:type="gramEnd"/>
      <w:r>
        <w:t xml:space="preserve"> a COVID-19-associated hospitalization without the presence of 2023-2024 COVID-19 vaccination in the </w:t>
      </w:r>
      <w:r w:rsidR="002B657C">
        <w:t xml:space="preserve">counterfactual </w:t>
      </w:r>
      <w:r>
        <w:t>scenario.</w:t>
      </w:r>
    </w:p>
    <w:p w14:paraId="2DC16760" w14:textId="77777777" w:rsidR="0008504F" w:rsidRDefault="00A870C6">
      <w:pPr>
        <w:pStyle w:val="BodyText"/>
      </w:pPr>
      <w:r>
        <w:t xml:space="preserve">We considered several possible estimators for </w:t>
      </w:r>
      <m:oMath>
        <m:r>
          <w:rPr>
            <w:rFonts w:ascii="Cambria Math" w:hAnsi="Cambria Math"/>
          </w:rPr>
          <m:t>γ</m:t>
        </m:r>
      </m:oMath>
      <w:r>
        <w:t>, including</w:t>
      </w:r>
    </w:p>
    <w:p w14:paraId="2DC16761" w14:textId="77777777" w:rsidR="0008504F" w:rsidRDefault="00A870C6">
      <w:pPr>
        <w:pStyle w:val="Compact"/>
        <w:numPr>
          <w:ilvl w:val="0"/>
          <w:numId w:val="5"/>
        </w:numPr>
      </w:pPr>
      <m:oMath>
        <m:r>
          <w:rPr>
            <w:rFonts w:ascii="Cambria Math" w:hAnsi="Cambria Math"/>
          </w:rPr>
          <m:t>γ</m:t>
        </m:r>
        <m:r>
          <m:rPr>
            <m:sty m:val="p"/>
          </m:rPr>
          <w:rPr>
            <w:rFonts w:ascii="Cambria Math" w:hAnsi="Cambria Math"/>
          </w:rPr>
          <m:t>=Pr</m:t>
        </m:r>
        <m:d>
          <m:dPr>
            <m:ctrlPr>
              <w:rPr>
                <w:rFonts w:ascii="Cambria Math" w:hAnsi="Cambria Math"/>
              </w:rPr>
            </m:ctrlPr>
          </m:dPr>
          <m:e>
            <m:r>
              <w:rPr>
                <w:rFonts w:ascii="Cambria Math" w:hAnsi="Cambria Math"/>
              </w:rPr>
              <m:t>H</m:t>
            </m:r>
          </m:e>
        </m:d>
      </m:oMath>
      <w:r>
        <w:t>;</w:t>
      </w:r>
    </w:p>
    <w:p w14:paraId="2DC16762" w14:textId="77777777" w:rsidR="0008504F" w:rsidRDefault="00A870C6">
      <w:pPr>
        <w:pStyle w:val="Compact"/>
        <w:numPr>
          <w:ilvl w:val="0"/>
          <w:numId w:val="5"/>
        </w:numPr>
      </w:pPr>
      <m:oMath>
        <m:r>
          <w:rPr>
            <w:rFonts w:ascii="Cambria Math" w:hAnsi="Cambria Math"/>
          </w:rPr>
          <m:t>γ</m:t>
        </m:r>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w:t>
      </w:r>
    </w:p>
    <w:p w14:paraId="2DC16763" w14:textId="77777777" w:rsidR="0008504F" w:rsidRDefault="00A870C6">
      <w:pPr>
        <w:pStyle w:val="Compact"/>
        <w:numPr>
          <w:ilvl w:val="0"/>
          <w:numId w:val="5"/>
        </w:numPr>
      </w:pPr>
      <m:oMath>
        <m:r>
          <w:rPr>
            <w:rFonts w:ascii="Cambria Math" w:hAnsi="Cambria Math"/>
          </w:rPr>
          <w:lastRenderedPageBreak/>
          <m:t>γ</m:t>
        </m:r>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NV</m:t>
            </m:r>
          </m:e>
        </m:d>
      </m:oMath>
      <w:r>
        <w:t>; and</w:t>
      </w:r>
    </w:p>
    <w:p w14:paraId="2DC16764" w14:textId="77777777" w:rsidR="0008504F" w:rsidRDefault="00A870C6">
      <w:pPr>
        <w:pStyle w:val="Compact"/>
        <w:numPr>
          <w:ilvl w:val="0"/>
          <w:numId w:val="5"/>
        </w:numPr>
      </w:pP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r>
          <m:rPr>
            <m:sty m:val="p"/>
          </m:rPr>
          <w:rPr>
            <w:rFonts w:ascii="Cambria Math" w:hAnsi="Cambria Math"/>
          </w:rPr>
          <m:t>≤</m:t>
        </m:r>
        <m:r>
          <w:rPr>
            <w:rFonts w:ascii="Cambria Math" w:hAnsi="Cambria Math"/>
          </w:rPr>
          <m:t>γ</m:t>
        </m:r>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NV</m:t>
            </m:r>
          </m:e>
        </m:d>
      </m:oMath>
      <w:r>
        <w:t>.</w:t>
      </w:r>
    </w:p>
    <w:p w14:paraId="2DC16765" w14:textId="77777777" w:rsidR="0008504F" w:rsidRDefault="00A870C6">
      <w:pPr>
        <w:pStyle w:val="FirstParagraph"/>
      </w:pPr>
      <w:r>
        <w:t xml:space="preserve">Differences in the averted burden estimates derived using these candidate estimators </w:t>
      </w:r>
      <m:oMath>
        <m:r>
          <w:rPr>
            <w:rFonts w:ascii="Cambria Math" w:hAnsi="Cambria Math"/>
          </w:rPr>
          <m:t>γ</m:t>
        </m:r>
      </m:oMath>
      <w:r>
        <w:t xml:space="preserve"> are presented in the results section of the main manuscript. Comparison of these results indicated that </w:t>
      </w:r>
      <m:oMath>
        <m:r>
          <w:rPr>
            <w:rFonts w:ascii="Cambria Math" w:hAnsi="Cambria Math"/>
          </w:rPr>
          <m:t>γ</m:t>
        </m:r>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yielded the most logical results leading to estimation of </w:t>
      </w:r>
      <m:oMath>
        <m:r>
          <w:rPr>
            <w:rFonts w:ascii="Cambria Math" w:hAnsi="Cambria Math"/>
          </w:rPr>
          <m:t>C</m:t>
        </m:r>
        <m:d>
          <m:dPr>
            <m:ctrlPr>
              <w:rPr>
                <w:rFonts w:ascii="Cambria Math" w:hAnsi="Cambria Math"/>
              </w:rPr>
            </m:ctrlPr>
          </m:dPr>
          <m:e>
            <m:r>
              <w:rPr>
                <w:rFonts w:ascii="Cambria Math" w:hAnsi="Cambria Math"/>
              </w:rPr>
              <m:t>HA</m:t>
            </m:r>
          </m:e>
        </m:d>
      </m:oMath>
      <w:r>
        <w:t xml:space="preserve"> as</w:t>
      </w:r>
    </w:p>
    <w:p w14:paraId="2DC16766" w14:textId="77777777" w:rsidR="0008504F" w:rsidRDefault="00A870C6">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HA</m:t>
              </m:r>
            </m:e>
          </m:d>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r>
            <m:rPr>
              <m:sty m:val="p"/>
            </m:rPr>
            <w:rPr>
              <w:rFonts w:ascii="Cambria Math" w:hAnsi="Cambria Math"/>
            </w:rPr>
            <m:t>.</m:t>
          </m:r>
        </m:oMath>
      </m:oMathPara>
    </w:p>
    <w:p w14:paraId="2DC16767" w14:textId="3A1CD3CE" w:rsidR="0008504F" w:rsidRDefault="00A870C6">
      <w:pPr>
        <w:pStyle w:val="FirstParagraph"/>
      </w:pPr>
      <w:r>
        <w:t xml:space="preserve">Our initial hope was that the assumption would provide a conservative estimate of </w:t>
      </w:r>
      <m:oMath>
        <m:r>
          <w:rPr>
            <w:rFonts w:ascii="Cambria Math" w:hAnsi="Cambria Math"/>
          </w:rPr>
          <m:t>C</m:t>
        </m:r>
        <m:d>
          <m:dPr>
            <m:ctrlPr>
              <w:rPr>
                <w:rFonts w:ascii="Cambria Math" w:hAnsi="Cambria Math"/>
              </w:rPr>
            </m:ctrlPr>
          </m:dPr>
          <m:e>
            <m:r>
              <w:rPr>
                <w:rFonts w:ascii="Cambria Math" w:hAnsi="Cambria Math"/>
              </w:rPr>
              <m:t>HA</m:t>
            </m:r>
          </m:e>
        </m:d>
      </m:oMath>
      <w:r>
        <w:t xml:space="preserve"> since our thinking was that the probability of COVID-19-associated hospitalization for </w:t>
      </w:r>
      <m:oMath>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oMath>
      <w:r>
        <w:t xml:space="preserve"> would be higher than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in the </w:t>
      </w:r>
      <w:r w:rsidR="002B657C">
        <w:t xml:space="preserve">counterfactual </w:t>
      </w:r>
      <w:r>
        <w:t xml:space="preserve">condition. Though, our comparison function suggested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NV</m:t>
            </m:r>
          </m:e>
        </m:d>
      </m:oMath>
      <w:r>
        <w:t xml:space="preserve"> is too high and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may not provide a conservative estimate. Our rationale is that people in </w:t>
      </w:r>
      <m:oMath>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oMath>
      <w:r>
        <w:t xml:space="preserve"> likely engage in other risk-reducing behaviors, and people in </w:t>
      </w:r>
      <m:oMath>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oMath>
      <w:r>
        <w:t xml:space="preserve"> are likely to have received prior vaccinations thus potentially reducing their risk of severe COVID-19-associated outcomes.</w:t>
      </w:r>
    </w:p>
    <w:p w14:paraId="2DC16768" w14:textId="77777777" w:rsidR="0008504F" w:rsidRDefault="0008504F">
      <w:pPr>
        <w:pStyle w:val="BodyText"/>
      </w:pPr>
    </w:p>
    <w:p w14:paraId="2DC16769" w14:textId="77777777" w:rsidR="0008504F" w:rsidRDefault="00A870C6">
      <w:pPr>
        <w:pStyle w:val="Heading3"/>
      </w:pPr>
      <w:bookmarkStart w:id="6" w:name="_Toc184289782"/>
      <w:bookmarkStart w:id="7" w:name="Xe4222993d45165ffc888336eee8be70a4e74955"/>
      <w:bookmarkEnd w:id="5"/>
      <w:r>
        <w:t>Estimate adjusted for people with immunocompromising conditions</w:t>
      </w:r>
      <w:bookmarkEnd w:id="6"/>
    </w:p>
    <w:p w14:paraId="2DC1676A" w14:textId="77777777" w:rsidR="0008504F" w:rsidRDefault="00A870C6">
      <w:pPr>
        <w:pStyle w:val="FirstParagraph"/>
      </w:pPr>
      <w:r>
        <w:t xml:space="preserve">Our approach for accounting for people with immunocompromising conditions is to split </w:t>
      </w:r>
      <m:oMath>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oMath>
      <w:r>
        <w:t xml:space="preserve"> into four groups as depicted in Figures 1 and S1 where</w:t>
      </w:r>
    </w:p>
    <w:p w14:paraId="2DC1676B" w14:textId="77777777" w:rsidR="0008504F" w:rsidRDefault="00A870C6">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HA</m:t>
              </m:r>
            </m:e>
          </m:d>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m:oMathPara>
    </w:p>
    <w:p w14:paraId="2DC1676C" w14:textId="77777777" w:rsidR="0008504F" w:rsidRDefault="00A870C6">
      <w:pPr>
        <w:pStyle w:val="FirstParagraph"/>
      </w:pPr>
      <w:r>
        <w:t>is modified to become</w:t>
      </w:r>
    </w:p>
    <w:p w14:paraId="2DC1676D" w14:textId="77777777" w:rsidR="0008504F" w:rsidRDefault="00A870C6">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H</m:t>
              </m:r>
              <m:sSub>
                <m:sSubPr>
                  <m:ctrlPr>
                    <w:rPr>
                      <w:rFonts w:ascii="Cambria Math" w:hAnsi="Cambria Math"/>
                    </w:rPr>
                  </m:ctrlPr>
                </m:sSubPr>
                <m:e>
                  <m:r>
                    <w:rPr>
                      <w:rFonts w:ascii="Cambria Math" w:hAnsi="Cambria Math"/>
                    </w:rPr>
                    <m:t>A</m:t>
                  </m:r>
                </m:e>
                <m:sub>
                  <m:r>
                    <w:rPr>
                      <w:rFonts w:ascii="Cambria Math" w:hAnsi="Cambria Math"/>
                    </w:rPr>
                    <m:t>IC</m:t>
                  </m:r>
                </m:sub>
              </m:sSub>
            </m:e>
          </m:d>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HA</m:t>
              </m:r>
              <m:r>
                <m:rPr>
                  <m:sty m:val="p"/>
                </m:rPr>
                <w:rPr>
                  <w:rFonts w:ascii="Cambria Math" w:hAnsi="Cambria Math"/>
                </w:rPr>
                <m:t>∣</m:t>
              </m:r>
              <m:r>
                <w:rPr>
                  <w:rFonts w:ascii="Cambria Math" w:hAnsi="Cambria Math"/>
                </w:rPr>
                <m:t>NIC</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NH</m:t>
              </m:r>
            </m:e>
          </m:d>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HA</m:t>
              </m:r>
              <m:r>
                <m:rPr>
                  <m:sty m:val="p"/>
                </m:rPr>
                <w:rPr>
                  <w:rFonts w:ascii="Cambria Math" w:hAnsi="Cambria Math"/>
                </w:rPr>
                <m:t>∣</m:t>
              </m:r>
              <m:r>
                <w:rPr>
                  <w:rFonts w:ascii="Cambria Math" w:hAnsi="Cambria Math"/>
                </w:rPr>
                <m:t>IC</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NH</m:t>
              </m:r>
            </m:e>
          </m:d>
        </m:oMath>
      </m:oMathPara>
    </w:p>
    <w:p w14:paraId="2DC1676E" w14:textId="77777777" w:rsidR="0008504F" w:rsidRDefault="00A870C6">
      <w:pPr>
        <w:pStyle w:val="FirstParagraph"/>
      </w:pPr>
      <w:r>
        <w:t xml:space="preserve">where </w:t>
      </w:r>
      <m:oMath>
        <m:r>
          <w:rPr>
            <w:rFonts w:ascii="Cambria Math" w:hAnsi="Cambria Math"/>
          </w:rPr>
          <m:t>IC</m:t>
        </m:r>
      </m:oMath>
      <w:r>
        <w:t xml:space="preserve"> stands for immunocompromised and </w:t>
      </w:r>
      <m:oMath>
        <m:r>
          <w:rPr>
            <w:rFonts w:ascii="Cambria Math" w:hAnsi="Cambria Math"/>
          </w:rPr>
          <m:t>NIC</m:t>
        </m:r>
      </m:oMath>
      <w:r>
        <w:t xml:space="preserve"> indicates not immunocompromised. We can expand this formula to</w:t>
      </w:r>
    </w:p>
    <w:p w14:paraId="2DC1676F" w14:textId="77777777" w:rsidR="0008504F" w:rsidRDefault="00A870C6">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H</m:t>
              </m:r>
              <m:sSub>
                <m:sSubPr>
                  <m:ctrlPr>
                    <w:rPr>
                      <w:rFonts w:ascii="Cambria Math" w:hAnsi="Cambria Math"/>
                    </w:rPr>
                  </m:ctrlPr>
                </m:sSubPr>
                <m:e>
                  <m:r>
                    <w:rPr>
                      <w:rFonts w:ascii="Cambria Math" w:hAnsi="Cambria Math"/>
                    </w:rPr>
                    <m:t>A</m:t>
                  </m:r>
                </m:e>
                <m:sub>
                  <m:r>
                    <w:rPr>
                      <w:rFonts w:ascii="Cambria Math" w:hAnsi="Cambria Math"/>
                    </w:rPr>
                    <m:t>IC</m:t>
                  </m:r>
                </m:sub>
              </m:sSub>
            </m:e>
          </m:d>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IC</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NH</m:t>
              </m:r>
            </m:e>
          </m:d>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IC</m:t>
              </m:r>
              <m:r>
                <m:rPr>
                  <m:sty m:val="p"/>
                </m:rPr>
                <w:rPr>
                  <w:rFonts w:ascii="Cambria Math" w:hAnsi="Cambria Math"/>
                </w:rPr>
                <m:t>,</m:t>
              </m:r>
              <m:r>
                <w:rPr>
                  <w:rFonts w:ascii="Cambria Math" w:hAnsi="Cambria Math"/>
                </w:rPr>
                <m:t>V</m:t>
              </m:r>
            </m:e>
          </m:d>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NIC</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NH</m:t>
              </m:r>
            </m:e>
          </m:d>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NIC</m:t>
              </m:r>
              <m:r>
                <m:rPr>
                  <m:sty m:val="p"/>
                </m:rPr>
                <w:rPr>
                  <w:rFonts w:ascii="Cambria Math" w:hAnsi="Cambria Math"/>
                </w:rPr>
                <m:t>,</m:t>
              </m:r>
              <m:r>
                <w:rPr>
                  <w:rFonts w:ascii="Cambria Math" w:hAnsi="Cambria Math"/>
                </w:rPr>
                <m:t>V</m:t>
              </m:r>
            </m:e>
          </m:d>
        </m:oMath>
      </m:oMathPara>
    </w:p>
    <w:p w14:paraId="2DC16770" w14:textId="77777777" w:rsidR="0008504F" w:rsidRDefault="00A870C6">
      <w:pPr>
        <w:pStyle w:val="FirstParagraph"/>
      </w:pPr>
      <w:r>
        <w:t xml:space="preserve">which breaks </w:t>
      </w:r>
      <m:oMath>
        <m:r>
          <w:rPr>
            <w:rFonts w:ascii="Cambria Math" w:hAnsi="Cambria Math"/>
          </w:rPr>
          <m:t>C</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NH</m:t>
            </m:r>
          </m:e>
        </m:d>
      </m:oMath>
      <w:r>
        <w:t xml:space="preserve"> into two groups based on immunocompromised status and then utilizes a different probability of COVID-19-associated hospitalization for each. This can be visualized in Figure S3.</w:t>
      </w:r>
    </w:p>
    <w:p w14:paraId="2DC16771" w14:textId="77777777" w:rsidR="0008504F" w:rsidRDefault="0008504F">
      <w:pPr>
        <w:pStyle w:val="BodyText"/>
      </w:pPr>
    </w:p>
    <w:p w14:paraId="2DC16772" w14:textId="77777777" w:rsidR="0008504F" w:rsidRDefault="00A870C6">
      <w:pPr>
        <w:pStyle w:val="CaptionedFigure"/>
      </w:pPr>
      <w:r>
        <w:rPr>
          <w:noProof/>
        </w:rPr>
        <w:lastRenderedPageBreak/>
        <w:drawing>
          <wp:inline distT="0" distB="0" distL="0" distR="0" wp14:anchorId="2DC16D43" wp14:editId="2DC16D44">
            <wp:extent cx="2310063" cy="3234088"/>
            <wp:effectExtent l="0" t="0" r="0" b="0"/>
            <wp:docPr id="28" name="Picture" descr="Figure S3: Illustration that the quantity of interest, the number of COVID-19-associated hospitalizations averted by 2023-2024 COVID-19 vaccination or C(HA), is a subset of C(V,NH)."/>
            <wp:cNvGraphicFramePr/>
            <a:graphic xmlns:a="http://schemas.openxmlformats.org/drawingml/2006/main">
              <a:graphicData uri="http://schemas.openxmlformats.org/drawingml/2006/picture">
                <pic:pic xmlns:pic="http://schemas.openxmlformats.org/drawingml/2006/picture">
                  <pic:nvPicPr>
                    <pic:cNvPr id="29" name="Picture" descr="burden_averted_supplement_2024-10-30_files/figure-docx/ic.diagram-1.png"/>
                    <pic:cNvPicPr>
                      <a:picLocks noChangeAspect="1" noChangeArrowheads="1"/>
                    </pic:cNvPicPr>
                  </pic:nvPicPr>
                  <pic:blipFill>
                    <a:blip r:embed="rId9"/>
                    <a:stretch>
                      <a:fillRect/>
                    </a:stretch>
                  </pic:blipFill>
                  <pic:spPr bwMode="auto">
                    <a:xfrm>
                      <a:off x="0" y="0"/>
                      <a:ext cx="2310063" cy="3234088"/>
                    </a:xfrm>
                    <a:prstGeom prst="rect">
                      <a:avLst/>
                    </a:prstGeom>
                    <a:noFill/>
                    <a:ln w="9525">
                      <a:noFill/>
                      <a:headEnd/>
                      <a:tailEnd/>
                    </a:ln>
                  </pic:spPr>
                </pic:pic>
              </a:graphicData>
            </a:graphic>
          </wp:inline>
        </w:drawing>
      </w:r>
    </w:p>
    <w:p w14:paraId="2DC16773" w14:textId="77777777" w:rsidR="0008504F" w:rsidRDefault="00A870C6">
      <w:pPr>
        <w:pStyle w:val="ImageCaption"/>
      </w:pPr>
      <w:r>
        <w:t xml:space="preserve">Figure S3: Illustration that the quantity of interest, the number of COVID-19-associated hospitalizations averted by 2023-2024 COVID-19 vaccination or </w:t>
      </w:r>
      <m:oMath>
        <m:r>
          <w:rPr>
            <w:rFonts w:ascii="Cambria Math" w:hAnsi="Cambria Math"/>
          </w:rPr>
          <m:t>C</m:t>
        </m:r>
        <m:d>
          <m:dPr>
            <m:ctrlPr>
              <w:rPr>
                <w:rFonts w:ascii="Cambria Math" w:hAnsi="Cambria Math"/>
              </w:rPr>
            </m:ctrlPr>
          </m:dPr>
          <m:e>
            <m:r>
              <w:rPr>
                <w:rFonts w:ascii="Cambria Math" w:hAnsi="Cambria Math"/>
              </w:rPr>
              <m:t>HA</m:t>
            </m:r>
          </m:e>
        </m:d>
      </m:oMath>
      <w:r>
        <w:t xml:space="preserve">, is a subset of </w:t>
      </w:r>
      <m:oMath>
        <m:r>
          <w:rPr>
            <w:rFonts w:ascii="Cambria Math" w:hAnsi="Cambria Math"/>
          </w:rPr>
          <m:t>C</m:t>
        </m:r>
        <m:d>
          <m:dPr>
            <m:ctrlPr>
              <w:rPr>
                <w:rFonts w:ascii="Cambria Math" w:hAnsi="Cambria Math"/>
              </w:rPr>
            </m:ctrlPr>
          </m:dPr>
          <m:e>
            <m:r>
              <w:rPr>
                <w:rFonts w:ascii="Cambria Math" w:hAnsi="Cambria Math"/>
              </w:rPr>
              <m:t>V,NH</m:t>
            </m:r>
          </m:e>
        </m:d>
      </m:oMath>
      <w:r>
        <w:t>.</w:t>
      </w:r>
    </w:p>
    <w:p w14:paraId="2DC16774" w14:textId="77777777" w:rsidR="0008504F" w:rsidRDefault="0008504F">
      <w:pPr>
        <w:pStyle w:val="BodyText"/>
      </w:pPr>
    </w:p>
    <w:p w14:paraId="2DC16775" w14:textId="77777777" w:rsidR="0008504F" w:rsidRDefault="00A870C6">
      <w:pPr>
        <w:pStyle w:val="FirstParagraph"/>
      </w:pPr>
      <w:r>
        <w:t xml:space="preserve">We were unable to find national estimates of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IC</m:t>
            </m:r>
            <m:r>
              <m:rPr>
                <m:sty m:val="p"/>
              </m:rPr>
              <w:rPr>
                <w:rFonts w:ascii="Cambria Math" w:hAnsi="Cambria Math"/>
              </w:rPr>
              <m:t>,</m:t>
            </m:r>
            <m:r>
              <w:rPr>
                <w:rFonts w:ascii="Cambria Math" w:hAnsi="Cambria Math"/>
              </w:rPr>
              <m:t>V</m:t>
            </m:r>
          </m:e>
        </m:d>
      </m:oMath>
      <w:r>
        <w:t xml:space="preserve"> and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NIC</m:t>
            </m:r>
            <m:r>
              <m:rPr>
                <m:sty m:val="p"/>
              </m:rPr>
              <w:rPr>
                <w:rFonts w:ascii="Cambria Math" w:hAnsi="Cambria Math"/>
              </w:rPr>
              <m:t>,</m:t>
            </m:r>
            <m:r>
              <w:rPr>
                <w:rFonts w:ascii="Cambria Math" w:hAnsi="Cambria Math"/>
              </w:rPr>
              <m:t>V</m:t>
            </m:r>
          </m:e>
        </m:d>
      </m:oMath>
      <w:r>
        <w:t xml:space="preserve">. Therefore, we further modified the formula to incorporate ratios of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IC</m:t>
            </m:r>
            <m:r>
              <m:rPr>
                <m:sty m:val="p"/>
              </m:rPr>
              <w:rPr>
                <w:rFonts w:ascii="Cambria Math" w:hAnsi="Cambria Math"/>
              </w:rPr>
              <m:t>,</m:t>
            </m:r>
            <m:r>
              <w:rPr>
                <w:rFonts w:ascii="Cambria Math" w:hAnsi="Cambria Math"/>
              </w:rPr>
              <m:t>V</m:t>
            </m:r>
          </m:e>
        </m:d>
      </m:oMath>
      <w:r>
        <w:t xml:space="preserve"> and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NIC</m:t>
            </m:r>
            <m:r>
              <m:rPr>
                <m:sty m:val="p"/>
              </m:rPr>
              <w:rPr>
                <w:rFonts w:ascii="Cambria Math" w:hAnsi="Cambria Math"/>
              </w:rPr>
              <m:t>,</m:t>
            </m:r>
            <m:r>
              <w:rPr>
                <w:rFonts w:ascii="Cambria Math" w:hAnsi="Cambria Math"/>
              </w:rPr>
              <m:t>V</m:t>
            </m:r>
          </m:e>
        </m:d>
      </m:oMath>
      <w:r>
        <w:t xml:space="preserve"> to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from different populations or subsets of the U.S. population in order to take into account differences in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between data sources. Thus, our formula for </w:t>
      </w:r>
      <m:oMath>
        <m:r>
          <w:rPr>
            <w:rFonts w:ascii="Cambria Math" w:hAnsi="Cambria Math"/>
          </w:rPr>
          <m:t>C</m:t>
        </m:r>
        <m:d>
          <m:dPr>
            <m:ctrlPr>
              <w:rPr>
                <w:rFonts w:ascii="Cambria Math" w:hAnsi="Cambria Math"/>
              </w:rPr>
            </m:ctrlPr>
          </m:dPr>
          <m:e>
            <m:r>
              <w:rPr>
                <w:rFonts w:ascii="Cambria Math" w:hAnsi="Cambria Math"/>
              </w:rPr>
              <m:t>HA</m:t>
            </m:r>
          </m:e>
        </m:d>
      </m:oMath>
      <w:r>
        <w:t xml:space="preserve"> became</w:t>
      </w:r>
    </w:p>
    <w:p w14:paraId="2DC16776" w14:textId="77777777" w:rsidR="0008504F" w:rsidRDefault="00F54C8E">
      <w:pPr>
        <w:pStyle w:val="BodyText"/>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r>
                  <w:rPr>
                    <w:rFonts w:ascii="Cambria Math" w:hAnsi="Cambria Math"/>
                  </w:rPr>
                  <m:t>C</m:t>
                </m:r>
                <m:d>
                  <m:dPr>
                    <m:ctrlPr>
                      <w:rPr>
                        <w:rFonts w:ascii="Cambria Math" w:hAnsi="Cambria Math"/>
                      </w:rPr>
                    </m:ctrlPr>
                  </m:dPr>
                  <m:e>
                    <m:r>
                      <w:rPr>
                        <w:rFonts w:ascii="Cambria Math" w:hAnsi="Cambria Math"/>
                      </w:rPr>
                      <m:t>H</m:t>
                    </m:r>
                    <m:sSub>
                      <m:sSubPr>
                        <m:ctrlPr>
                          <w:rPr>
                            <w:rFonts w:ascii="Cambria Math" w:hAnsi="Cambria Math"/>
                          </w:rPr>
                        </m:ctrlPr>
                      </m:sSubPr>
                      <m:e>
                        <m:r>
                          <w:rPr>
                            <w:rFonts w:ascii="Cambria Math" w:hAnsi="Cambria Math"/>
                          </w:rPr>
                          <m:t>A</m:t>
                        </m:r>
                      </m:e>
                      <m:sub>
                        <m:r>
                          <w:rPr>
                            <w:rFonts w:ascii="Cambria Math" w:hAnsi="Cambria Math"/>
                          </w:rPr>
                          <m:t>IC</m:t>
                        </m:r>
                      </m:sub>
                    </m:sSub>
                  </m:e>
                </m:d>
                <m:r>
                  <m:rPr>
                    <m:sty m:val="p"/>
                  </m:rPr>
                  <w:rPr>
                    <w:rFonts w:ascii="Cambria Math" w:hAnsi="Cambria Math"/>
                  </w:rPr>
                  <m:t>=</m:t>
                </m:r>
              </m:e>
              <m:e>
                <m:r>
                  <w:rPr>
                    <w:rFonts w:ascii="Cambria Math" w:hAnsi="Cambria Math"/>
                  </w:rPr>
                  <m:t> </m:t>
                </m:r>
                <m:r>
                  <w:rPr>
                    <w:rFonts w:ascii="Cambria Math" w:hAnsi="Cambria Math"/>
                  </w:rPr>
                  <m:t>C</m:t>
                </m:r>
                <m:d>
                  <m:dPr>
                    <m:ctrlPr>
                      <w:rPr>
                        <w:rFonts w:ascii="Cambria Math" w:hAnsi="Cambria Math"/>
                      </w:rPr>
                    </m:ctrlPr>
                  </m:dPr>
                  <m:e>
                    <m:r>
                      <w:rPr>
                        <w:rFonts w:ascii="Cambria Math" w:hAnsi="Cambria Math"/>
                      </w:rPr>
                      <m:t>IC</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NH</m:t>
                    </m:r>
                  </m:e>
                </m:d>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r>
                      <m:rPr>
                        <m:sty m:val="p"/>
                      </m:rPr>
                      <w:rPr>
                        <w:rFonts w:ascii="Cambria Math" w:hAnsi="Cambria Math"/>
                      </w:rPr>
                      <m:t>*</m:t>
                    </m:r>
                    <m:f>
                      <m:fPr>
                        <m:ctrlPr>
                          <w:rPr>
                            <w:rFonts w:ascii="Cambria Math" w:hAnsi="Cambria Math"/>
                          </w:rPr>
                        </m:ctrlPr>
                      </m:fPr>
                      <m:num>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r>
                              <w:rPr>
                                <w:rFonts w:ascii="Cambria Math" w:hAnsi="Cambria Math"/>
                              </w:rPr>
                              <m:t>I</m:t>
                            </m:r>
                            <m:sSub>
                              <m:sSubPr>
                                <m:ctrlPr>
                                  <w:rPr>
                                    <w:rFonts w:ascii="Cambria Math" w:hAnsi="Cambria Math"/>
                                  </w:rPr>
                                </m:ctrlPr>
                              </m:sSubPr>
                              <m:e>
                                <m:r>
                                  <w:rPr>
                                    <w:rFonts w:ascii="Cambria Math" w:hAnsi="Cambria Math"/>
                                  </w:rPr>
                                  <m:t>C</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num>
                      <m:den>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den>
                    </m:f>
                  </m:e>
                </m:d>
                <m:r>
                  <m:rPr>
                    <m:sty m:val="p"/>
                  </m:rPr>
                  <w:rPr>
                    <w:rFonts w:ascii="Cambria Math" w:hAnsi="Cambria Math"/>
                  </w:rPr>
                  <m:t>+</m:t>
                </m:r>
              </m:e>
            </m:mr>
            <m:mr>
              <m:e/>
              <m:e>
                <m:r>
                  <w:rPr>
                    <w:rFonts w:ascii="Cambria Math" w:hAnsi="Cambria Math"/>
                  </w:rPr>
                  <m:t> </m:t>
                </m:r>
                <m:r>
                  <w:rPr>
                    <w:rFonts w:ascii="Cambria Math" w:hAnsi="Cambria Math"/>
                  </w:rPr>
                  <m:t>C</m:t>
                </m:r>
                <m:d>
                  <m:dPr>
                    <m:ctrlPr>
                      <w:rPr>
                        <w:rFonts w:ascii="Cambria Math" w:hAnsi="Cambria Math"/>
                      </w:rPr>
                    </m:ctrlPr>
                  </m:dPr>
                  <m:e>
                    <m:r>
                      <w:rPr>
                        <w:rFonts w:ascii="Cambria Math" w:hAnsi="Cambria Math"/>
                      </w:rPr>
                      <m:t>NIC</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NH</m:t>
                    </m:r>
                  </m:e>
                </m:d>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r>
                      <m:rPr>
                        <m:sty m:val="p"/>
                      </m:rPr>
                      <w:rPr>
                        <w:rFonts w:ascii="Cambria Math" w:hAnsi="Cambria Math"/>
                      </w:rPr>
                      <m:t>*</m:t>
                    </m:r>
                    <m:f>
                      <m:fPr>
                        <m:ctrlPr>
                          <w:rPr>
                            <w:rFonts w:ascii="Cambria Math" w:hAnsi="Cambria Math"/>
                          </w:rPr>
                        </m:ctrlPr>
                      </m:fPr>
                      <m:num>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r>
                              <w:rPr>
                                <w:rFonts w:ascii="Cambria Math" w:hAnsi="Cambria Math"/>
                              </w:rPr>
                              <m:t>NI</m:t>
                            </m:r>
                            <m:sSub>
                              <m:sSubPr>
                                <m:ctrlPr>
                                  <w:rPr>
                                    <w:rFonts w:ascii="Cambria Math" w:hAnsi="Cambria Math"/>
                                  </w:rPr>
                                </m:ctrlPr>
                              </m:sSubPr>
                              <m:e>
                                <m:r>
                                  <w:rPr>
                                    <w:rFonts w:ascii="Cambria Math" w:hAnsi="Cambria Math"/>
                                  </w:rPr>
                                  <m:t>C</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num>
                      <m:den>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den>
                    </m:f>
                  </m:e>
                </m:d>
              </m:e>
            </m:mr>
          </m:m>
        </m:oMath>
      </m:oMathPara>
    </w:p>
    <w:p w14:paraId="2DC16777" w14:textId="77777777" w:rsidR="0008504F" w:rsidRDefault="00A870C6">
      <w:pPr>
        <w:pStyle w:val="FirstParagraph"/>
      </w:pPr>
      <w:r>
        <w:t xml:space="preserve">where </w:t>
      </w:r>
      <m:oMath>
        <m:r>
          <w:rPr>
            <w:rFonts w:ascii="Cambria Math" w:hAnsi="Cambria Math"/>
          </w:rPr>
          <m:t>A</m:t>
        </m:r>
      </m:oMath>
      <w:r>
        <w:t xml:space="preserve"> indicates the data came from an alternative or external source.</w:t>
      </w:r>
    </w:p>
    <w:p w14:paraId="2DC16778" w14:textId="77777777" w:rsidR="0008504F" w:rsidRDefault="00A870C6">
      <w:pPr>
        <w:pStyle w:val="BodyText"/>
      </w:pPr>
      <w:r>
        <w:t>For instance, using Evans et al. [1] the ratio for IC is</w:t>
      </w:r>
    </w:p>
    <w:p w14:paraId="2DC16779" w14:textId="77777777" w:rsidR="0008504F" w:rsidRDefault="00F54C8E">
      <w:pPr>
        <w:pStyle w:val="BodyText"/>
      </w:pPr>
      <m:oMathPara>
        <m:oMathParaPr>
          <m:jc m:val="center"/>
        </m:oMathParaPr>
        <m:oMath>
          <m:f>
            <m:fPr>
              <m:ctrlPr>
                <w:rPr>
                  <w:rFonts w:ascii="Cambria Math" w:hAnsi="Cambria Math"/>
                </w:rPr>
              </m:ctrlPr>
            </m:fPr>
            <m:num>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r>
                    <w:rPr>
                      <w:rFonts w:ascii="Cambria Math" w:hAnsi="Cambria Math"/>
                    </w:rPr>
                    <m:t>I</m:t>
                  </m:r>
                  <m:sSub>
                    <m:sSubPr>
                      <m:ctrlPr>
                        <w:rPr>
                          <w:rFonts w:ascii="Cambria Math" w:hAnsi="Cambria Math"/>
                        </w:rPr>
                      </m:ctrlPr>
                    </m:sSubPr>
                    <m:e>
                      <m:r>
                        <w:rPr>
                          <w:rFonts w:ascii="Cambria Math" w:hAnsi="Cambria Math"/>
                        </w:rPr>
                        <m:t>C</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num>
            <m:den>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den>
          </m:f>
          <m:r>
            <m:rPr>
              <m:sty m:val="p"/>
            </m:rPr>
            <w:rPr>
              <w:rFonts w:ascii="Cambria Math" w:hAnsi="Cambria Math"/>
            </w:rPr>
            <m:t>=</m:t>
          </m:r>
          <m:f>
            <m:fPr>
              <m:ctrlPr>
                <w:rPr>
                  <w:rFonts w:ascii="Cambria Math" w:hAnsi="Cambria Math"/>
                </w:rPr>
              </m:ctrlPr>
            </m:fPr>
            <m:num>
              <m:f>
                <m:fPr>
                  <m:ctrlPr>
                    <w:rPr>
                      <w:rFonts w:ascii="Cambria Math" w:hAnsi="Cambria Math"/>
                    </w:rPr>
                  </m:ctrlPr>
                </m:fPr>
                <m:num>
                  <m:r>
                    <w:rPr>
                      <w:rFonts w:ascii="Cambria Math" w:hAnsi="Cambria Math"/>
                    </w:rPr>
                    <m:t>3525</m:t>
                  </m:r>
                </m:num>
                <m:den>
                  <m:r>
                    <w:rPr>
                      <w:rFonts w:ascii="Cambria Math" w:hAnsi="Cambria Math"/>
                    </w:rPr>
                    <m:t>397835</m:t>
                  </m:r>
                </m:den>
              </m:f>
            </m:num>
            <m:den>
              <m:f>
                <m:fPr>
                  <m:ctrlPr>
                    <w:rPr>
                      <w:rFonts w:ascii="Cambria Math" w:hAnsi="Cambria Math"/>
                    </w:rPr>
                  </m:ctrlPr>
                </m:fPr>
                <m:num>
                  <m:r>
                    <w:rPr>
                      <w:rFonts w:ascii="Cambria Math" w:hAnsi="Cambria Math"/>
                    </w:rPr>
                    <m:t>14365</m:t>
                  </m:r>
                </m:num>
                <m:den>
                  <m:r>
                    <w:rPr>
                      <w:rFonts w:ascii="Cambria Math" w:hAnsi="Cambria Math"/>
                    </w:rPr>
                    <m:t>6060635</m:t>
                  </m:r>
                </m:den>
              </m:f>
            </m:den>
          </m:f>
          <m:r>
            <m:rPr>
              <m:sty m:val="p"/>
            </m:rPr>
            <w:rPr>
              <w:rFonts w:ascii="Cambria Math" w:hAnsi="Cambria Math"/>
            </w:rPr>
            <m:t>≈</m:t>
          </m:r>
          <m:f>
            <m:fPr>
              <m:ctrlPr>
                <w:rPr>
                  <w:rFonts w:ascii="Cambria Math" w:hAnsi="Cambria Math"/>
                </w:rPr>
              </m:ctrlPr>
            </m:fPr>
            <m:num>
              <m:r>
                <w:rPr>
                  <w:rFonts w:ascii="Cambria Math" w:hAnsi="Cambria Math"/>
                </w:rPr>
                <m:t>0.0089</m:t>
              </m:r>
            </m:num>
            <m:den>
              <m:r>
                <w:rPr>
                  <w:rFonts w:ascii="Cambria Math" w:hAnsi="Cambria Math"/>
                </w:rPr>
                <m:t>0.0024</m:t>
              </m:r>
            </m:den>
          </m:f>
          <m:r>
            <m:rPr>
              <m:sty m:val="p"/>
            </m:rPr>
            <w:rPr>
              <w:rFonts w:ascii="Cambria Math" w:hAnsi="Cambria Math"/>
            </w:rPr>
            <m:t>≈</m:t>
          </m:r>
          <m:r>
            <w:rPr>
              <w:rFonts w:ascii="Cambria Math" w:hAnsi="Cambria Math"/>
            </w:rPr>
            <m:t>3.74</m:t>
          </m:r>
        </m:oMath>
      </m:oMathPara>
    </w:p>
    <w:p w14:paraId="2DC1677A" w14:textId="77777777" w:rsidR="0008504F" w:rsidRDefault="00A870C6">
      <w:pPr>
        <w:pStyle w:val="FirstParagraph"/>
      </w:pPr>
      <w:r>
        <w:t>and the ratio for NIC is</w:t>
      </w:r>
    </w:p>
    <w:p w14:paraId="2DC1677B" w14:textId="77777777" w:rsidR="0008504F" w:rsidRDefault="00F54C8E">
      <w:pPr>
        <w:pStyle w:val="BodyText"/>
      </w:pPr>
      <m:oMathPara>
        <m:oMathParaPr>
          <m:jc m:val="center"/>
        </m:oMathParaPr>
        <m:oMath>
          <m:f>
            <m:fPr>
              <m:ctrlPr>
                <w:rPr>
                  <w:rFonts w:ascii="Cambria Math" w:hAnsi="Cambria Math"/>
                </w:rPr>
              </m:ctrlPr>
            </m:fPr>
            <m:num>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r>
                    <w:rPr>
                      <w:rFonts w:ascii="Cambria Math" w:hAnsi="Cambria Math"/>
                    </w:rPr>
                    <m:t>NI</m:t>
                  </m:r>
                  <m:sSub>
                    <m:sSubPr>
                      <m:ctrlPr>
                        <w:rPr>
                          <w:rFonts w:ascii="Cambria Math" w:hAnsi="Cambria Math"/>
                        </w:rPr>
                      </m:ctrlPr>
                    </m:sSubPr>
                    <m:e>
                      <m:r>
                        <w:rPr>
                          <w:rFonts w:ascii="Cambria Math" w:hAnsi="Cambria Math"/>
                        </w:rPr>
                        <m:t>C</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num>
            <m:den>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den>
          </m:f>
          <m:r>
            <m:rPr>
              <m:sty m:val="p"/>
            </m:rPr>
            <w:rPr>
              <w:rFonts w:ascii="Cambria Math" w:hAnsi="Cambria Math"/>
            </w:rPr>
            <m:t>=</m:t>
          </m:r>
          <m:f>
            <m:fPr>
              <m:ctrlPr>
                <w:rPr>
                  <w:rFonts w:ascii="Cambria Math" w:hAnsi="Cambria Math"/>
                </w:rPr>
              </m:ctrlPr>
            </m:fPr>
            <m:num>
              <m:f>
                <m:fPr>
                  <m:ctrlPr>
                    <w:rPr>
                      <w:rFonts w:ascii="Cambria Math" w:hAnsi="Cambria Math"/>
                    </w:rPr>
                  </m:ctrlPr>
                </m:fPr>
                <m:num>
                  <m:r>
                    <w:rPr>
                      <w:rFonts w:ascii="Cambria Math" w:hAnsi="Cambria Math"/>
                    </w:rPr>
                    <m:t>14365</m:t>
                  </m:r>
                  <m:r>
                    <m:rPr>
                      <m:sty m:val="p"/>
                    </m:rPr>
                    <w:rPr>
                      <w:rFonts w:ascii="Cambria Math" w:hAnsi="Cambria Math"/>
                    </w:rPr>
                    <m:t>-</m:t>
                  </m:r>
                  <m:r>
                    <w:rPr>
                      <w:rFonts w:ascii="Cambria Math" w:hAnsi="Cambria Math"/>
                    </w:rPr>
                    <m:t>3525</m:t>
                  </m:r>
                </m:num>
                <m:den>
                  <m:r>
                    <w:rPr>
                      <w:rFonts w:ascii="Cambria Math" w:hAnsi="Cambria Math"/>
                    </w:rPr>
                    <m:t>6060635</m:t>
                  </m:r>
                  <m:r>
                    <m:rPr>
                      <m:sty m:val="p"/>
                    </m:rPr>
                    <w:rPr>
                      <w:rFonts w:ascii="Cambria Math" w:hAnsi="Cambria Math"/>
                    </w:rPr>
                    <m:t>-</m:t>
                  </m:r>
                  <m:r>
                    <w:rPr>
                      <w:rFonts w:ascii="Cambria Math" w:hAnsi="Cambria Math"/>
                    </w:rPr>
                    <m:t>397835</m:t>
                  </m:r>
                </m:den>
              </m:f>
            </m:num>
            <m:den>
              <m:f>
                <m:fPr>
                  <m:ctrlPr>
                    <w:rPr>
                      <w:rFonts w:ascii="Cambria Math" w:hAnsi="Cambria Math"/>
                    </w:rPr>
                  </m:ctrlPr>
                </m:fPr>
                <m:num>
                  <m:r>
                    <w:rPr>
                      <w:rFonts w:ascii="Cambria Math" w:hAnsi="Cambria Math"/>
                    </w:rPr>
                    <m:t>14365</m:t>
                  </m:r>
                </m:num>
                <m:den>
                  <m:r>
                    <w:rPr>
                      <w:rFonts w:ascii="Cambria Math" w:hAnsi="Cambria Math"/>
                    </w:rPr>
                    <m:t>6060635</m:t>
                  </m:r>
                </m:den>
              </m:f>
            </m:den>
          </m:f>
          <m:r>
            <m:rPr>
              <m:sty m:val="p"/>
            </m:rPr>
            <w:rPr>
              <w:rFonts w:ascii="Cambria Math" w:hAnsi="Cambria Math"/>
            </w:rPr>
            <m:t>≈</m:t>
          </m:r>
          <m:f>
            <m:fPr>
              <m:ctrlPr>
                <w:rPr>
                  <w:rFonts w:ascii="Cambria Math" w:hAnsi="Cambria Math"/>
                </w:rPr>
              </m:ctrlPr>
            </m:fPr>
            <m:num>
              <m:r>
                <w:rPr>
                  <w:rFonts w:ascii="Cambria Math" w:hAnsi="Cambria Math"/>
                </w:rPr>
                <m:t>0.0019</m:t>
              </m:r>
            </m:num>
            <m:den>
              <m:r>
                <w:rPr>
                  <w:rFonts w:ascii="Cambria Math" w:hAnsi="Cambria Math"/>
                </w:rPr>
                <m:t>0.0024</m:t>
              </m:r>
            </m:den>
          </m:f>
          <m:r>
            <m:rPr>
              <m:sty m:val="p"/>
            </m:rPr>
            <w:rPr>
              <w:rFonts w:ascii="Cambria Math" w:hAnsi="Cambria Math"/>
            </w:rPr>
            <m:t>≈</m:t>
          </m:r>
          <m:r>
            <w:rPr>
              <w:rFonts w:ascii="Cambria Math" w:hAnsi="Cambria Math"/>
            </w:rPr>
            <m:t>0.81</m:t>
          </m:r>
          <m:r>
            <m:rPr>
              <m:sty m:val="p"/>
            </m:rPr>
            <w:rPr>
              <w:rFonts w:ascii="Cambria Math" w:hAnsi="Cambria Math"/>
            </w:rPr>
            <m:t>.</m:t>
          </m:r>
        </m:oMath>
      </m:oMathPara>
    </w:p>
    <w:p w14:paraId="2DC1677C" w14:textId="77777777" w:rsidR="0008504F" w:rsidRDefault="00A870C6">
      <w:pPr>
        <w:pStyle w:val="FirstParagraph"/>
      </w:pPr>
      <w:r>
        <w:t xml:space="preserve">Smits et al. [2] and Suleyman et al. [3] also appear to have sufficient information to estimate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IC</m:t>
            </m:r>
            <m:r>
              <m:rPr>
                <m:sty m:val="p"/>
              </m:rPr>
              <w:rPr>
                <w:rFonts w:ascii="Cambria Math" w:hAnsi="Cambria Math"/>
              </w:rPr>
              <m:t>,</m:t>
            </m:r>
            <m:r>
              <w:rPr>
                <w:rFonts w:ascii="Cambria Math" w:hAnsi="Cambria Math"/>
              </w:rPr>
              <m:t>V</m:t>
            </m:r>
          </m:e>
        </m:d>
      </m:oMath>
      <w:r>
        <w:t xml:space="preserve">,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NIC</m:t>
            </m:r>
            <m:r>
              <m:rPr>
                <m:sty m:val="p"/>
              </m:rPr>
              <w:rPr>
                <w:rFonts w:ascii="Cambria Math" w:hAnsi="Cambria Math"/>
              </w:rPr>
              <m:t>,</m:t>
            </m:r>
            <m:r>
              <w:rPr>
                <w:rFonts w:ascii="Cambria Math" w:hAnsi="Cambria Math"/>
              </w:rPr>
              <m:t>V</m:t>
            </m:r>
          </m:e>
        </m:d>
      </m:oMath>
      <w:r>
        <w:t xml:space="preserve">, and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Probabilties and ratios from each source are included in Table S1.</w:t>
      </w:r>
    </w:p>
    <w:p w14:paraId="2DC1677D" w14:textId="77777777" w:rsidR="0008504F" w:rsidRDefault="0008504F">
      <w:pPr>
        <w:pStyle w:val="BodyText"/>
      </w:pPr>
    </w:p>
    <w:p w14:paraId="2DC1677E" w14:textId="77777777" w:rsidR="0008504F" w:rsidRDefault="00A870C6">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t>Table S1. Estimated ratios from alternative sources.</w:t>
      </w:r>
    </w:p>
    <w:tbl>
      <w:tblPr>
        <w:tblStyle w:val="Table"/>
        <w:tblW w:w="0" w:type="pct"/>
        <w:jc w:val="center"/>
        <w:tblLook w:val="0420" w:firstRow="1" w:lastRow="0" w:firstColumn="0" w:lastColumn="0" w:noHBand="0" w:noVBand="1"/>
      </w:tblPr>
      <w:tblGrid>
        <w:gridCol w:w="1072"/>
        <w:gridCol w:w="1135"/>
        <w:gridCol w:w="1140"/>
        <w:gridCol w:w="1135"/>
        <w:gridCol w:w="1777"/>
        <w:gridCol w:w="1892"/>
      </w:tblGrid>
      <w:tr w:rsidR="0008504F" w14:paraId="2DC16785" w14:textId="77777777" w:rsidTr="0008504F">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7F"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Lead Author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80"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 | IC,V)</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81"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 | NIC,V)</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82"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 | V)</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83"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 | IC,V) / Pr(H | V)</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84"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 | NIC,V) / Pr(H | V)</w:t>
            </w:r>
          </w:p>
        </w:tc>
      </w:tr>
      <w:tr w:rsidR="0008504F" w14:paraId="2DC1678C" w14:textId="77777777" w:rsidTr="0008504F">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86"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Evans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87"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0.008860457</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88"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0.001914247</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89"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0.002370214</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8A"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3.738253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8B"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0.8076265</w:t>
            </w:r>
          </w:p>
        </w:tc>
      </w:tr>
      <w:tr w:rsidR="0008504F" w14:paraId="2DC16793"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8D"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Smits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8E"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0.008062475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8F"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0.001180516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90"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0.002750630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91"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2.931138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92"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0.4291801</w:t>
            </w:r>
          </w:p>
        </w:tc>
      </w:tr>
      <w:tr w:rsidR="0008504F" w14:paraId="2DC1679A" w14:textId="77777777" w:rsidTr="0008504F">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94"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Suleyman</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95"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0.320000000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96"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0.108322325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97"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0.156822811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98"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2.040519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99"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0.6907307</w:t>
            </w:r>
          </w:p>
        </w:tc>
      </w:tr>
    </w:tbl>
    <w:p w14:paraId="22E59B5C" w14:textId="77777777" w:rsidR="00025D01" w:rsidRDefault="00025D01">
      <w:pPr>
        <w:pStyle w:val="Heading2"/>
      </w:pPr>
      <w:bookmarkStart w:id="8" w:name="Xd4742722347907424ce582c51419c862b9fabc1"/>
      <w:bookmarkEnd w:id="3"/>
      <w:bookmarkEnd w:id="7"/>
    </w:p>
    <w:p w14:paraId="2DC1679B" w14:textId="5C5E2606" w:rsidR="0008504F" w:rsidRDefault="00A870C6">
      <w:pPr>
        <w:pStyle w:val="Heading2"/>
      </w:pPr>
      <w:bookmarkStart w:id="9" w:name="_Toc184289783"/>
      <w:r>
        <w:t>Method evaluation (one-way sensitivity analysis)</w:t>
      </w:r>
      <w:bookmarkEnd w:id="9"/>
    </w:p>
    <w:p w14:paraId="2DC1679C" w14:textId="77777777" w:rsidR="0008504F" w:rsidRDefault="00A870C6">
      <w:pPr>
        <w:pStyle w:val="FirstParagraph"/>
      </w:pPr>
      <w:r>
        <w:t>We performed a brief evaluation of the conditional probability method by changing parameters and recording the resulting COVID-19-associated hospitalizations averted. First, we evaluated the sensitivity of parameters when immunocompromising conditions are not considered. Our baseline assumptions for parameters were the following:</w:t>
      </w:r>
    </w:p>
    <w:p w14:paraId="2DC1679D" w14:textId="77777777" w:rsidR="0008504F" w:rsidRDefault="00A870C6">
      <w:pPr>
        <w:pStyle w:val="Compact"/>
        <w:numPr>
          <w:ilvl w:val="0"/>
          <w:numId w:val="6"/>
        </w:numPr>
      </w:pPr>
      <m:oMath>
        <m:r>
          <w:rPr>
            <w:rFonts w:ascii="Cambria Math" w:hAnsi="Cambria Math"/>
          </w:rPr>
          <m:t>N</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000</m:t>
        </m:r>
        <m:r>
          <m:rPr>
            <m:sty m:val="p"/>
          </m:rPr>
          <w:rPr>
            <w:rFonts w:ascii="Cambria Math" w:hAnsi="Cambria Math"/>
          </w:rPr>
          <m:t>,</m:t>
        </m:r>
        <m:r>
          <w:rPr>
            <w:rFonts w:ascii="Cambria Math" w:hAnsi="Cambria Math"/>
          </w:rPr>
          <m:t>000</m:t>
        </m:r>
      </m:oMath>
    </w:p>
    <w:p w14:paraId="2DC1679E" w14:textId="77777777" w:rsidR="0008504F" w:rsidRDefault="00A870C6">
      <w:pPr>
        <w:pStyle w:val="Compact"/>
        <w:numPr>
          <w:ilvl w:val="0"/>
          <w:numId w:val="6"/>
        </w:numPr>
      </w:pPr>
      <m:oMath>
        <m:r>
          <m:rPr>
            <m:sty m:val="p"/>
          </m:rPr>
          <w:rPr>
            <w:rFonts w:ascii="Cambria Math" w:hAnsi="Cambria Math"/>
          </w:rPr>
          <m:t>Pr</m:t>
        </m:r>
        <m:d>
          <m:dPr>
            <m:ctrlPr>
              <w:rPr>
                <w:rFonts w:ascii="Cambria Math" w:hAnsi="Cambria Math"/>
              </w:rPr>
            </m:ctrlPr>
          </m:dPr>
          <m:e>
            <m:r>
              <w:rPr>
                <w:rFonts w:ascii="Cambria Math" w:hAnsi="Cambria Math"/>
              </w:rPr>
              <m:t>H</m:t>
            </m:r>
          </m:e>
        </m:d>
        <m:r>
          <m:rPr>
            <m:sty m:val="p"/>
          </m:rPr>
          <w:rPr>
            <w:rFonts w:ascii="Cambria Math" w:hAnsi="Cambria Math"/>
          </w:rPr>
          <m:t>=</m:t>
        </m:r>
        <m:r>
          <w:rPr>
            <w:rFonts w:ascii="Cambria Math" w:hAnsi="Cambria Math"/>
          </w:rPr>
          <m:t>0.001</m:t>
        </m:r>
      </m:oMath>
    </w:p>
    <w:p w14:paraId="2DC1679F" w14:textId="77777777" w:rsidR="0008504F" w:rsidRDefault="00A870C6">
      <w:pPr>
        <w:pStyle w:val="Compact"/>
        <w:numPr>
          <w:ilvl w:val="0"/>
          <w:numId w:val="6"/>
        </w:numPr>
      </w:pPr>
      <m:oMath>
        <m:r>
          <m:rPr>
            <m:sty m:val="p"/>
          </m:rPr>
          <w:rPr>
            <w:rFonts w:ascii="Cambria Math" w:hAnsi="Cambria Math"/>
          </w:rPr>
          <m:t>Pr</m:t>
        </m:r>
        <m:d>
          <m:dPr>
            <m:ctrlPr>
              <w:rPr>
                <w:rFonts w:ascii="Cambria Math" w:hAnsi="Cambria Math"/>
              </w:rPr>
            </m:ctrlPr>
          </m:dPr>
          <m:e>
            <m:r>
              <w:rPr>
                <w:rFonts w:ascii="Cambria Math" w:hAnsi="Cambria Math"/>
              </w:rPr>
              <m:t>V</m:t>
            </m:r>
          </m:e>
        </m:d>
        <m:r>
          <m:rPr>
            <m:sty m:val="p"/>
          </m:rPr>
          <w:rPr>
            <w:rFonts w:ascii="Cambria Math" w:hAnsi="Cambria Math"/>
          </w:rPr>
          <m:t>=</m:t>
        </m:r>
        <m:r>
          <w:rPr>
            <w:rFonts w:ascii="Cambria Math" w:hAnsi="Cambria Math"/>
          </w:rPr>
          <m:t>0.20</m:t>
        </m:r>
      </m:oMath>
    </w:p>
    <w:p w14:paraId="2DC167A0" w14:textId="77777777" w:rsidR="0008504F" w:rsidRDefault="00A870C6">
      <w:pPr>
        <w:pStyle w:val="Compact"/>
        <w:numPr>
          <w:ilvl w:val="0"/>
          <w:numId w:val="6"/>
        </w:numPr>
      </w:pPr>
      <m:oMath>
        <m:r>
          <m:rPr>
            <m:sty m:val="p"/>
          </m:rPr>
          <w:rPr>
            <w:rFonts w:ascii="Cambria Math" w:hAnsi="Cambria Math"/>
          </w:rPr>
          <m:t>Pr</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H</m:t>
            </m:r>
          </m:e>
        </m:d>
        <m:r>
          <m:rPr>
            <m:sty m:val="p"/>
          </m:rPr>
          <w:rPr>
            <w:rFonts w:ascii="Cambria Math" w:hAnsi="Cambria Math"/>
          </w:rPr>
          <m:t>=</m:t>
        </m:r>
        <m:r>
          <w:rPr>
            <w:rFonts w:ascii="Cambria Math" w:hAnsi="Cambria Math"/>
          </w:rPr>
          <m:t>0.05</m:t>
        </m:r>
      </m:oMath>
    </w:p>
    <w:p w14:paraId="2DC167A1" w14:textId="77777777" w:rsidR="0008504F" w:rsidRDefault="00A870C6">
      <w:pPr>
        <w:pStyle w:val="Compact"/>
        <w:numPr>
          <w:ilvl w:val="0"/>
          <w:numId w:val="6"/>
        </w:numPr>
      </w:pPr>
      <m:oMath>
        <m:r>
          <m:rPr>
            <m:sty m:val="p"/>
          </m:rPr>
          <w:rPr>
            <w:rFonts w:ascii="Cambria Math" w:hAnsi="Cambria Math"/>
          </w:rPr>
          <m:t>Pr</m:t>
        </m:r>
        <m:d>
          <m:dPr>
            <m:ctrlPr>
              <w:rPr>
                <w:rFonts w:ascii="Cambria Math" w:hAnsi="Cambria Math"/>
              </w:rPr>
            </m:ctrlPr>
          </m:dPr>
          <m:e>
            <m:r>
              <w:rPr>
                <w:rFonts w:ascii="Cambria Math" w:hAnsi="Cambria Math"/>
              </w:rPr>
              <m:t>ICU</m:t>
            </m:r>
            <m:r>
              <m:rPr>
                <m:sty m:val="p"/>
              </m:rPr>
              <w:rPr>
                <w:rFonts w:ascii="Cambria Math" w:hAnsi="Cambria Math"/>
              </w:rPr>
              <m:t>∣</m:t>
            </m:r>
            <m:r>
              <w:rPr>
                <w:rFonts w:ascii="Cambria Math" w:hAnsi="Cambria Math"/>
              </w:rPr>
              <m:t>H</m:t>
            </m:r>
          </m:e>
        </m:d>
        <m:r>
          <m:rPr>
            <m:sty m:val="p"/>
          </m:rPr>
          <w:rPr>
            <w:rFonts w:ascii="Cambria Math" w:hAnsi="Cambria Math"/>
          </w:rPr>
          <m:t>=</m:t>
        </m:r>
        <m:r>
          <w:rPr>
            <w:rFonts w:ascii="Cambria Math" w:hAnsi="Cambria Math"/>
          </w:rPr>
          <m:t>0.20</m:t>
        </m:r>
      </m:oMath>
    </w:p>
    <w:p w14:paraId="2DC167A2" w14:textId="77777777" w:rsidR="0008504F" w:rsidRDefault="00A870C6">
      <w:pPr>
        <w:pStyle w:val="Compact"/>
        <w:numPr>
          <w:ilvl w:val="0"/>
          <w:numId w:val="6"/>
        </w:numPr>
      </w:pPr>
      <m:oMath>
        <m:r>
          <m:rPr>
            <m:sty m:val="p"/>
          </m:rPr>
          <w:rPr>
            <w:rFonts w:ascii="Cambria Math" w:hAnsi="Cambria Math"/>
          </w:rPr>
          <m:t>Pr</m:t>
        </m:r>
        <m:d>
          <m:dPr>
            <m:ctrlPr>
              <w:rPr>
                <w:rFonts w:ascii="Cambria Math" w:hAnsi="Cambria Math"/>
              </w:rPr>
            </m:ctrlPr>
          </m:dPr>
          <m:e>
            <m:r>
              <w:rPr>
                <w:rFonts w:ascii="Cambria Math" w:hAnsi="Cambria Math"/>
              </w:rPr>
              <m:t>IHD</m:t>
            </m:r>
            <m:r>
              <m:rPr>
                <m:sty m:val="p"/>
              </m:rPr>
              <w:rPr>
                <w:rFonts w:ascii="Cambria Math" w:hAnsi="Cambria Math"/>
              </w:rPr>
              <m:t>∣</m:t>
            </m:r>
            <m:r>
              <w:rPr>
                <w:rFonts w:ascii="Cambria Math" w:hAnsi="Cambria Math"/>
              </w:rPr>
              <m:t>H</m:t>
            </m:r>
          </m:e>
        </m:d>
        <m:r>
          <m:rPr>
            <m:sty m:val="p"/>
          </m:rPr>
          <w:rPr>
            <w:rFonts w:ascii="Cambria Math" w:hAnsi="Cambria Math"/>
          </w:rPr>
          <m:t>=</m:t>
        </m:r>
        <m:r>
          <w:rPr>
            <w:rFonts w:ascii="Cambria Math" w:hAnsi="Cambria Math"/>
          </w:rPr>
          <m:t>0.06</m:t>
        </m:r>
      </m:oMath>
    </w:p>
    <w:p w14:paraId="2DC167A3" w14:textId="77777777" w:rsidR="0008504F" w:rsidRDefault="00A870C6">
      <w:pPr>
        <w:pStyle w:val="Compact"/>
        <w:numPr>
          <w:ilvl w:val="0"/>
          <w:numId w:val="6"/>
        </w:numPr>
      </w:pPr>
      <m:oMath>
        <m:r>
          <m:rPr>
            <m:sty m:val="p"/>
          </m:rPr>
          <w:rPr>
            <w:rFonts w:ascii="Cambria Math" w:hAnsi="Cambria Math"/>
          </w:rPr>
          <m:t>Pr</m:t>
        </m:r>
        <m:d>
          <m:dPr>
            <m:ctrlPr>
              <w:rPr>
                <w:rFonts w:ascii="Cambria Math" w:hAnsi="Cambria Math"/>
              </w:rPr>
            </m:ctrlPr>
          </m:dPr>
          <m:e>
            <m:r>
              <w:rPr>
                <w:rFonts w:ascii="Cambria Math" w:hAnsi="Cambria Math"/>
              </w:rPr>
              <m:t>IC</m:t>
            </m:r>
          </m:e>
        </m:d>
        <m:r>
          <m:rPr>
            <m:sty m:val="p"/>
          </m:rPr>
          <w:rPr>
            <w:rFonts w:ascii="Cambria Math" w:hAnsi="Cambria Math"/>
          </w:rPr>
          <m:t>=</m:t>
        </m:r>
        <m:r>
          <w:rPr>
            <w:rFonts w:ascii="Cambria Math" w:hAnsi="Cambria Math"/>
          </w:rPr>
          <m:t>0.03</m:t>
        </m:r>
      </m:oMath>
    </w:p>
    <w:p w14:paraId="2DC167A4" w14:textId="77777777" w:rsidR="0008504F" w:rsidRDefault="00A870C6">
      <w:pPr>
        <w:pStyle w:val="Compact"/>
        <w:numPr>
          <w:ilvl w:val="0"/>
          <w:numId w:val="6"/>
        </w:numPr>
      </w:pPr>
      <m:oMath>
        <m:r>
          <m:rPr>
            <m:sty m:val="p"/>
          </m:rPr>
          <w:rPr>
            <w:rFonts w:ascii="Cambria Math" w:hAnsi="Cambria Math"/>
          </w:rPr>
          <m:t>Pr</m:t>
        </m:r>
        <m:d>
          <m:dPr>
            <m:ctrlPr>
              <w:rPr>
                <w:rFonts w:ascii="Cambria Math" w:hAnsi="Cambria Math"/>
              </w:rPr>
            </m:ctrlPr>
          </m:dPr>
          <m:e>
            <m:r>
              <w:rPr>
                <w:rFonts w:ascii="Cambria Math" w:hAnsi="Cambria Math"/>
              </w:rPr>
              <m:t>IC</m:t>
            </m:r>
            <m:r>
              <m:rPr>
                <m:sty m:val="p"/>
              </m:rPr>
              <w:rPr>
                <w:rFonts w:ascii="Cambria Math" w:hAnsi="Cambria Math"/>
              </w:rPr>
              <m:t>∣</m:t>
            </m:r>
            <m:r>
              <w:rPr>
                <w:rFonts w:ascii="Cambria Math" w:hAnsi="Cambria Math"/>
              </w:rPr>
              <m:t>V</m:t>
            </m:r>
          </m:e>
        </m:d>
        <m:r>
          <m:rPr>
            <m:sty m:val="p"/>
          </m:rPr>
          <w:rPr>
            <w:rFonts w:ascii="Cambria Math" w:hAnsi="Cambria Math"/>
          </w:rPr>
          <m:t>=</m:t>
        </m:r>
        <m:r>
          <w:rPr>
            <w:rFonts w:ascii="Cambria Math" w:hAnsi="Cambria Math"/>
          </w:rPr>
          <m:t>0.05</m:t>
        </m:r>
      </m:oMath>
    </w:p>
    <w:p w14:paraId="2DC167A5" w14:textId="77777777" w:rsidR="0008504F" w:rsidRDefault="00A870C6">
      <w:pPr>
        <w:pStyle w:val="Compact"/>
        <w:numPr>
          <w:ilvl w:val="0"/>
          <w:numId w:val="6"/>
        </w:numPr>
      </w:pP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IC</m:t>
            </m:r>
          </m:e>
        </m:d>
        <m:r>
          <m:rPr>
            <m:sty m:val="p"/>
          </m:rPr>
          <w:rPr>
            <w:rFonts w:ascii="Cambria Math" w:hAnsi="Cambria Math"/>
          </w:rPr>
          <m:t>=</m:t>
        </m:r>
        <m:r>
          <w:rPr>
            <w:rFonts w:ascii="Cambria Math" w:hAnsi="Cambria Math"/>
          </w:rPr>
          <m:t>0.01</m:t>
        </m:r>
      </m:oMath>
    </w:p>
    <w:p w14:paraId="2DC167A6" w14:textId="77777777" w:rsidR="0008504F" w:rsidRDefault="00A870C6">
      <w:pPr>
        <w:pStyle w:val="Compact"/>
        <w:numPr>
          <w:ilvl w:val="0"/>
          <w:numId w:val="6"/>
        </w:numPr>
      </w:pP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NIC</m:t>
            </m:r>
          </m:e>
        </m:d>
        <m:r>
          <m:rPr>
            <m:sty m:val="p"/>
          </m:rPr>
          <w:rPr>
            <w:rFonts w:ascii="Cambria Math" w:hAnsi="Cambria Math"/>
          </w:rPr>
          <m:t>=</m:t>
        </m:r>
        <m:r>
          <w:rPr>
            <w:rFonts w:ascii="Cambria Math" w:hAnsi="Cambria Math"/>
          </w:rPr>
          <m:t>0.005</m:t>
        </m:r>
      </m:oMath>
    </w:p>
    <w:p w14:paraId="2DC167A7" w14:textId="4A1965EF" w:rsidR="0008504F" w:rsidRDefault="00A870C6">
      <w:pPr>
        <w:pStyle w:val="FirstParagraph"/>
      </w:pPr>
      <w:r>
        <w:t xml:space="preserve">Since we assume the parameters depend on each other, we assumed changes in one parameter would always result in changes in </w:t>
      </w:r>
      <w:r w:rsidR="00861974">
        <w:t xml:space="preserve">the </w:t>
      </w:r>
      <w:r>
        <w:t>other parameter</w:t>
      </w:r>
      <w:r w:rsidR="00133481">
        <w:t>(s)</w:t>
      </w:r>
      <w:r>
        <w:t xml:space="preserve"> with the direction aligning with the assumed correlations in our Monte Carlo simulations (Table S2). In evaluating each parameter, we created three curves:</w:t>
      </w:r>
    </w:p>
    <w:p w14:paraId="2DC167A8" w14:textId="77777777" w:rsidR="0008504F" w:rsidRDefault="00A870C6">
      <w:pPr>
        <w:pStyle w:val="Compact"/>
        <w:numPr>
          <w:ilvl w:val="0"/>
          <w:numId w:val="7"/>
        </w:numPr>
      </w:pPr>
      <w:r>
        <w:t>multiplicative changes to the parameter of interest were the same in the other parameters (e.g., a 10% change in the parameter of interest and a 10% change in other parameters);</w:t>
      </w:r>
    </w:p>
    <w:p w14:paraId="2DC167A9" w14:textId="77777777" w:rsidR="0008504F" w:rsidRDefault="00A870C6">
      <w:pPr>
        <w:pStyle w:val="Compact"/>
        <w:numPr>
          <w:ilvl w:val="0"/>
          <w:numId w:val="7"/>
        </w:numPr>
      </w:pPr>
      <w:r>
        <w:lastRenderedPageBreak/>
        <w:t>multiplicative changes to the parameter of interest were less than the other parameters by one-half (e.g., a 5% change in the parameter of interest and a 10% change in other parameters); and</w:t>
      </w:r>
    </w:p>
    <w:p w14:paraId="2DC167AA" w14:textId="77777777" w:rsidR="0008504F" w:rsidRDefault="00A870C6">
      <w:pPr>
        <w:pStyle w:val="Compact"/>
        <w:numPr>
          <w:ilvl w:val="0"/>
          <w:numId w:val="7"/>
        </w:numPr>
      </w:pPr>
      <w:r>
        <w:t>multiplicative changes to the parameter of interest were greater than the other parameters by double (e.g., a 20% change in the parameter of interest and a 10% change in other parameters).</w:t>
      </w:r>
    </w:p>
    <w:p w14:paraId="2DC167AB" w14:textId="77777777" w:rsidR="0008504F" w:rsidRDefault="00A870C6">
      <w:pPr>
        <w:pStyle w:val="FirstParagraph"/>
      </w:pPr>
      <w:r>
        <w:t>Figure S4 plots the COVID-19-associated hospitalizations averted when changing the parameters.</w:t>
      </w:r>
    </w:p>
    <w:p w14:paraId="2DC167AC" w14:textId="77777777" w:rsidR="0008504F" w:rsidRDefault="00A870C6">
      <w:pPr>
        <w:pStyle w:val="CaptionedFigure"/>
      </w:pPr>
      <w:r>
        <w:rPr>
          <w:noProof/>
        </w:rPr>
        <w:drawing>
          <wp:inline distT="0" distB="0" distL="0" distR="0" wp14:anchorId="2DC16D45" wp14:editId="2DC16D46">
            <wp:extent cx="5334000" cy="2370666"/>
            <wp:effectExtent l="0" t="0" r="0" b="0"/>
            <wp:docPr id="33" name="Picture" descr="Figure S4: Evaluation of changes to parameters when not accounting for immunocompromising conditions."/>
            <wp:cNvGraphicFramePr/>
            <a:graphic xmlns:a="http://schemas.openxmlformats.org/drawingml/2006/main">
              <a:graphicData uri="http://schemas.openxmlformats.org/drawingml/2006/picture">
                <pic:pic xmlns:pic="http://schemas.openxmlformats.org/drawingml/2006/picture">
                  <pic:nvPicPr>
                    <pic:cNvPr id="34" name="Picture" descr="burden_averted_supplement_2024-10-30_files/figure-docx/unnamed-chunk-1-1.png"/>
                    <pic:cNvPicPr>
                      <a:picLocks noChangeAspect="1" noChangeArrowheads="1"/>
                    </pic:cNvPicPr>
                  </pic:nvPicPr>
                  <pic:blipFill>
                    <a:blip r:embed="rId10"/>
                    <a:stretch>
                      <a:fillRect/>
                    </a:stretch>
                  </pic:blipFill>
                  <pic:spPr bwMode="auto">
                    <a:xfrm>
                      <a:off x="0" y="0"/>
                      <a:ext cx="5334000" cy="2370666"/>
                    </a:xfrm>
                    <a:prstGeom prst="rect">
                      <a:avLst/>
                    </a:prstGeom>
                    <a:noFill/>
                    <a:ln w="9525">
                      <a:noFill/>
                      <a:headEnd/>
                      <a:tailEnd/>
                    </a:ln>
                  </pic:spPr>
                </pic:pic>
              </a:graphicData>
            </a:graphic>
          </wp:inline>
        </w:drawing>
      </w:r>
    </w:p>
    <w:p w14:paraId="2DC167AD" w14:textId="77777777" w:rsidR="0008504F" w:rsidRDefault="00A870C6">
      <w:pPr>
        <w:pStyle w:val="ImageCaption"/>
      </w:pPr>
      <w:r>
        <w:t>Figure S4: Evaluation of changes to parameters when not accounting for immunocompromising conditions.</w:t>
      </w:r>
    </w:p>
    <w:p w14:paraId="2DC167AE" w14:textId="77777777" w:rsidR="0008504F" w:rsidRDefault="0008504F">
      <w:pPr>
        <w:pStyle w:val="BodyText"/>
      </w:pPr>
    </w:p>
    <w:p w14:paraId="2DC167AF" w14:textId="7EF66178" w:rsidR="0008504F" w:rsidRDefault="00A870C6">
      <w:pPr>
        <w:pStyle w:val="FirstParagraph"/>
      </w:pPr>
      <w:r>
        <w:t xml:space="preserve">Testing parameters associated with immunocompromising </w:t>
      </w:r>
      <w:proofErr w:type="gramStart"/>
      <w:r>
        <w:t>conditions,</w:t>
      </w:r>
      <w:proofErr w:type="gramEnd"/>
      <w:r>
        <w:t xml:space="preserve"> we followed the same format as in Figure S4 by making multiplicative changes to parameters. In Figure S5, we varied </w:t>
      </w:r>
      <m:oMath>
        <m:r>
          <m:rPr>
            <m:sty m:val="p"/>
          </m:rPr>
          <w:rPr>
            <w:rFonts w:ascii="Cambria Math" w:hAnsi="Cambria Math"/>
          </w:rPr>
          <m:t>Pr</m:t>
        </m:r>
        <m:d>
          <m:dPr>
            <m:ctrlPr>
              <w:rPr>
                <w:rFonts w:ascii="Cambria Math" w:hAnsi="Cambria Math"/>
              </w:rPr>
            </m:ctrlPr>
          </m:dPr>
          <m:e>
            <m:r>
              <w:rPr>
                <w:rFonts w:ascii="Cambria Math" w:hAnsi="Cambria Math"/>
              </w:rPr>
              <m:t>IC</m:t>
            </m:r>
          </m:e>
        </m:d>
      </m:oMath>
      <w:r>
        <w:t xml:space="preserve">, </w:t>
      </w:r>
      <m:oMath>
        <m:r>
          <m:rPr>
            <m:sty m:val="p"/>
          </m:rPr>
          <w:rPr>
            <w:rFonts w:ascii="Cambria Math" w:hAnsi="Cambria Math"/>
          </w:rPr>
          <m:t>Pr</m:t>
        </m:r>
        <m:d>
          <m:dPr>
            <m:ctrlPr>
              <w:rPr>
                <w:rFonts w:ascii="Cambria Math" w:hAnsi="Cambria Math"/>
              </w:rPr>
            </m:ctrlPr>
          </m:dPr>
          <m:e>
            <m:r>
              <w:rPr>
                <w:rFonts w:ascii="Cambria Math" w:hAnsi="Cambria Math"/>
              </w:rPr>
              <m:t>IC</m:t>
            </m:r>
            <m:r>
              <m:rPr>
                <m:sty m:val="p"/>
              </m:rPr>
              <w:rPr>
                <w:rFonts w:ascii="Cambria Math" w:hAnsi="Cambria Math"/>
              </w:rPr>
              <m:t>∣</m:t>
            </m:r>
            <m:r>
              <w:rPr>
                <w:rFonts w:ascii="Cambria Math" w:hAnsi="Cambria Math"/>
              </w:rPr>
              <m:t>V</m:t>
            </m:r>
          </m:e>
        </m:d>
      </m:oMath>
      <w:r>
        <w:t xml:space="preserve">,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IC</m:t>
            </m:r>
          </m:e>
        </m:d>
      </m:oMath>
      <w:r>
        <w:t xml:space="preserve">, and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NIC</m:t>
            </m:r>
          </m:e>
        </m:d>
      </m:oMath>
      <w:r>
        <w:t>.</w:t>
      </w:r>
    </w:p>
    <w:p w14:paraId="2DC167B0" w14:textId="77777777" w:rsidR="0008504F" w:rsidRDefault="00A870C6">
      <w:pPr>
        <w:pStyle w:val="CaptionedFigure"/>
      </w:pPr>
      <w:r>
        <w:rPr>
          <w:noProof/>
        </w:rPr>
        <w:lastRenderedPageBreak/>
        <w:drawing>
          <wp:inline distT="0" distB="0" distL="0" distR="0" wp14:anchorId="2DC16D47" wp14:editId="2DC16D48">
            <wp:extent cx="5334000" cy="3556000"/>
            <wp:effectExtent l="0" t="0" r="0" b="0"/>
            <wp:docPr id="36" name="Picture" descr="Figure S5: Evaluation of changes to immunocompromise parameters when accounting for immunocompromising conditions."/>
            <wp:cNvGraphicFramePr/>
            <a:graphic xmlns:a="http://schemas.openxmlformats.org/drawingml/2006/main">
              <a:graphicData uri="http://schemas.openxmlformats.org/drawingml/2006/picture">
                <pic:pic xmlns:pic="http://schemas.openxmlformats.org/drawingml/2006/picture">
                  <pic:nvPicPr>
                    <pic:cNvPr id="37" name="Picture" descr="burden_averted_supplement_2024-10-30_files/figure-docx/unnamed-chunk-2-1.png"/>
                    <pic:cNvPicPr>
                      <a:picLocks noChangeAspect="1" noChangeArrowheads="1"/>
                    </pic:cNvPicPr>
                  </pic:nvPicPr>
                  <pic:blipFill>
                    <a:blip r:embed="rId11"/>
                    <a:stretch>
                      <a:fillRect/>
                    </a:stretch>
                  </pic:blipFill>
                  <pic:spPr bwMode="auto">
                    <a:xfrm>
                      <a:off x="0" y="0"/>
                      <a:ext cx="5334000" cy="3556000"/>
                    </a:xfrm>
                    <a:prstGeom prst="rect">
                      <a:avLst/>
                    </a:prstGeom>
                    <a:noFill/>
                    <a:ln w="9525">
                      <a:noFill/>
                      <a:headEnd/>
                      <a:tailEnd/>
                    </a:ln>
                  </pic:spPr>
                </pic:pic>
              </a:graphicData>
            </a:graphic>
          </wp:inline>
        </w:drawing>
      </w:r>
    </w:p>
    <w:p w14:paraId="2DC167B1" w14:textId="77777777" w:rsidR="0008504F" w:rsidRDefault="00A870C6">
      <w:pPr>
        <w:pStyle w:val="ImageCaption"/>
      </w:pPr>
      <w:r>
        <w:t>Figure S5: Evaluation of changes to immunocompromise parameters when accounting for immunocompromising conditions.</w:t>
      </w:r>
    </w:p>
    <w:p w14:paraId="2DC167B2" w14:textId="77777777" w:rsidR="0008504F" w:rsidRDefault="0008504F">
      <w:pPr>
        <w:pStyle w:val="BodyText"/>
      </w:pPr>
    </w:p>
    <w:p w14:paraId="2DC167B3" w14:textId="77777777" w:rsidR="0008504F" w:rsidRDefault="0008504F">
      <w:pPr>
        <w:pStyle w:val="FirstParagraph"/>
      </w:pPr>
    </w:p>
    <w:p w14:paraId="2DC167B4" w14:textId="77777777" w:rsidR="0008504F" w:rsidRDefault="0008504F">
      <w:pPr>
        <w:pStyle w:val="FirstParagraph"/>
      </w:pPr>
    </w:p>
    <w:p w14:paraId="2DC167B5" w14:textId="77777777" w:rsidR="0008504F" w:rsidRDefault="00A870C6">
      <w:pPr>
        <w:pStyle w:val="Heading2"/>
      </w:pPr>
      <w:bookmarkStart w:id="10" w:name="_Toc184289784"/>
      <w:bookmarkStart w:id="11" w:name="estimation-of-hospitalizations-averted"/>
      <w:bookmarkEnd w:id="8"/>
      <w:r>
        <w:t>Estimation of hospitalizations averted</w:t>
      </w:r>
      <w:bookmarkEnd w:id="10"/>
    </w:p>
    <w:p w14:paraId="2DC167B6" w14:textId="77777777" w:rsidR="0008504F" w:rsidRDefault="00A870C6">
      <w:pPr>
        <w:pStyle w:val="FirstParagraph"/>
      </w:pPr>
      <w:r>
        <w:t>For each age group (</w:t>
      </w:r>
      <m:oMath>
        <m:r>
          <w:rPr>
            <w:rFonts w:ascii="Cambria Math" w:hAnsi="Cambria Math"/>
          </w:rPr>
          <m:t>i</m:t>
        </m:r>
      </m:oMath>
      <w:r>
        <w:t>), week (</w:t>
      </w:r>
      <m:oMath>
        <m:r>
          <w:rPr>
            <w:rFonts w:ascii="Cambria Math" w:hAnsi="Cambria Math"/>
          </w:rPr>
          <m:t>j</m:t>
        </m:r>
      </m:oMath>
      <w:r>
        <w:t>), and simulation (</w:t>
      </w:r>
      <m:oMath>
        <m:r>
          <w:rPr>
            <w:rFonts w:ascii="Cambria Math" w:hAnsi="Cambria Math"/>
          </w:rPr>
          <m:t>k</m:t>
        </m:r>
      </m:oMath>
      <w:r>
        <w:t xml:space="preserve">), we calculated the probability of COVID-19-associated hospitalization in the U.S. population,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oMath>
      <w:r>
        <w:t>, as</w:t>
      </w:r>
    </w:p>
    <w:p w14:paraId="2DC167B7" w14:textId="77777777" w:rsidR="0008504F" w:rsidRDefault="00A870C6">
      <w:pPr>
        <w:pStyle w:val="BodyText"/>
      </w:pPr>
      <m:oMathPara>
        <m:oMathParaPr>
          <m:jc m:val="center"/>
        </m:oMathParaP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r>
            <m:rPr>
              <m:sty m:val="p"/>
            </m:rPr>
            <w:rPr>
              <w:rFonts w:ascii="Cambria Math" w:hAnsi="Cambria Math"/>
            </w:rPr>
            <m:t>=</m:t>
          </m:r>
          <m:f>
            <m:fPr>
              <m:ctrlPr>
                <w:rPr>
                  <w:rFonts w:ascii="Cambria Math" w:hAnsi="Cambria Math"/>
                </w:rPr>
              </m:ctrlPr>
            </m:fPr>
            <m:num>
              <m:r>
                <w:rPr>
                  <w:rFonts w:ascii="Cambria Math" w:hAnsi="Cambria Math"/>
                </w:rPr>
                <m:t>C</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num>
            <m:den>
              <m:sSub>
                <m:sSubPr>
                  <m:ctrlPr>
                    <w:rPr>
                      <w:rFonts w:ascii="Cambria Math" w:hAnsi="Cambria Math"/>
                    </w:rPr>
                  </m:ctrlPr>
                </m:sSubPr>
                <m:e>
                  <m:r>
                    <w:rPr>
                      <w:rFonts w:ascii="Cambria Math" w:hAnsi="Cambria Math"/>
                    </w:rPr>
                    <m:t>N</m:t>
                  </m:r>
                </m:e>
                <m:sub>
                  <m:r>
                    <w:rPr>
                      <w:rFonts w:ascii="Cambria Math" w:hAnsi="Cambria Math"/>
                    </w:rPr>
                    <m:t>i</m:t>
                  </m:r>
                </m:sub>
              </m:sSub>
            </m:den>
          </m:f>
        </m:oMath>
      </m:oMathPara>
    </w:p>
    <w:p w14:paraId="2DC167B8" w14:textId="77777777" w:rsidR="0008504F" w:rsidRDefault="00A870C6">
      <w:pPr>
        <w:pStyle w:val="FirstParagraph"/>
      </w:pPr>
      <w:r>
        <w:t xml:space="preserve">where </w:t>
      </w:r>
      <m:oMath>
        <m:r>
          <w:rPr>
            <w:rFonts w:ascii="Cambria Math" w:hAnsi="Cambria Math"/>
          </w:rPr>
          <m:t>C</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oMath>
      <w:r>
        <w:t xml:space="preserve"> is the number of COVID-19-associated hospitalization in age group </w:t>
      </w:r>
      <m:oMath>
        <m:r>
          <w:rPr>
            <w:rFonts w:ascii="Cambria Math" w:hAnsi="Cambria Math"/>
          </w:rPr>
          <m:t>i</m:t>
        </m:r>
      </m:oMath>
      <w:r>
        <w:t xml:space="preserve">, week </w:t>
      </w:r>
      <m:oMath>
        <m:r>
          <w:rPr>
            <w:rFonts w:ascii="Cambria Math" w:hAnsi="Cambria Math"/>
          </w:rPr>
          <m:t>j</m:t>
        </m:r>
      </m:oMath>
      <w:r>
        <w:t xml:space="preserve">, and simulation </w:t>
      </w:r>
      <m:oMath>
        <m:r>
          <w:rPr>
            <w:rFonts w:ascii="Cambria Math" w:hAnsi="Cambria Math"/>
          </w:rPr>
          <m:t>k</m:t>
        </m:r>
      </m:oMath>
      <w:r>
        <w:t xml:space="preserve"> and </w:t>
      </w:r>
      <m:oMath>
        <m:sSub>
          <m:sSubPr>
            <m:ctrlPr>
              <w:rPr>
                <w:rFonts w:ascii="Cambria Math" w:hAnsi="Cambria Math"/>
              </w:rPr>
            </m:ctrlPr>
          </m:sSubPr>
          <m:e>
            <m:r>
              <w:rPr>
                <w:rFonts w:ascii="Cambria Math" w:hAnsi="Cambria Math"/>
              </w:rPr>
              <m:t>N</m:t>
            </m:r>
          </m:e>
          <m:sub>
            <m:r>
              <w:rPr>
                <w:rFonts w:ascii="Cambria Math" w:hAnsi="Cambria Math"/>
              </w:rPr>
              <m:t>i</m:t>
            </m:r>
          </m:sub>
        </m:sSub>
      </m:oMath>
      <w:r>
        <w:t xml:space="preserve"> is the U.S. population in age group </w:t>
      </w:r>
      <m:oMath>
        <m:r>
          <w:rPr>
            <w:rFonts w:ascii="Cambria Math" w:hAnsi="Cambria Math"/>
          </w:rPr>
          <m:t>i</m:t>
        </m:r>
      </m:oMath>
      <w:r>
        <w:t xml:space="preserve">. The probability of 2023-2024 COVID-19 vaccination in age group </w:t>
      </w:r>
      <m:oMath>
        <m:r>
          <w:rPr>
            <w:rFonts w:ascii="Cambria Math" w:hAnsi="Cambria Math"/>
          </w:rPr>
          <m:t>i</m:t>
        </m:r>
      </m:oMath>
      <w:r>
        <w:t xml:space="preserve">, week </w:t>
      </w:r>
      <m:oMath>
        <m:r>
          <w:rPr>
            <w:rFonts w:ascii="Cambria Math" w:hAnsi="Cambria Math"/>
          </w:rPr>
          <m:t>j</m:t>
        </m:r>
      </m:oMath>
      <w:r>
        <w:t xml:space="preserve">, and simulation </w:t>
      </w:r>
      <m:oMath>
        <m:r>
          <w:rPr>
            <w:rFonts w:ascii="Cambria Math" w:hAnsi="Cambria Math"/>
          </w:rPr>
          <m:t>k</m:t>
        </m:r>
      </m:oMath>
      <w:r>
        <w:t xml:space="preserve">,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e>
        </m:d>
      </m:oMath>
      <w:r>
        <w:t>, was generated from Monte Carlo simulations based on NIS data.</w:t>
      </w:r>
    </w:p>
    <w:p w14:paraId="2DC167B9" w14:textId="77777777" w:rsidR="0008504F" w:rsidRDefault="00A870C6">
      <w:pPr>
        <w:pStyle w:val="BodyText"/>
      </w:pPr>
      <w:r>
        <w:t xml:space="preserve">Using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e>
        </m:d>
      </m:oMath>
      <w:r>
        <w:t xml:space="preserve"> and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ijk</m:t>
                </m:r>
              </m:sub>
            </m:sSub>
          </m:e>
        </m:d>
      </m:oMath>
      <w:r>
        <w:t>, the probability of 2023-2024 COVID-19 vaccination in COVID-19-associated hospitalized people, we calculated the probability of COVID-19-associated hospitalization in people without a 2023-2024 COVID-19 vaccination via Bayes Theorem as</w:t>
      </w:r>
    </w:p>
    <w:p w14:paraId="2DC167BA" w14:textId="77777777" w:rsidR="0008504F" w:rsidRDefault="00A870C6">
      <w:pPr>
        <w:pStyle w:val="BodyText"/>
      </w:pPr>
      <m:oMathPara>
        <m:oMathParaPr>
          <m:jc m:val="center"/>
        </m:oMathParaPr>
        <m:oMath>
          <m:r>
            <m:rPr>
              <m:sty m:val="p"/>
            </m:rPr>
            <w:rPr>
              <w:rFonts w:ascii="Cambria Math" w:hAnsi="Cambria Math"/>
            </w:rPr>
            <w:lastRenderedPageBreak/>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r>
                <w:rPr>
                  <w:rFonts w:ascii="Cambria Math" w:hAnsi="Cambria Math"/>
                </w:rPr>
                <m:t>N</m:t>
              </m:r>
              <m:sSub>
                <m:sSubPr>
                  <m:ctrlPr>
                    <w:rPr>
                      <w:rFonts w:ascii="Cambria Math" w:hAnsi="Cambria Math"/>
                    </w:rPr>
                  </m:ctrlPr>
                </m:sSubPr>
                <m:e>
                  <m:r>
                    <w:rPr>
                      <w:rFonts w:ascii="Cambria Math" w:hAnsi="Cambria Math"/>
                    </w:rPr>
                    <m:t>V</m:t>
                  </m:r>
                </m:e>
                <m:sub>
                  <m:r>
                    <w:rPr>
                      <w:rFonts w:ascii="Cambria Math" w:hAnsi="Cambria Math"/>
                    </w:rPr>
                    <m:t>ijk</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Pr</m:t>
              </m:r>
              <m:d>
                <m:dPr>
                  <m:ctrlPr>
                    <w:rPr>
                      <w:rFonts w:ascii="Cambria Math" w:hAnsi="Cambria Math"/>
                    </w:rPr>
                  </m:ctrlPr>
                </m:dPr>
                <m:e>
                  <m:r>
                    <w:rPr>
                      <w:rFonts w:ascii="Cambria Math" w:hAnsi="Cambria Math"/>
                    </w:rPr>
                    <m:t>N</m:t>
                  </m:r>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ijk</m:t>
                      </m:r>
                    </m:sub>
                  </m:sSub>
                </m:e>
              </m:d>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num>
            <m:den>
              <m:r>
                <m:rPr>
                  <m:sty m:val="p"/>
                </m:rPr>
                <w:rPr>
                  <w:rFonts w:ascii="Cambria Math" w:hAnsi="Cambria Math"/>
                </w:rPr>
                <m:t>Pr</m:t>
              </m:r>
              <m:d>
                <m:dPr>
                  <m:ctrlPr>
                    <w:rPr>
                      <w:rFonts w:ascii="Cambria Math" w:hAnsi="Cambria Math"/>
                    </w:rPr>
                  </m:ctrlPr>
                </m:dPr>
                <m:e>
                  <m:r>
                    <w:rPr>
                      <w:rFonts w:ascii="Cambria Math" w:hAnsi="Cambria Math"/>
                    </w:rPr>
                    <m:t>N</m:t>
                  </m:r>
                  <m:sSub>
                    <m:sSubPr>
                      <m:ctrlPr>
                        <w:rPr>
                          <w:rFonts w:ascii="Cambria Math" w:hAnsi="Cambria Math"/>
                        </w:rPr>
                      </m:ctrlPr>
                    </m:sSubPr>
                    <m:e>
                      <m:r>
                        <w:rPr>
                          <w:rFonts w:ascii="Cambria Math" w:hAnsi="Cambria Math"/>
                        </w:rPr>
                        <m:t>V</m:t>
                      </m:r>
                    </m:e>
                    <m:sub>
                      <m:r>
                        <w:rPr>
                          <w:rFonts w:ascii="Cambria Math" w:hAnsi="Cambria Math"/>
                        </w:rPr>
                        <m:t>ijk</m:t>
                      </m:r>
                    </m:sub>
                  </m:sSub>
                </m:e>
              </m:d>
            </m:den>
          </m:f>
          <m:r>
            <m:rPr>
              <m:sty m:val="p"/>
            </m:rPr>
            <w:rPr>
              <w:rFonts w:ascii="Cambria Math" w:hAnsi="Cambria Math"/>
            </w:rPr>
            <m:t>=</m:t>
          </m:r>
          <m:f>
            <m:fPr>
              <m:ctrlPr>
                <w:rPr>
                  <w:rFonts w:ascii="Cambria Math" w:hAnsi="Cambria Math"/>
                </w:rPr>
              </m:ctrlPr>
            </m:fPr>
            <m:num>
              <m:d>
                <m:dPr>
                  <m:begChr m:val="["/>
                  <m:endChr m:val="]"/>
                  <m:ctrlPr>
                    <w:rPr>
                      <w:rFonts w:ascii="Cambria Math" w:hAnsi="Cambria Math"/>
                    </w:rPr>
                  </m:ctrlPr>
                </m:dPr>
                <m:e>
                  <m:r>
                    <w:rPr>
                      <w:rFonts w:ascii="Cambria Math" w:hAnsi="Cambria Math"/>
                    </w:rPr>
                    <m:t>1</m:t>
                  </m:r>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ijk</m:t>
                          </m:r>
                        </m:sub>
                      </m:sSub>
                    </m:e>
                  </m:d>
                </m:e>
              </m:d>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num>
            <m:den>
              <m:r>
                <w:rPr>
                  <w:rFonts w:ascii="Cambria Math" w:hAnsi="Cambria Math"/>
                </w:rPr>
                <m:t>1</m:t>
              </m:r>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e>
              </m:d>
            </m:den>
          </m:f>
          <m:r>
            <m:rPr>
              <m:sty m:val="p"/>
            </m:rPr>
            <w:rPr>
              <w:rFonts w:ascii="Cambria Math" w:hAnsi="Cambria Math"/>
            </w:rPr>
            <m:t>,</m:t>
          </m:r>
        </m:oMath>
      </m:oMathPara>
    </w:p>
    <w:p w14:paraId="2DC167BB" w14:textId="77777777" w:rsidR="0008504F" w:rsidRDefault="00A870C6">
      <w:pPr>
        <w:pStyle w:val="FirstParagraph"/>
      </w:pPr>
      <w:r>
        <w:t>and the probability of COVID-19-associated hospitalization in 2023-2024 COVID-19 vaccinated people as</w:t>
      </w:r>
    </w:p>
    <w:p w14:paraId="2DC167BC" w14:textId="77777777" w:rsidR="0008504F" w:rsidRDefault="00A870C6">
      <w:pPr>
        <w:pStyle w:val="BodyText"/>
      </w:pPr>
      <m:oMathPara>
        <m:oMathParaPr>
          <m:jc m:val="center"/>
        </m:oMathParaP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ijk</m:t>
                      </m:r>
                    </m:sub>
                  </m:sSub>
                </m:e>
              </m:d>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num>
            <m:den>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e>
              </m:d>
            </m:den>
          </m:f>
          <m:r>
            <m:rPr>
              <m:sty m:val="p"/>
            </m:rPr>
            <w:rPr>
              <w:rFonts w:ascii="Cambria Math" w:hAnsi="Cambria Math"/>
            </w:rPr>
            <m:t>.</m:t>
          </m:r>
        </m:oMath>
      </m:oMathPara>
    </w:p>
    <w:p w14:paraId="2DC167BD" w14:textId="77777777" w:rsidR="0008504F" w:rsidRDefault="00A870C6">
      <w:pPr>
        <w:pStyle w:val="FirstParagraph"/>
      </w:pPr>
      <w:r>
        <w:t xml:space="preserve">It followed that the number of 2023-2024 COVID-19 vaccinated and non-COVID-19-associated hospitalized people in age group </w:t>
      </w:r>
      <m:oMath>
        <m:r>
          <w:rPr>
            <w:rFonts w:ascii="Cambria Math" w:hAnsi="Cambria Math"/>
          </w:rPr>
          <m:t>i</m:t>
        </m:r>
      </m:oMath>
      <w:r>
        <w:t xml:space="preserve"> in week </w:t>
      </w:r>
      <m:oMath>
        <m:r>
          <w:rPr>
            <w:rFonts w:ascii="Cambria Math" w:hAnsi="Cambria Math"/>
          </w:rPr>
          <m:t>j</m:t>
        </m:r>
      </m:oMath>
      <w:r>
        <w:t xml:space="preserve"> was</w:t>
      </w:r>
    </w:p>
    <w:p w14:paraId="2DC167BE" w14:textId="77777777" w:rsidR="0008504F" w:rsidRDefault="00A870C6">
      <w:pPr>
        <w:pStyle w:val="BodyText"/>
      </w:pPr>
      <m:oMathPara>
        <m:oMathParaPr>
          <m:jc m:val="center"/>
        </m:oMathParaPr>
        <m:oMath>
          <m:r>
            <w:rPr>
              <w:rFonts w:ascii="Cambria Math" w:hAnsi="Cambria Math"/>
            </w:rPr>
            <m:t>C</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r>
                <w:rPr>
                  <w:rFonts w:ascii="Cambria Math" w:hAnsi="Cambria Math"/>
                </w:rPr>
                <m:t>N</m:t>
              </m:r>
              <m:sSub>
                <m:sSubPr>
                  <m:ctrlPr>
                    <w:rPr>
                      <w:rFonts w:ascii="Cambria Math" w:hAnsi="Cambria Math"/>
                    </w:rPr>
                  </m:ctrlPr>
                </m:sSubPr>
                <m:e>
                  <m:r>
                    <w:rPr>
                      <w:rFonts w:ascii="Cambria Math" w:hAnsi="Cambria Math"/>
                    </w:rPr>
                    <m:t>H</m:t>
                  </m:r>
                </m:e>
                <m:sub>
                  <m:r>
                    <w:rPr>
                      <w:rFonts w:ascii="Cambria Math" w:hAnsi="Cambria Math"/>
                    </w:rPr>
                    <m:t>ijk</m:t>
                  </m:r>
                </m:sub>
              </m:sSub>
            </m:e>
          </m:d>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i</m:t>
              </m:r>
            </m:sub>
          </m:sSub>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e>
          </m:d>
          <m:r>
            <m:rPr>
              <m:sty m:val="p"/>
            </m:rPr>
            <w:rPr>
              <w:rFonts w:ascii="Cambria Math" w:hAnsi="Cambria Math"/>
            </w:rPr>
            <m:t>*</m:t>
          </m:r>
          <m:d>
            <m:dPr>
              <m:begChr m:val="["/>
              <m:endChr m:val="]"/>
              <m:ctrlPr>
                <w:rPr>
                  <w:rFonts w:ascii="Cambria Math" w:hAnsi="Cambria Math"/>
                </w:rPr>
              </m:ctrlPr>
            </m:dPr>
            <m:e>
              <m:r>
                <w:rPr>
                  <w:rFonts w:ascii="Cambria Math" w:hAnsi="Cambria Math"/>
                </w:rPr>
                <m:t>1</m:t>
              </m:r>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e>
          </m:d>
          <m:r>
            <m:rPr>
              <m:sty m:val="p"/>
            </m:rPr>
            <w:rPr>
              <w:rFonts w:ascii="Cambria Math" w:hAnsi="Cambria Math"/>
            </w:rPr>
            <m:t>.</m:t>
          </m:r>
        </m:oMath>
      </m:oMathPara>
    </w:p>
    <w:p w14:paraId="2DC167BF" w14:textId="77777777" w:rsidR="0008504F" w:rsidRDefault="00A870C6">
      <w:pPr>
        <w:pStyle w:val="FirstParagraph"/>
      </w:pPr>
      <w:r>
        <w:t xml:space="preserve">The overall sum for simulation </w:t>
      </w:r>
      <m:oMath>
        <m:r>
          <w:rPr>
            <w:rFonts w:ascii="Cambria Math" w:hAnsi="Cambria Math"/>
          </w:rPr>
          <m:t>k</m:t>
        </m:r>
      </m:oMath>
      <w:r>
        <w:t xml:space="preserve"> was</w:t>
      </w:r>
    </w:p>
    <w:p w14:paraId="2DC167C0" w14:textId="77777777" w:rsidR="0008504F" w:rsidRDefault="00A870C6">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H</m:t>
              </m:r>
              <m:sSub>
                <m:sSubPr>
                  <m:ctrlPr>
                    <w:rPr>
                      <w:rFonts w:ascii="Cambria Math" w:hAnsi="Cambria Math"/>
                    </w:rPr>
                  </m:ctrlPr>
                </m:sSubPr>
                <m:e>
                  <m:r>
                    <w:rPr>
                      <w:rFonts w:ascii="Cambria Math" w:hAnsi="Cambria Math"/>
                    </w:rPr>
                    <m:t>A</m:t>
                  </m:r>
                </m:e>
                <m:sub>
                  <m:r>
                    <w:rPr>
                      <w:rFonts w:ascii="Cambria Math" w:hAnsi="Cambria Math"/>
                    </w:rPr>
                    <m:t>k</m:t>
                  </m:r>
                </m:sub>
              </m:sSub>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d>
                    <m:dPr>
                      <m:begChr m:val="["/>
                      <m:endChr m:val="]"/>
                      <m:ctrlPr>
                        <w:rPr>
                          <w:rFonts w:ascii="Cambria Math" w:hAnsi="Cambria Math"/>
                        </w:rPr>
                      </m:ctrlPr>
                    </m:dPr>
                    <m:e>
                      <m:r>
                        <w:rPr>
                          <w:rFonts w:ascii="Cambria Math" w:hAnsi="Cambria Math"/>
                        </w:rPr>
                        <m:t>C</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r>
                            <w:rPr>
                              <w:rFonts w:ascii="Cambria Math" w:hAnsi="Cambria Math"/>
                            </w:rPr>
                            <m:t>N</m:t>
                          </m:r>
                          <m:sSub>
                            <m:sSubPr>
                              <m:ctrlPr>
                                <w:rPr>
                                  <w:rFonts w:ascii="Cambria Math" w:hAnsi="Cambria Math"/>
                                </w:rPr>
                              </m:ctrlPr>
                            </m:sSubPr>
                            <m:e>
                              <m:r>
                                <w:rPr>
                                  <w:rFonts w:ascii="Cambria Math" w:hAnsi="Cambria Math"/>
                                </w:rPr>
                                <m:t>H</m:t>
                              </m:r>
                            </m:e>
                            <m:sub>
                              <m:r>
                                <w:rPr>
                                  <w:rFonts w:ascii="Cambria Math" w:hAnsi="Cambria Math"/>
                                </w:rPr>
                                <m:t>ijk</m:t>
                              </m:r>
                            </m:sub>
                          </m:sSub>
                        </m:e>
                      </m:d>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e>
                  </m:d>
                </m:e>
              </m:nary>
            </m:e>
          </m:nary>
          <m:r>
            <m:rPr>
              <m:sty m:val="p"/>
            </m:rPr>
            <w:rPr>
              <w:rFonts w:ascii="Cambria Math" w:hAnsi="Cambria Math"/>
            </w:rPr>
            <m:t>.</m:t>
          </m:r>
        </m:oMath>
      </m:oMathPara>
    </w:p>
    <w:p w14:paraId="2DC167C1" w14:textId="77777777" w:rsidR="0008504F" w:rsidRDefault="00A870C6">
      <w:pPr>
        <w:pStyle w:val="FirstParagraph"/>
      </w:pPr>
      <w:r>
        <w:t xml:space="preserve">Sensitivity analyses inserted other values for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oMath>
      <w:r>
        <w:t xml:space="preserve"> in the previous formula. One value we wanted to try was a value of </w:t>
      </w:r>
      <m:oMath>
        <m:r>
          <w:rPr>
            <w:rFonts w:ascii="Cambria Math" w:hAnsi="Cambria Math"/>
          </w:rPr>
          <m:t>γ</m:t>
        </m:r>
      </m:oMath>
      <w:r>
        <w:t xml:space="preserve"> between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and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NV</m:t>
            </m:r>
          </m:e>
        </m:d>
      </m:oMath>
      <w:r>
        <w:t xml:space="preserve">. For this, we used a second simulation to devise an estimate, </w:t>
      </w:r>
      <m:oMath>
        <m:acc>
          <m:accPr>
            <m:ctrlPr>
              <w:rPr>
                <w:rFonts w:ascii="Cambria Math" w:hAnsi="Cambria Math"/>
              </w:rPr>
            </m:ctrlPr>
          </m:accPr>
          <m:e>
            <m:r>
              <w:rPr>
                <w:rFonts w:ascii="Cambria Math" w:hAnsi="Cambria Math"/>
              </w:rPr>
              <m:t>γ</m:t>
            </m:r>
          </m:e>
        </m:acc>
      </m:oMath>
      <w:r>
        <w:t xml:space="preserve">, to allow for a distribution of </w:t>
      </w:r>
      <m:oMath>
        <m:r>
          <w:rPr>
            <w:rFonts w:ascii="Cambria Math" w:hAnsi="Cambria Math"/>
          </w:rPr>
          <m:t>γ</m:t>
        </m:r>
      </m:oMath>
      <w:r>
        <w:t xml:space="preserve"> and uncertainty about the estimate of </w:t>
      </w:r>
      <m:oMath>
        <m:r>
          <w:rPr>
            <w:rFonts w:ascii="Cambria Math" w:hAnsi="Cambria Math"/>
          </w:rPr>
          <m:t>γ</m:t>
        </m:r>
      </m:oMath>
      <w:r>
        <w:t xml:space="preserve">. Details on the construction of </w:t>
      </w:r>
      <m:oMath>
        <m:acc>
          <m:accPr>
            <m:ctrlPr>
              <w:rPr>
                <w:rFonts w:ascii="Cambria Math" w:hAnsi="Cambria Math"/>
              </w:rPr>
            </m:ctrlPr>
          </m:accPr>
          <m:e>
            <m:r>
              <w:rPr>
                <w:rFonts w:ascii="Cambria Math" w:hAnsi="Cambria Math"/>
              </w:rPr>
              <m:t>γ</m:t>
            </m:r>
          </m:e>
        </m:acc>
      </m:oMath>
      <w:r>
        <w:t xml:space="preserve"> are included in the next subsection.</w:t>
      </w:r>
    </w:p>
    <w:p w14:paraId="2DC167C2" w14:textId="77777777" w:rsidR="0008504F" w:rsidRDefault="00A870C6">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H</m:t>
              </m:r>
              <m:sSubSup>
                <m:sSubSupPr>
                  <m:ctrlPr>
                    <w:rPr>
                      <w:rFonts w:ascii="Cambria Math" w:hAnsi="Cambria Math"/>
                    </w:rPr>
                  </m:ctrlPr>
                </m:sSubSupPr>
                <m:e>
                  <m:r>
                    <w:rPr>
                      <w:rFonts w:ascii="Cambria Math" w:hAnsi="Cambria Math"/>
                    </w:rPr>
                    <m:t>A</m:t>
                  </m:r>
                </m:e>
                <m:sub>
                  <m:r>
                    <w:rPr>
                      <w:rFonts w:ascii="Cambria Math" w:hAnsi="Cambria Math"/>
                    </w:rPr>
                    <m:t>k</m:t>
                  </m:r>
                </m:sub>
                <m:sup>
                  <m:r>
                    <w:rPr>
                      <w:rFonts w:ascii="Cambria Math" w:hAnsi="Cambria Math"/>
                    </w:rPr>
                    <m:t>γ</m:t>
                  </m:r>
                </m:sup>
              </m:sSubSup>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d>
                    <m:dPr>
                      <m:begChr m:val="["/>
                      <m:endChr m:val="]"/>
                      <m:ctrlPr>
                        <w:rPr>
                          <w:rFonts w:ascii="Cambria Math" w:hAnsi="Cambria Math"/>
                        </w:rPr>
                      </m:ctrlPr>
                    </m:dPr>
                    <m:e>
                      <m:r>
                        <w:rPr>
                          <w:rFonts w:ascii="Cambria Math" w:hAnsi="Cambria Math"/>
                        </w:rPr>
                        <m:t>C</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r>
                            <w:rPr>
                              <w:rFonts w:ascii="Cambria Math" w:hAnsi="Cambria Math"/>
                            </w:rPr>
                            <m:t>N</m:t>
                          </m:r>
                          <m:sSub>
                            <m:sSubPr>
                              <m:ctrlPr>
                                <w:rPr>
                                  <w:rFonts w:ascii="Cambria Math" w:hAnsi="Cambria Math"/>
                                </w:rPr>
                              </m:ctrlPr>
                            </m:sSubPr>
                            <m:e>
                              <m:r>
                                <w:rPr>
                                  <w:rFonts w:ascii="Cambria Math" w:hAnsi="Cambria Math"/>
                                </w:rPr>
                                <m:t>H</m:t>
                              </m:r>
                            </m:e>
                            <m:sub>
                              <m:r>
                                <w:rPr>
                                  <w:rFonts w:ascii="Cambria Math" w:hAnsi="Cambria Math"/>
                                </w:rPr>
                                <m:t>ijk</m:t>
                              </m:r>
                            </m:sub>
                          </m:sSub>
                        </m:e>
                      </m:d>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w:rPr>
                                  <w:rFonts w:ascii="Cambria Math" w:hAnsi="Cambria Math"/>
                                </w:rPr>
                                <m:t>γ</m:t>
                              </m:r>
                            </m:e>
                          </m:acc>
                        </m:e>
                        <m:sub>
                          <m:r>
                            <w:rPr>
                              <w:rFonts w:ascii="Cambria Math" w:hAnsi="Cambria Math"/>
                            </w:rPr>
                            <m:t>ijk</m:t>
                          </m:r>
                        </m:sub>
                      </m:sSub>
                    </m:e>
                  </m:d>
                </m:e>
              </m:nary>
            </m:e>
          </m:nary>
          <m:r>
            <m:rPr>
              <m:sty m:val="p"/>
            </m:rPr>
            <w:rPr>
              <w:rFonts w:ascii="Cambria Math" w:hAnsi="Cambria Math"/>
            </w:rPr>
            <m:t>.</m:t>
          </m:r>
        </m:oMath>
      </m:oMathPara>
    </w:p>
    <w:p w14:paraId="2DC167C3" w14:textId="73B8C152" w:rsidR="0008504F" w:rsidRDefault="00A870C6">
      <w:pPr>
        <w:pStyle w:val="FirstParagraph"/>
      </w:pPr>
      <w:r>
        <w:t xml:space="preserve">Estimates by age group were created by summing over a fixed value of </w:t>
      </w:r>
      <m:oMath>
        <m:r>
          <w:rPr>
            <w:rFonts w:ascii="Cambria Math" w:hAnsi="Cambria Math"/>
          </w:rPr>
          <m:t>i</m:t>
        </m:r>
      </m:oMath>
      <w:r>
        <w:t>. For instance, if we wanted to estimate the COVID-19-associated hospitalization</w:t>
      </w:r>
      <w:r w:rsidR="008119E4">
        <w:t>s</w:t>
      </w:r>
      <w:r>
        <w:t xml:space="preserve"> averted for the age group </w:t>
      </w:r>
      <m:oMath>
        <m:r>
          <w:rPr>
            <w:rFonts w:ascii="Cambria Math" w:hAnsi="Cambria Math"/>
          </w:rPr>
          <m:t>i</m:t>
        </m:r>
        <m:r>
          <m:rPr>
            <m:sty m:val="p"/>
          </m:rPr>
          <w:rPr>
            <w:rFonts w:ascii="Cambria Math" w:hAnsi="Cambria Math"/>
          </w:rPr>
          <m:t>=</m:t>
        </m:r>
        <m:r>
          <w:rPr>
            <w:rFonts w:ascii="Cambria Math" w:hAnsi="Cambria Math"/>
          </w:rPr>
          <m:t>1</m:t>
        </m:r>
      </m:oMath>
      <w:r>
        <w:t xml:space="preserve">, we could modify the equation using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oMath>
      <w:r>
        <w:t xml:space="preserve"> to</w:t>
      </w:r>
    </w:p>
    <w:p w14:paraId="2DC167C4" w14:textId="77777777" w:rsidR="0008504F" w:rsidRDefault="00A870C6">
      <w:pPr>
        <w:pStyle w:val="BodyText"/>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H</m:t>
              </m:r>
              <m:sSub>
                <m:sSubPr>
                  <m:ctrlPr>
                    <w:rPr>
                      <w:rFonts w:ascii="Cambria Math" w:hAnsi="Cambria Math"/>
                    </w:rPr>
                  </m:ctrlPr>
                </m:sSubPr>
                <m:e>
                  <m:r>
                    <w:rPr>
                      <w:rFonts w:ascii="Cambria Math" w:hAnsi="Cambria Math"/>
                    </w:rPr>
                    <m:t>A</m:t>
                  </m:r>
                </m:e>
                <m:sub>
                  <m:r>
                    <w:rPr>
                      <w:rFonts w:ascii="Cambria Math" w:hAnsi="Cambria Math"/>
                    </w:rPr>
                    <m:t>i</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k</m:t>
                  </m:r>
                </m:sub>
              </m:sSub>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d>
                <m:dPr>
                  <m:begChr m:val="["/>
                  <m:endChr m:val="]"/>
                  <m:ctrlPr>
                    <w:rPr>
                      <w:rFonts w:ascii="Cambria Math" w:hAnsi="Cambria Math"/>
                    </w:rPr>
                  </m:ctrlPr>
                </m:dPr>
                <m:e>
                  <m:r>
                    <w:rPr>
                      <w:rFonts w:ascii="Cambria Math" w:hAnsi="Cambria Math"/>
                    </w:rPr>
                    <m:t>C</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1</m:t>
                          </m:r>
                          <m:r>
                            <m:rPr>
                              <m:sty m:val="p"/>
                            </m:rPr>
                            <w:rPr>
                              <w:rFonts w:ascii="Cambria Math" w:hAnsi="Cambria Math"/>
                            </w:rPr>
                            <m:t>,</m:t>
                          </m:r>
                          <m:r>
                            <w:rPr>
                              <w:rFonts w:ascii="Cambria Math" w:hAnsi="Cambria Math"/>
                            </w:rPr>
                            <m:t>jk</m:t>
                          </m:r>
                        </m:sub>
                      </m:sSub>
                      <m:r>
                        <m:rPr>
                          <m:sty m:val="p"/>
                        </m:rPr>
                        <w:rPr>
                          <w:rFonts w:ascii="Cambria Math" w:hAnsi="Cambria Math"/>
                        </w:rPr>
                        <m:t>,</m:t>
                      </m:r>
                      <m:r>
                        <w:rPr>
                          <w:rFonts w:ascii="Cambria Math" w:hAnsi="Cambria Math"/>
                        </w:rPr>
                        <m:t>N</m:t>
                      </m:r>
                      <m:sSub>
                        <m:sSubPr>
                          <m:ctrlPr>
                            <w:rPr>
                              <w:rFonts w:ascii="Cambria Math" w:hAnsi="Cambria Math"/>
                            </w:rPr>
                          </m:ctrlPr>
                        </m:sSubPr>
                        <m:e>
                          <m:r>
                            <w:rPr>
                              <w:rFonts w:ascii="Cambria Math" w:hAnsi="Cambria Math"/>
                            </w:rPr>
                            <m:t>H</m:t>
                          </m:r>
                        </m:e>
                        <m:sub>
                          <m:r>
                            <w:rPr>
                              <w:rFonts w:ascii="Cambria Math" w:hAnsi="Cambria Math"/>
                            </w:rPr>
                            <m:t>1</m:t>
                          </m:r>
                          <m:r>
                            <m:rPr>
                              <m:sty m:val="p"/>
                            </m:rPr>
                            <w:rPr>
                              <w:rFonts w:ascii="Cambria Math" w:hAnsi="Cambria Math"/>
                            </w:rPr>
                            <m:t>,</m:t>
                          </m:r>
                          <m:r>
                            <w:rPr>
                              <w:rFonts w:ascii="Cambria Math" w:hAnsi="Cambria Math"/>
                            </w:rPr>
                            <m:t>jk</m:t>
                          </m:r>
                        </m:sub>
                      </m:sSub>
                    </m:e>
                  </m:d>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1</m:t>
                          </m:r>
                          <m:r>
                            <m:rPr>
                              <m:sty m:val="p"/>
                            </m:rPr>
                            <w:rPr>
                              <w:rFonts w:ascii="Cambria Math" w:hAnsi="Cambria Math"/>
                            </w:rPr>
                            <m:t>,</m:t>
                          </m:r>
                          <m:r>
                            <w:rPr>
                              <w:rFonts w:ascii="Cambria Math" w:hAnsi="Cambria Math"/>
                            </w:rPr>
                            <m:t>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1</m:t>
                          </m:r>
                          <m:r>
                            <m:rPr>
                              <m:sty m:val="p"/>
                            </m:rPr>
                            <w:rPr>
                              <w:rFonts w:ascii="Cambria Math" w:hAnsi="Cambria Math"/>
                            </w:rPr>
                            <m:t>,</m:t>
                          </m:r>
                          <m:r>
                            <w:rPr>
                              <w:rFonts w:ascii="Cambria Math" w:hAnsi="Cambria Math"/>
                            </w:rPr>
                            <m:t>jk</m:t>
                          </m:r>
                        </m:sub>
                      </m:sSub>
                    </m:e>
                  </m:d>
                </m:e>
              </m:d>
            </m:e>
          </m:nary>
          <m:r>
            <m:rPr>
              <m:sty m:val="p"/>
            </m:rPr>
            <w:rPr>
              <w:rFonts w:ascii="Cambria Math" w:hAnsi="Cambria Math"/>
            </w:rPr>
            <m:t>.</m:t>
          </m:r>
        </m:oMath>
      </m:oMathPara>
    </w:p>
    <w:p w14:paraId="2DC167C5" w14:textId="77777777" w:rsidR="0008504F" w:rsidRDefault="00A870C6">
      <w:pPr>
        <w:pStyle w:val="FirstParagraph"/>
      </w:pPr>
      <w:r>
        <w:t>The same follows for all other age groups.</w:t>
      </w:r>
    </w:p>
    <w:p w14:paraId="2DC167C6" w14:textId="77777777" w:rsidR="0008504F" w:rsidRDefault="00A870C6">
      <w:pPr>
        <w:pStyle w:val="BodyText"/>
      </w:pPr>
      <w:r>
        <w:t>COVID-19-associated hospitalization averted were summarized by the median, 2.5th quantile, and 97.5th quantile of all Monte Carlo simulations.</w:t>
      </w:r>
    </w:p>
    <w:p w14:paraId="2DC167C7" w14:textId="77777777" w:rsidR="0008504F" w:rsidRDefault="0008504F">
      <w:pPr>
        <w:pStyle w:val="BodyText"/>
      </w:pPr>
    </w:p>
    <w:p w14:paraId="2DC167C8" w14:textId="77777777" w:rsidR="0008504F" w:rsidRDefault="00A870C6">
      <w:pPr>
        <w:pStyle w:val="Heading2"/>
      </w:pPr>
      <w:bookmarkStart w:id="12" w:name="_Toc184289785"/>
      <w:bookmarkStart w:id="13" w:name="measuring-uncertainty"/>
      <w:bookmarkEnd w:id="11"/>
      <w:r>
        <w:t>Measuring uncertainty</w:t>
      </w:r>
      <w:bookmarkEnd w:id="12"/>
    </w:p>
    <w:p w14:paraId="2DC167C9" w14:textId="77777777" w:rsidR="0008504F" w:rsidRDefault="00A870C6">
      <w:pPr>
        <w:pStyle w:val="FirstParagraph"/>
      </w:pPr>
      <w:r>
        <w:t xml:space="preserve">Estimated national hospitalization counts were produced using Bayesian modeling of temporal trends in age group-specific COVID-19-associated hospitalizations reported in the COVID-NET sentinel surveillance system.[4] The modeling used to estimate national hospitalization counts incorporated estimation of temporal dependence among weekly </w:t>
      </w:r>
      <w:r>
        <w:lastRenderedPageBreak/>
        <w:t>reported counts, random COVID-NET site-level effects, variability in testing practices, among hospital inpatients, and the estimated uncertainty due to extrapolation from the COVID-NET catchment to national populations. The resulting uncertainty in the estimated national hospitalization counts was treated as a starting point for estimation of uncertainty in the averted burden due to vaccination.</w:t>
      </w:r>
    </w:p>
    <w:p w14:paraId="2DC167CA" w14:textId="5024D8D2" w:rsidR="0008504F" w:rsidRDefault="00A870C6">
      <w:pPr>
        <w:pStyle w:val="BodyText"/>
      </w:pPr>
      <w:r>
        <w:t xml:space="preserve">A Monte Carlo simulation approach was used to estimate the additional uncertainty in the averted burden estimates reflecting both uncertainty in the estimated national hospitalization counts and that associated with the multiples used to derived averted burden based on those counts. This Monte Carlo simulation process was performed in two steps. The first step focused on sampling uncertain values for 2023-2024 COVID-19 vaccination coverage, and monthly realizations for </w:t>
      </w:r>
      <m:oMath>
        <m:r>
          <m:rPr>
            <m:sty m:val="p"/>
          </m:rPr>
          <w:rPr>
            <w:rFonts w:ascii="Cambria Math" w:hAnsi="Cambria Math"/>
          </w:rPr>
          <m:t>Pr</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H</m:t>
            </m:r>
          </m:e>
        </m:d>
      </m:oMath>
      <w:r>
        <w:t>. Multivariate standard Gaussian distributions were used to generate the possible values for these parameters. Standard Gaussian distributions had a mean of zero and variance of 1, meaning the vector of means was all zeros and the covariance matrix was a correlation matrix had 1’s along the diagonal and correlations in all other elements. The correlation matrix used possessed sub matrices that defined the correlations within a data element (between age groups and between months) and between data elements.</w:t>
      </w:r>
    </w:p>
    <w:p w14:paraId="2DC167CB" w14:textId="77777777" w:rsidR="0008504F" w:rsidRDefault="00A870C6">
      <w:pPr>
        <w:pStyle w:val="BodyText"/>
      </w:pPr>
      <w:r>
        <w:t xml:space="preserve">For 2023-2024 COVID-19 vaccination coverage and </w:t>
      </w:r>
      <m:oMath>
        <m:r>
          <m:rPr>
            <m:sty m:val="p"/>
          </m:rPr>
          <w:rPr>
            <w:rFonts w:ascii="Cambria Math" w:hAnsi="Cambria Math"/>
          </w:rPr>
          <m:t>Pr</m:t>
        </m:r>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H</m:t>
            </m:r>
          </m:e>
        </m:d>
      </m:oMath>
      <w:r>
        <w:t xml:space="preserve">, correlations of </w:t>
      </w:r>
      <m:oMath>
        <m:r>
          <w:rPr>
            <w:rFonts w:ascii="Cambria Math" w:hAnsi="Cambria Math"/>
          </w:rPr>
          <m:t>ρ</m:t>
        </m:r>
        <m:r>
          <m:rPr>
            <m:sty m:val="p"/>
          </m:rPr>
          <w:rPr>
            <w:rFonts w:ascii="Cambria Math" w:hAnsi="Cambria Math"/>
          </w:rPr>
          <m:t>={</m:t>
        </m:r>
        <m:r>
          <w:rPr>
            <w:rFonts w:ascii="Cambria Math" w:hAnsi="Cambria Math"/>
          </w:rPr>
          <m:t>0.00</m:t>
        </m:r>
        <m:r>
          <m:rPr>
            <m:sty m:val="p"/>
          </m:rPr>
          <w:rPr>
            <w:rFonts w:ascii="Cambria Math" w:hAnsi="Cambria Math"/>
          </w:rPr>
          <m:t>,</m:t>
        </m:r>
        <m:r>
          <w:rPr>
            <w:rFonts w:ascii="Cambria Math" w:hAnsi="Cambria Math"/>
          </w:rPr>
          <m:t>0.25</m:t>
        </m:r>
        <m:r>
          <m:rPr>
            <m:sty m:val="p"/>
          </m:rPr>
          <w:rPr>
            <w:rFonts w:ascii="Cambria Math" w:hAnsi="Cambria Math"/>
          </w:rPr>
          <m:t>,</m:t>
        </m:r>
        <m:r>
          <w:rPr>
            <w:rFonts w:ascii="Cambria Math" w:hAnsi="Cambria Math"/>
          </w:rPr>
          <m:t>0.50</m:t>
        </m:r>
        <m:r>
          <m:rPr>
            <m:sty m:val="p"/>
          </m:rPr>
          <w:rPr>
            <w:rFonts w:ascii="Cambria Math" w:hAnsi="Cambria Math"/>
          </w:rPr>
          <m:t>,</m:t>
        </m:r>
        <m:r>
          <w:rPr>
            <w:rFonts w:ascii="Cambria Math" w:hAnsi="Cambria Math"/>
          </w:rPr>
          <m:t>0.75</m:t>
        </m:r>
        <m:r>
          <m:rPr>
            <m:sty m:val="p"/>
          </m:rPr>
          <w:rPr>
            <w:rFonts w:ascii="Cambria Math" w:hAnsi="Cambria Math"/>
          </w:rPr>
          <m:t>}</m:t>
        </m:r>
      </m:oMath>
      <w:r>
        <w:t xml:space="preserve"> and two correlation structures (autoregressive order 1 and compound symmetry) for nonzero values of </w:t>
      </w:r>
      <m:oMath>
        <m:r>
          <w:rPr>
            <w:rFonts w:ascii="Cambria Math" w:hAnsi="Cambria Math"/>
          </w:rPr>
          <m:t>ρ</m:t>
        </m:r>
      </m:oMath>
      <w:r>
        <w:t xml:space="preserve"> were used. Correlations between data elements were nonzero only for the same month and age group. The same value of </w:t>
      </w:r>
      <m:oMath>
        <m:r>
          <w:rPr>
            <w:rFonts w:ascii="Cambria Math" w:hAnsi="Cambria Math"/>
          </w:rPr>
          <m:t>ρ</m:t>
        </m:r>
      </m:oMath>
      <w:r>
        <w:t xml:space="preserve"> was used for cells of the same month and age group between different elements, though the sign (positive, negative, or zero implying no correlation) was based on the assumed relationships listed in Table 2.</w:t>
      </w:r>
    </w:p>
    <w:p w14:paraId="2DC167CC" w14:textId="77777777" w:rsidR="0008504F" w:rsidRDefault="00A870C6">
      <w:r>
        <w:br w:type="page"/>
      </w:r>
    </w:p>
    <w:p w14:paraId="2DC167CD" w14:textId="77777777" w:rsidR="0008504F" w:rsidRDefault="00A870C6">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S2. Direction of correlations between data sources</w:t>
      </w:r>
    </w:p>
    <w:tbl>
      <w:tblPr>
        <w:tblStyle w:val="Table"/>
        <w:tblW w:w="0" w:type="pct"/>
        <w:jc w:val="center"/>
        <w:tblLook w:val="0420" w:firstRow="1" w:lastRow="0" w:firstColumn="0" w:lastColumn="0" w:noHBand="0" w:noVBand="1"/>
      </w:tblPr>
      <w:tblGrid>
        <w:gridCol w:w="1321"/>
        <w:gridCol w:w="1268"/>
        <w:gridCol w:w="983"/>
      </w:tblGrid>
      <w:tr w:rsidR="0008504F" w14:paraId="2DC167D1" w14:textId="77777777" w:rsidTr="0008504F">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CE"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Data.Source..1</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CF"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Data.Source..2</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7D0"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Correlation</w:t>
            </w:r>
          </w:p>
        </w:tc>
      </w:tr>
      <w:tr w:rsidR="0008504F" w14:paraId="2DC167D5" w14:textId="77777777" w:rsidTr="0008504F">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2"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3"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Coverage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4"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Negative</w:t>
            </w:r>
          </w:p>
        </w:tc>
      </w:tr>
      <w:tr w:rsidR="0008504F" w14:paraId="2DC167D9"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6"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7"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Pr(V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8"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Positive</w:t>
            </w:r>
          </w:p>
        </w:tc>
      </w:tr>
      <w:tr w:rsidR="0008504F" w14:paraId="2DC167DD"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A"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B"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C"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Negative</w:t>
            </w:r>
          </w:p>
        </w:tc>
      </w:tr>
      <w:tr w:rsidR="0008504F" w14:paraId="2DC167E1"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E"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DF"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Pr(ICU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0"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Zero</w:t>
            </w:r>
          </w:p>
        </w:tc>
      </w:tr>
      <w:tr w:rsidR="0008504F" w14:paraId="2DC167E5"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2"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3"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Pr(IHD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4"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Zero</w:t>
            </w:r>
          </w:p>
        </w:tc>
      </w:tr>
      <w:tr w:rsidR="0008504F" w14:paraId="2DC167E9"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6"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Coverage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7"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Pr(V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8"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Negative</w:t>
            </w:r>
          </w:p>
        </w:tc>
      </w:tr>
      <w:tr w:rsidR="0008504F" w14:paraId="2DC167ED"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A"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Coverage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B"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C"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Zero</w:t>
            </w:r>
          </w:p>
        </w:tc>
      </w:tr>
      <w:tr w:rsidR="0008504F" w14:paraId="2DC167F1"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E"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Coverage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EF"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Pr(ICU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0"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Zero</w:t>
            </w:r>
          </w:p>
        </w:tc>
      </w:tr>
      <w:tr w:rsidR="0008504F" w14:paraId="2DC167F5"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2"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Coverage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3"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Pr(IHD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4"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Zero</w:t>
            </w:r>
          </w:p>
        </w:tc>
      </w:tr>
      <w:tr w:rsidR="0008504F" w14:paraId="2DC167F9"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6"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Pr(V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7"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8"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Negative</w:t>
            </w:r>
          </w:p>
        </w:tc>
      </w:tr>
      <w:tr w:rsidR="0008504F" w14:paraId="2DC167FD"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A"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Pr(V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B"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Pr(ICU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C"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Zero</w:t>
            </w:r>
          </w:p>
        </w:tc>
      </w:tr>
      <w:tr w:rsidR="0008504F" w14:paraId="2DC16801"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E"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Pr(V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7FF"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Pr(IHD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800"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Zero</w:t>
            </w:r>
          </w:p>
        </w:tc>
      </w:tr>
      <w:tr w:rsidR="0008504F" w14:paraId="2DC16805"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802"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803"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Pr(ICU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804"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Zero</w:t>
            </w:r>
          </w:p>
        </w:tc>
      </w:tr>
      <w:tr w:rsidR="0008504F" w14:paraId="2DC16809" w14:textId="77777777" w:rsidTr="0008504F">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806"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807"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Pr(IHD |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16808"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Zero</w:t>
            </w:r>
          </w:p>
        </w:tc>
      </w:tr>
      <w:tr w:rsidR="0008504F" w14:paraId="2DC1680D" w14:textId="77777777" w:rsidTr="0008504F">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80A"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Pr(ICU | H)</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80B"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Pr(IHD | H)</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C1680C" w14:textId="77777777" w:rsidR="0008504F" w:rsidRDefault="00A870C6">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Zero</w:t>
            </w:r>
          </w:p>
        </w:tc>
      </w:tr>
    </w:tbl>
    <w:p w14:paraId="2DC1680E" w14:textId="77777777" w:rsidR="0008504F" w:rsidRDefault="0008504F">
      <w:pPr>
        <w:pStyle w:val="BodyText"/>
      </w:pPr>
    </w:p>
    <w:p w14:paraId="2DC1680F" w14:textId="77777777" w:rsidR="0008504F" w:rsidRDefault="00A870C6">
      <w:pPr>
        <w:pStyle w:val="FirstParagraph"/>
      </w:pPr>
      <w:r>
        <w:t>In the event that the correlation matrix was not positive definite, the nearest symmetric, positive semidefinite matrix was utilized.[5]</w:t>
      </w:r>
    </w:p>
    <w:p w14:paraId="2DC16810" w14:textId="77777777" w:rsidR="0008504F" w:rsidRDefault="00A870C6">
      <w:pPr>
        <w:pStyle w:val="BodyText"/>
      </w:pPr>
      <w:r>
        <w:t>Simulated, standard normal data were transformed back to original scales by multiplying by the standard deviation and adding the mean. Simulated values that were outside of range or undefined were truncated or assigned logical values, specifically:</w:t>
      </w:r>
    </w:p>
    <w:p w14:paraId="2DC16811" w14:textId="77777777" w:rsidR="0008504F" w:rsidRDefault="00A870C6">
      <w:pPr>
        <w:pStyle w:val="Compact"/>
        <w:numPr>
          <w:ilvl w:val="0"/>
          <w:numId w:val="8"/>
        </w:numPr>
      </w:pP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ijk</m:t>
                </m:r>
              </m:sub>
            </m:sSub>
          </m:e>
        </m:d>
        <m:r>
          <m:rPr>
            <m:sty m:val="p"/>
          </m:rPr>
          <w:rPr>
            <w:rFonts w:ascii="Cambria Math" w:hAnsi="Cambria Math"/>
          </w:rPr>
          <m:t>&lt;</m:t>
        </m:r>
        <m:r>
          <w:rPr>
            <w:rFonts w:ascii="Cambria Math" w:hAnsi="Cambria Math"/>
          </w:rPr>
          <m:t>0</m:t>
        </m:r>
      </m:oMath>
      <w:r>
        <w:t xml:space="preserve"> were recoded to </w:t>
      </w:r>
      <m:oMath>
        <m:r>
          <w:rPr>
            <w:rFonts w:ascii="Cambria Math" w:hAnsi="Cambria Math"/>
          </w:rPr>
          <m:t>0</m:t>
        </m:r>
      </m:oMath>
      <w:r>
        <w:t>;</w:t>
      </w:r>
    </w:p>
    <w:p w14:paraId="2DC16812" w14:textId="77777777" w:rsidR="0008504F" w:rsidRDefault="00A870C6">
      <w:pPr>
        <w:pStyle w:val="Compact"/>
        <w:numPr>
          <w:ilvl w:val="0"/>
          <w:numId w:val="8"/>
        </w:numPr>
      </w:pPr>
      <m:oMath>
        <m:r>
          <m:rPr>
            <m:sty m:val="p"/>
          </m:rPr>
          <w:rPr>
            <w:rFonts w:ascii="Cambria Math" w:hAnsi="Cambria Math"/>
          </w:rPr>
          <m:t>Pr</m:t>
        </m:r>
        <m:d>
          <m:dPr>
            <m:ctrlPr>
              <w:rPr>
                <w:rFonts w:ascii="Cambria Math" w:hAnsi="Cambria Math"/>
              </w:rPr>
            </m:ctrlPr>
          </m:dPr>
          <m:e>
            <m:r>
              <w:rPr>
                <w:rFonts w:ascii="Cambria Math" w:hAnsi="Cambria Math"/>
              </w:rPr>
              <m:t>IC</m:t>
            </m:r>
            <m:sSub>
              <m:sSubPr>
                <m:ctrlPr>
                  <w:rPr>
                    <w:rFonts w:ascii="Cambria Math" w:hAnsi="Cambria Math"/>
                  </w:rPr>
                </m:ctrlPr>
              </m:sSubPr>
              <m:e>
                <m:r>
                  <w:rPr>
                    <w:rFonts w:ascii="Cambria Math" w:hAnsi="Cambria Math"/>
                  </w:rPr>
                  <m:t>U</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ijk</m:t>
                </m:r>
              </m:sub>
            </m:sSub>
          </m:e>
        </m:d>
        <m:r>
          <m:rPr>
            <m:sty m:val="p"/>
          </m:rPr>
          <w:rPr>
            <w:rFonts w:ascii="Cambria Math" w:hAnsi="Cambria Math"/>
          </w:rPr>
          <m:t>&lt;</m:t>
        </m:r>
        <m:r>
          <w:rPr>
            <w:rFonts w:ascii="Cambria Math" w:hAnsi="Cambria Math"/>
          </w:rPr>
          <m:t>0</m:t>
        </m:r>
      </m:oMath>
      <w:r>
        <w:t xml:space="preserve"> were recoded to </w:t>
      </w:r>
      <m:oMath>
        <m:r>
          <w:rPr>
            <w:rFonts w:ascii="Cambria Math" w:hAnsi="Cambria Math"/>
          </w:rPr>
          <m:t>0</m:t>
        </m:r>
      </m:oMath>
      <w:r>
        <w:t>;</w:t>
      </w:r>
    </w:p>
    <w:p w14:paraId="2DC16813" w14:textId="77777777" w:rsidR="0008504F" w:rsidRDefault="00A870C6">
      <w:pPr>
        <w:pStyle w:val="Compact"/>
        <w:numPr>
          <w:ilvl w:val="0"/>
          <w:numId w:val="8"/>
        </w:numPr>
      </w:pPr>
      <m:oMath>
        <m:r>
          <m:rPr>
            <m:sty m:val="p"/>
          </m:rPr>
          <w:rPr>
            <w:rFonts w:ascii="Cambria Math" w:hAnsi="Cambria Math"/>
          </w:rPr>
          <m:t>Pr</m:t>
        </m:r>
        <m:d>
          <m:dPr>
            <m:ctrlPr>
              <w:rPr>
                <w:rFonts w:ascii="Cambria Math" w:hAnsi="Cambria Math"/>
              </w:rPr>
            </m:ctrlPr>
          </m:dPr>
          <m:e>
            <m:r>
              <w:rPr>
                <w:rFonts w:ascii="Cambria Math" w:hAnsi="Cambria Math"/>
              </w:rPr>
              <m:t>IH</m:t>
            </m:r>
            <m:sSub>
              <m:sSubPr>
                <m:ctrlPr>
                  <w:rPr>
                    <w:rFonts w:ascii="Cambria Math" w:hAnsi="Cambria Math"/>
                  </w:rPr>
                </m:ctrlPr>
              </m:sSubPr>
              <m:e>
                <m:r>
                  <w:rPr>
                    <w:rFonts w:ascii="Cambria Math" w:hAnsi="Cambria Math"/>
                  </w:rPr>
                  <m:t>D</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ijk</m:t>
                </m:r>
              </m:sub>
            </m:sSub>
          </m:e>
        </m:d>
        <m:r>
          <m:rPr>
            <m:sty m:val="p"/>
          </m:rPr>
          <w:rPr>
            <w:rFonts w:ascii="Cambria Math" w:hAnsi="Cambria Math"/>
          </w:rPr>
          <m:t>&lt;</m:t>
        </m:r>
        <m:r>
          <w:rPr>
            <w:rFonts w:ascii="Cambria Math" w:hAnsi="Cambria Math"/>
          </w:rPr>
          <m:t>0</m:t>
        </m:r>
      </m:oMath>
      <w:r>
        <w:t xml:space="preserve"> were recoded to </w:t>
      </w:r>
      <m:oMath>
        <m:r>
          <w:rPr>
            <w:rFonts w:ascii="Cambria Math" w:hAnsi="Cambria Math"/>
          </w:rPr>
          <m:t>0</m:t>
        </m:r>
      </m:oMath>
      <w:r>
        <w:t>;</w:t>
      </w:r>
    </w:p>
    <w:p w14:paraId="2DC16814" w14:textId="77777777" w:rsidR="0008504F" w:rsidRDefault="00A870C6">
      <w:pPr>
        <w:pStyle w:val="Compact"/>
        <w:numPr>
          <w:ilvl w:val="0"/>
          <w:numId w:val="8"/>
        </w:numPr>
      </w:pPr>
      <m:oMath>
        <m:r>
          <m:rPr>
            <m:sty m:val="p"/>
          </m:rPr>
          <w:rPr>
            <w:rFonts w:ascii="Cambria Math" w:hAnsi="Cambria Math"/>
          </w:rPr>
          <m:t>log</m:t>
        </m:r>
        <m:d>
          <m:dPr>
            <m:ctrlPr>
              <w:rPr>
                <w:rFonts w:ascii="Cambria Math" w:hAnsi="Cambria Math"/>
              </w:rPr>
            </m:ctrlPr>
          </m:dPr>
          <m:e>
            <m:r>
              <w:rPr>
                <w:rFonts w:ascii="Cambria Math" w:hAnsi="Cambria Math"/>
              </w:rPr>
              <m:t>VE</m:t>
            </m:r>
          </m:e>
        </m:d>
        <m:r>
          <m:rPr>
            <m:sty m:val="p"/>
          </m:rPr>
          <w:rPr>
            <w:rFonts w:ascii="Cambria Math" w:hAnsi="Cambria Math"/>
          </w:rPr>
          <m:t>&gt;</m:t>
        </m:r>
        <m:r>
          <w:rPr>
            <w:rFonts w:ascii="Cambria Math" w:hAnsi="Cambria Math"/>
          </w:rPr>
          <m:t>0</m:t>
        </m:r>
      </m:oMath>
      <w:r>
        <w:t xml:space="preserve"> were recoded to </w:t>
      </w:r>
      <m:oMath>
        <m:r>
          <w:rPr>
            <w:rFonts w:ascii="Cambria Math" w:hAnsi="Cambria Math"/>
          </w:rPr>
          <m:t>0</m:t>
        </m:r>
      </m:oMath>
      <w:r>
        <w:t>;</w:t>
      </w:r>
    </w:p>
    <w:p w14:paraId="2DC16815" w14:textId="77777777" w:rsidR="0008504F" w:rsidRDefault="00A870C6">
      <w:pPr>
        <w:pStyle w:val="Compact"/>
        <w:numPr>
          <w:ilvl w:val="0"/>
          <w:numId w:val="8"/>
        </w:numPr>
      </w:pPr>
      <w:r>
        <w:t xml:space="preserve">if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e>
        </m:d>
        <m:r>
          <m:rPr>
            <m:sty m:val="p"/>
          </m:rPr>
          <w:rPr>
            <w:rFonts w:ascii="Cambria Math" w:hAnsi="Cambria Math"/>
          </w:rPr>
          <m:t>=</m:t>
        </m:r>
        <m:r>
          <w:rPr>
            <w:rFonts w:ascii="Cambria Math" w:hAnsi="Cambria Math"/>
          </w:rPr>
          <m:t>0</m:t>
        </m:r>
      </m:oMath>
      <w:r>
        <w:t xml:space="preserve">, then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ijk</m:t>
                    </m:r>
                  </m:sub>
                </m:sSub>
              </m:e>
            </m:d>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num>
          <m:den>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e>
            </m:d>
          </m:den>
        </m:f>
      </m:oMath>
      <w:r>
        <w:t xml:space="preserve"> was undefined and recoded to </w:t>
      </w:r>
      <m:oMath>
        <m:r>
          <w:rPr>
            <w:rFonts w:ascii="Cambria Math" w:hAnsi="Cambria Math"/>
          </w:rPr>
          <m:t>0</m:t>
        </m:r>
      </m:oMath>
      <w:r>
        <w:t>;</w:t>
      </w:r>
    </w:p>
    <w:p w14:paraId="2DC16816" w14:textId="77777777" w:rsidR="0008504F" w:rsidRDefault="00A870C6">
      <w:pPr>
        <w:pStyle w:val="Compact"/>
        <w:numPr>
          <w:ilvl w:val="0"/>
          <w:numId w:val="8"/>
        </w:numPr>
      </w:pPr>
      <w:r>
        <w:t xml:space="preserve">if </w:t>
      </w:r>
      <m:oMath>
        <m:r>
          <m:rPr>
            <m:sty m:val="p"/>
          </m:rPr>
          <w:rPr>
            <w:rFonts w:ascii="Cambria Math" w:hAnsi="Cambria Math"/>
          </w:rPr>
          <m:t>Pr</m:t>
        </m:r>
        <m:d>
          <m:dPr>
            <m:ctrlPr>
              <w:rPr>
                <w:rFonts w:ascii="Cambria Math" w:hAnsi="Cambria Math"/>
              </w:rPr>
            </m:ctrlPr>
          </m:dPr>
          <m:e>
            <m:r>
              <w:rPr>
                <w:rFonts w:ascii="Cambria Math" w:hAnsi="Cambria Math"/>
              </w:rPr>
              <m:t>I</m:t>
            </m:r>
            <m:sSub>
              <m:sSubPr>
                <m:ctrlPr>
                  <w:rPr>
                    <w:rFonts w:ascii="Cambria Math" w:hAnsi="Cambria Math"/>
                  </w:rPr>
                </m:ctrlPr>
              </m:sSubPr>
              <m:e>
                <m:r>
                  <w:rPr>
                    <w:rFonts w:ascii="Cambria Math" w:hAnsi="Cambria Math"/>
                  </w:rPr>
                  <m:t>C</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r>
                  <w:rPr>
                    <w:rFonts w:ascii="Cambria Math" w:hAnsi="Cambria Math"/>
                  </w:rPr>
                  <m:t>I</m:t>
                </m:r>
                <m:sSub>
                  <m:sSubPr>
                    <m:ctrlPr>
                      <w:rPr>
                        <w:rFonts w:ascii="Cambria Math" w:hAnsi="Cambria Math"/>
                      </w:rPr>
                    </m:ctrlPr>
                  </m:sSubPr>
                  <m:e>
                    <m:r>
                      <w:rPr>
                        <w:rFonts w:ascii="Cambria Math" w:hAnsi="Cambria Math"/>
                      </w:rPr>
                      <m:t>C</m:t>
                    </m:r>
                  </m:e>
                  <m:sub>
                    <m:r>
                      <w:rPr>
                        <w:rFonts w:ascii="Cambria Math" w:hAnsi="Cambria Math"/>
                      </w:rPr>
                      <m:t>ijk</m:t>
                    </m:r>
                  </m:sub>
                </m:sSub>
              </m:e>
            </m:d>
            <m:r>
              <m:rPr>
                <m:sty m:val="p"/>
              </m:rPr>
              <w:rPr>
                <w:rFonts w:ascii="Cambria Math" w:hAnsi="Cambria Math"/>
              </w:rPr>
              <m:t>*Pr</m:t>
            </m:r>
            <m:d>
              <m:dPr>
                <m:ctrlPr>
                  <w:rPr>
                    <w:rFonts w:ascii="Cambria Math" w:hAnsi="Cambria Math"/>
                  </w:rPr>
                </m:ctrlPr>
              </m:dPr>
              <m:e>
                <m:r>
                  <w:rPr>
                    <w:rFonts w:ascii="Cambria Math" w:hAnsi="Cambria Math"/>
                  </w:rPr>
                  <m:t>I</m:t>
                </m:r>
                <m:sSub>
                  <m:sSubPr>
                    <m:ctrlPr>
                      <w:rPr>
                        <w:rFonts w:ascii="Cambria Math" w:hAnsi="Cambria Math"/>
                      </w:rPr>
                    </m:ctrlPr>
                  </m:sSubPr>
                  <m:e>
                    <m:r>
                      <w:rPr>
                        <w:rFonts w:ascii="Cambria Math" w:hAnsi="Cambria Math"/>
                      </w:rPr>
                      <m:t>C</m:t>
                    </m:r>
                  </m:e>
                  <m:sub>
                    <m:r>
                      <w:rPr>
                        <w:rFonts w:ascii="Cambria Math" w:hAnsi="Cambria Math"/>
                      </w:rPr>
                      <m:t>ijk</m:t>
                    </m:r>
                  </m:sub>
                </m:sSub>
              </m:e>
            </m:d>
          </m:num>
          <m:den>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e>
            </m:d>
          </m:den>
        </m:f>
        <m:r>
          <m:rPr>
            <m:sty m:val="p"/>
          </m:rPr>
          <w:rPr>
            <w:rFonts w:ascii="Cambria Math" w:hAnsi="Cambria Math"/>
          </w:rPr>
          <m:t>&gt;</m:t>
        </m:r>
        <m:r>
          <w:rPr>
            <w:rFonts w:ascii="Cambria Math" w:hAnsi="Cambria Math"/>
          </w:rPr>
          <m:t>1</m:t>
        </m:r>
      </m:oMath>
      <w:r>
        <w:t xml:space="preserve">, that means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r>
              <m:rPr>
                <m:sty m:val="p"/>
              </m:rPr>
              <w:rPr>
                <w:rFonts w:ascii="Cambria Math" w:hAnsi="Cambria Math"/>
              </w:rPr>
              <m:t>∣</m:t>
            </m:r>
            <m:r>
              <w:rPr>
                <w:rFonts w:ascii="Cambria Math" w:hAnsi="Cambria Math"/>
              </w:rPr>
              <m:t>I</m:t>
            </m:r>
            <m:sSub>
              <m:sSubPr>
                <m:ctrlPr>
                  <w:rPr>
                    <w:rFonts w:ascii="Cambria Math" w:hAnsi="Cambria Math"/>
                  </w:rPr>
                </m:ctrlPr>
              </m:sSubPr>
              <m:e>
                <m:r>
                  <w:rPr>
                    <w:rFonts w:ascii="Cambria Math" w:hAnsi="Cambria Math"/>
                  </w:rPr>
                  <m:t>C</m:t>
                </m:r>
              </m:e>
              <m:sub>
                <m:r>
                  <w:rPr>
                    <w:rFonts w:ascii="Cambria Math" w:hAnsi="Cambria Math"/>
                  </w:rPr>
                  <m:t>ijk</m:t>
                </m:r>
              </m:sub>
            </m:sSub>
          </m:e>
        </m:d>
        <m:r>
          <m:rPr>
            <m:sty m:val="p"/>
          </m:rPr>
          <w:rPr>
            <w:rFonts w:ascii="Cambria Math" w:hAnsi="Cambria Math"/>
          </w:rPr>
          <m:t>*Pr</m:t>
        </m:r>
        <m:d>
          <m:dPr>
            <m:ctrlPr>
              <w:rPr>
                <w:rFonts w:ascii="Cambria Math" w:hAnsi="Cambria Math"/>
              </w:rPr>
            </m:ctrlPr>
          </m:dPr>
          <m:e>
            <m:r>
              <w:rPr>
                <w:rFonts w:ascii="Cambria Math" w:hAnsi="Cambria Math"/>
              </w:rPr>
              <m:t>I</m:t>
            </m:r>
            <m:sSub>
              <m:sSubPr>
                <m:ctrlPr>
                  <w:rPr>
                    <w:rFonts w:ascii="Cambria Math" w:hAnsi="Cambria Math"/>
                  </w:rPr>
                </m:ctrlPr>
              </m:sSubPr>
              <m:e>
                <m:r>
                  <w:rPr>
                    <w:rFonts w:ascii="Cambria Math" w:hAnsi="Cambria Math"/>
                  </w:rPr>
                  <m:t>C</m:t>
                </m:r>
              </m:e>
              <m:sub>
                <m:r>
                  <w:rPr>
                    <w:rFonts w:ascii="Cambria Math" w:hAnsi="Cambria Math"/>
                  </w:rPr>
                  <m:t>ijk</m:t>
                </m:r>
              </m:sub>
            </m:sSub>
          </m:e>
        </m:d>
        <m:r>
          <m:rPr>
            <m:sty m:val="p"/>
          </m:rPr>
          <w:rPr>
            <w:rFonts w:ascii="Cambria Math" w:hAnsi="Cambria Math"/>
          </w:rPr>
          <m:t>&gt;Pr</m:t>
        </m:r>
        <m:d>
          <m:dPr>
            <m:ctrlPr>
              <w:rPr>
                <w:rFonts w:ascii="Cambria Math" w:hAnsi="Cambria Math"/>
              </w:rPr>
            </m:ctrlPr>
          </m:dPr>
          <m:e>
            <m:sSub>
              <m:sSubPr>
                <m:ctrlPr>
                  <w:rPr>
                    <w:rFonts w:ascii="Cambria Math" w:hAnsi="Cambria Math"/>
                  </w:rPr>
                </m:ctrlPr>
              </m:sSubPr>
              <m:e>
                <m:r>
                  <w:rPr>
                    <w:rFonts w:ascii="Cambria Math" w:hAnsi="Cambria Math"/>
                  </w:rPr>
                  <m:t>V</m:t>
                </m:r>
              </m:e>
              <m:sub>
                <m:r>
                  <w:rPr>
                    <w:rFonts w:ascii="Cambria Math" w:hAnsi="Cambria Math"/>
                  </w:rPr>
                  <m:t>ijk</m:t>
                </m:r>
              </m:sub>
            </m:sSub>
          </m:e>
        </m:d>
      </m:oMath>
      <w:r>
        <w:t xml:space="preserve"> which is illogical and </w:t>
      </w:r>
      <m:oMath>
        <m:r>
          <m:rPr>
            <m:sty m:val="p"/>
          </m:rPr>
          <w:rPr>
            <w:rFonts w:ascii="Cambria Math" w:hAnsi="Cambria Math"/>
          </w:rPr>
          <m:t>Pr</m:t>
        </m:r>
        <m:d>
          <m:dPr>
            <m:ctrlPr>
              <w:rPr>
                <w:rFonts w:ascii="Cambria Math" w:hAnsi="Cambria Math"/>
              </w:rPr>
            </m:ctrlPr>
          </m:dPr>
          <m:e>
            <m:r>
              <w:rPr>
                <w:rFonts w:ascii="Cambria Math" w:hAnsi="Cambria Math"/>
              </w:rPr>
              <m:t>I</m:t>
            </m:r>
            <m:sSub>
              <m:sSubPr>
                <m:ctrlPr>
                  <w:rPr>
                    <w:rFonts w:ascii="Cambria Math" w:hAnsi="Cambria Math"/>
                  </w:rPr>
                </m:ctrlPr>
              </m:sSubPr>
              <m:e>
                <m:r>
                  <w:rPr>
                    <w:rFonts w:ascii="Cambria Math" w:hAnsi="Cambria Math"/>
                  </w:rPr>
                  <m:t>C</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oMath>
      <w:r>
        <w:t xml:space="preserve"> was recoded to </w:t>
      </w:r>
      <m:oMath>
        <m:r>
          <w:rPr>
            <w:rFonts w:ascii="Cambria Math" w:hAnsi="Cambria Math"/>
          </w:rPr>
          <m:t>1</m:t>
        </m:r>
      </m:oMath>
      <w:r>
        <w:t>;</w:t>
      </w:r>
    </w:p>
    <w:p w14:paraId="2DC16817" w14:textId="77777777" w:rsidR="0008504F" w:rsidRDefault="00A870C6">
      <w:pPr>
        <w:pStyle w:val="Compact"/>
        <w:numPr>
          <w:ilvl w:val="0"/>
          <w:numId w:val="8"/>
        </w:numPr>
      </w:pP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r>
          <m:rPr>
            <m:sty m:val="p"/>
          </m:rPr>
          <w:rPr>
            <w:rFonts w:ascii="Cambria Math" w:hAnsi="Cambria Math"/>
          </w:rPr>
          <m:t>*</m:t>
        </m:r>
        <m:f>
          <m:fPr>
            <m:ctrlPr>
              <w:rPr>
                <w:rFonts w:ascii="Cambria Math" w:hAnsi="Cambria Math"/>
              </w:rPr>
            </m:ctrlPr>
          </m:fPr>
          <m:num>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r>
                  <w:rPr>
                    <w:rFonts w:ascii="Cambria Math" w:hAnsi="Cambria Math"/>
                  </w:rPr>
                  <m:t>I</m:t>
                </m:r>
                <m:sSub>
                  <m:sSubPr>
                    <m:ctrlPr>
                      <w:rPr>
                        <w:rFonts w:ascii="Cambria Math" w:hAnsi="Cambria Math"/>
                      </w:rPr>
                    </m:ctrlPr>
                  </m:sSubPr>
                  <m:e>
                    <m:r>
                      <w:rPr>
                        <w:rFonts w:ascii="Cambria Math" w:hAnsi="Cambria Math"/>
                      </w:rPr>
                      <m:t>C</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num>
          <m:den>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den>
        </m:f>
        <m:r>
          <m:rPr>
            <m:sty m:val="p"/>
          </m:rPr>
          <w:rPr>
            <w:rFonts w:ascii="Cambria Math" w:hAnsi="Cambria Math"/>
          </w:rPr>
          <m:t>&lt;</m:t>
        </m:r>
        <m:r>
          <w:rPr>
            <w:rFonts w:ascii="Cambria Math" w:hAnsi="Cambria Math"/>
          </w:rPr>
          <m:t>0</m:t>
        </m:r>
      </m:oMath>
      <w:r>
        <w:t xml:space="preserve"> was recoded to </w:t>
      </w:r>
      <m:oMath>
        <m:r>
          <w:rPr>
            <w:rFonts w:ascii="Cambria Math" w:hAnsi="Cambria Math"/>
          </w:rPr>
          <m:t>0</m:t>
        </m:r>
      </m:oMath>
      <w:r>
        <w:t>;</w:t>
      </w:r>
    </w:p>
    <w:p w14:paraId="2DC16818" w14:textId="77777777" w:rsidR="0008504F" w:rsidRDefault="00A870C6">
      <w:pPr>
        <w:pStyle w:val="Compact"/>
        <w:numPr>
          <w:ilvl w:val="0"/>
          <w:numId w:val="8"/>
        </w:numPr>
      </w:pPr>
      <m:oMath>
        <m:r>
          <m:rPr>
            <m:sty m:val="p"/>
          </m:rPr>
          <w:rPr>
            <w:rFonts w:ascii="Cambria Math" w:hAnsi="Cambria Math"/>
          </w:rPr>
          <w:lastRenderedPageBreak/>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r>
          <m:rPr>
            <m:sty m:val="p"/>
          </m:rPr>
          <w:rPr>
            <w:rFonts w:ascii="Cambria Math" w:hAnsi="Cambria Math"/>
          </w:rPr>
          <m:t>*</m:t>
        </m:r>
        <m:f>
          <m:fPr>
            <m:ctrlPr>
              <w:rPr>
                <w:rFonts w:ascii="Cambria Math" w:hAnsi="Cambria Math"/>
              </w:rPr>
            </m:ctrlPr>
          </m:fPr>
          <m:num>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r>
                  <w:rPr>
                    <w:rFonts w:ascii="Cambria Math" w:hAnsi="Cambria Math"/>
                  </w:rPr>
                  <m:t>I</m:t>
                </m:r>
                <m:sSub>
                  <m:sSubPr>
                    <m:ctrlPr>
                      <w:rPr>
                        <w:rFonts w:ascii="Cambria Math" w:hAnsi="Cambria Math"/>
                      </w:rPr>
                    </m:ctrlPr>
                  </m:sSubPr>
                  <m:e>
                    <m:r>
                      <w:rPr>
                        <w:rFonts w:ascii="Cambria Math" w:hAnsi="Cambria Math"/>
                      </w:rPr>
                      <m:t>C</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num>
          <m:den>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den>
        </m:f>
        <m:r>
          <m:rPr>
            <m:sty m:val="p"/>
          </m:rPr>
          <w:rPr>
            <w:rFonts w:ascii="Cambria Math" w:hAnsi="Cambria Math"/>
          </w:rPr>
          <m:t>&gt;</m:t>
        </m:r>
        <m:r>
          <w:rPr>
            <w:rFonts w:ascii="Cambria Math" w:hAnsi="Cambria Math"/>
          </w:rPr>
          <m:t>1</m:t>
        </m:r>
      </m:oMath>
      <w:r>
        <w:t xml:space="preserve"> was recoded to </w:t>
      </w:r>
      <m:oMath>
        <m:r>
          <w:rPr>
            <w:rFonts w:ascii="Cambria Math" w:hAnsi="Cambria Math"/>
          </w:rPr>
          <m:t>1</m:t>
        </m:r>
      </m:oMath>
      <w:r>
        <w:t>; and</w:t>
      </w:r>
    </w:p>
    <w:p w14:paraId="2DC16819" w14:textId="77777777" w:rsidR="0008504F" w:rsidRDefault="00A870C6">
      <w:pPr>
        <w:pStyle w:val="Compact"/>
        <w:numPr>
          <w:ilvl w:val="0"/>
          <w:numId w:val="8"/>
        </w:numPr>
      </w:pP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r>
          <m:rPr>
            <m:sty m:val="p"/>
          </m:rPr>
          <w:rPr>
            <w:rFonts w:ascii="Cambria Math" w:hAnsi="Cambria Math"/>
          </w:rPr>
          <m:t>*</m:t>
        </m:r>
        <m:f>
          <m:fPr>
            <m:ctrlPr>
              <w:rPr>
                <w:rFonts w:ascii="Cambria Math" w:hAnsi="Cambria Math"/>
              </w:rPr>
            </m:ctrlPr>
          </m:fPr>
          <m:num>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r>
                  <w:rPr>
                    <w:rFonts w:ascii="Cambria Math" w:hAnsi="Cambria Math"/>
                  </w:rPr>
                  <m:t>NI</m:t>
                </m:r>
                <m:sSub>
                  <m:sSubPr>
                    <m:ctrlPr>
                      <w:rPr>
                        <w:rFonts w:ascii="Cambria Math" w:hAnsi="Cambria Math"/>
                      </w:rPr>
                    </m:ctrlPr>
                  </m:sSubPr>
                  <m:e>
                    <m:r>
                      <w:rPr>
                        <w:rFonts w:ascii="Cambria Math" w:hAnsi="Cambria Math"/>
                      </w:rPr>
                      <m:t>C</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num>
          <m:den>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m:t>
                    </m:r>
                  </m:sub>
                </m:sSub>
              </m:e>
            </m:d>
          </m:den>
        </m:f>
        <m:r>
          <m:rPr>
            <m:sty m:val="p"/>
          </m:rPr>
          <w:rPr>
            <w:rFonts w:ascii="Cambria Math" w:hAnsi="Cambria Math"/>
          </w:rPr>
          <m:t>&gt;</m:t>
        </m:r>
        <m:r>
          <w:rPr>
            <w:rFonts w:ascii="Cambria Math" w:hAnsi="Cambria Math"/>
          </w:rPr>
          <m:t>1</m:t>
        </m:r>
      </m:oMath>
      <w:r>
        <w:t xml:space="preserve"> was recoded to </w:t>
      </w:r>
      <m:oMath>
        <m:r>
          <w:rPr>
            <w:rFonts w:ascii="Cambria Math" w:hAnsi="Cambria Math"/>
          </w:rPr>
          <m:t>1</m:t>
        </m:r>
      </m:oMath>
      <w:r>
        <w:t>.</w:t>
      </w:r>
    </w:p>
    <w:p w14:paraId="2DC1681A" w14:textId="77777777" w:rsidR="0008504F" w:rsidRDefault="00A870C6">
      <w:pPr>
        <w:pStyle w:val="FirstParagraph"/>
      </w:pPr>
      <w:r>
        <w:t xml:space="preserve">After computing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oMath>
      <w:r>
        <w:t xml:space="preserve">,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oMath>
      <w:r>
        <w:t xml:space="preserve">, and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r>
              <w:rPr>
                <w:rFonts w:ascii="Cambria Math" w:hAnsi="Cambria Math"/>
              </w:rPr>
              <m:t>N</m:t>
            </m:r>
            <m:sSub>
              <m:sSubPr>
                <m:ctrlPr>
                  <w:rPr>
                    <w:rFonts w:ascii="Cambria Math" w:hAnsi="Cambria Math"/>
                  </w:rPr>
                </m:ctrlPr>
              </m:sSubPr>
              <m:e>
                <m:r>
                  <w:rPr>
                    <w:rFonts w:ascii="Cambria Math" w:hAnsi="Cambria Math"/>
                  </w:rPr>
                  <m:t>V</m:t>
                </m:r>
              </m:e>
              <m:sub>
                <m:r>
                  <w:rPr>
                    <w:rFonts w:ascii="Cambria Math" w:hAnsi="Cambria Math"/>
                  </w:rPr>
                  <m:t>ijk</m:t>
                </m:r>
              </m:sub>
            </m:sSub>
          </m:e>
        </m:d>
      </m:oMath>
      <w:r>
        <w:t xml:space="preserve">, the second Monte Carlo step was performed to estimate </w:t>
      </w:r>
      <m:oMath>
        <m:sSub>
          <m:sSubPr>
            <m:ctrlPr>
              <w:rPr>
                <w:rFonts w:ascii="Cambria Math" w:hAnsi="Cambria Math"/>
              </w:rPr>
            </m:ctrlPr>
          </m:sSubPr>
          <m:e>
            <m:acc>
              <m:accPr>
                <m:ctrlPr>
                  <w:rPr>
                    <w:rFonts w:ascii="Cambria Math" w:hAnsi="Cambria Math"/>
                  </w:rPr>
                </m:ctrlPr>
              </m:accPr>
              <m:e>
                <m:r>
                  <w:rPr>
                    <w:rFonts w:ascii="Cambria Math" w:hAnsi="Cambria Math"/>
                  </w:rPr>
                  <m:t>γ</m:t>
                </m:r>
              </m:e>
            </m:acc>
          </m:e>
          <m:sub>
            <m:r>
              <w:rPr>
                <w:rFonts w:ascii="Cambria Math" w:hAnsi="Cambria Math"/>
              </w:rPr>
              <m:t>ijk</m:t>
            </m:r>
          </m:sub>
        </m:sSub>
      </m:oMath>
      <w:r>
        <w:t xml:space="preserve">. We generated </w:t>
      </w:r>
      <m:oMath>
        <m:sSub>
          <m:sSubPr>
            <m:ctrlPr>
              <w:rPr>
                <w:rFonts w:ascii="Cambria Math" w:hAnsi="Cambria Math"/>
              </w:rPr>
            </m:ctrlPr>
          </m:sSubPr>
          <m:e>
            <m:acc>
              <m:accPr>
                <m:chr m:val="̃"/>
                <m:ctrlPr>
                  <w:rPr>
                    <w:rFonts w:ascii="Cambria Math" w:hAnsi="Cambria Math"/>
                  </w:rPr>
                </m:ctrlPr>
              </m:accPr>
              <m:e>
                <m:r>
                  <w:rPr>
                    <w:rFonts w:ascii="Cambria Math" w:hAnsi="Cambria Math"/>
                  </w:rPr>
                  <m:t>β</m:t>
                </m:r>
              </m:e>
            </m:acc>
          </m:e>
          <m:sub>
            <m:r>
              <w:rPr>
                <w:rFonts w:ascii="Cambria Math" w:hAnsi="Cambria Math"/>
              </w:rPr>
              <m:t>ijk</m:t>
            </m:r>
          </m:sub>
        </m:sSub>
      </m:oMath>
      <w:r>
        <w:t xml:space="preserve"> from a </w:t>
      </w:r>
      <m:oMath>
        <m:r>
          <m:rPr>
            <m:nor/>
          </m:rPr>
          <m:t>Beta</m:t>
        </m:r>
        <m:d>
          <m:dPr>
            <m:ctrlPr>
              <w:rPr>
                <w:rFonts w:ascii="Cambria Math" w:hAnsi="Cambria Math"/>
              </w:rPr>
            </m:ctrlPr>
          </m:dPr>
          <m:e>
            <m:r>
              <w:rPr>
                <w:rFonts w:ascii="Cambria Math" w:hAnsi="Cambria Math"/>
              </w:rPr>
              <m:t>1.5</m:t>
            </m:r>
            <m:r>
              <m:rPr>
                <m:sty m:val="p"/>
              </m:rPr>
              <w:rPr>
                <w:rFonts w:ascii="Cambria Math" w:hAnsi="Cambria Math"/>
              </w:rPr>
              <m:t>,</m:t>
            </m:r>
            <m:r>
              <w:rPr>
                <w:rFonts w:ascii="Cambria Math" w:hAnsi="Cambria Math"/>
              </w:rPr>
              <m:t> 1.75</m:t>
            </m:r>
          </m:e>
        </m:d>
      </m:oMath>
      <w:r>
        <w:t xml:space="preserve"> distribution, and then computed </w:t>
      </w:r>
      <m:oMath>
        <m:sSub>
          <m:sSubPr>
            <m:ctrlPr>
              <w:rPr>
                <w:rFonts w:ascii="Cambria Math" w:hAnsi="Cambria Math"/>
              </w:rPr>
            </m:ctrlPr>
          </m:sSubPr>
          <m:e>
            <m:acc>
              <m:accPr>
                <m:ctrlPr>
                  <w:rPr>
                    <w:rFonts w:ascii="Cambria Math" w:hAnsi="Cambria Math"/>
                  </w:rPr>
                </m:ctrlPr>
              </m:accPr>
              <m:e>
                <m:r>
                  <w:rPr>
                    <w:rFonts w:ascii="Cambria Math" w:hAnsi="Cambria Math"/>
                  </w:rPr>
                  <m:t>γ</m:t>
                </m:r>
              </m:e>
            </m:acc>
          </m:e>
          <m:sub>
            <m:r>
              <w:rPr>
                <w:rFonts w:ascii="Cambria Math" w:hAnsi="Cambria Math"/>
              </w:rPr>
              <m:t>ijk</m:t>
            </m:r>
          </m:sub>
        </m:sSub>
      </m:oMath>
      <w:r>
        <w:t xml:space="preserve"> as</w:t>
      </w:r>
    </w:p>
    <w:p w14:paraId="2DC1681B" w14:textId="77777777" w:rsidR="0008504F" w:rsidRDefault="00F54C8E">
      <w:pPr>
        <w:pStyle w:val="BodyText"/>
      </w:pPr>
      <m:oMathPara>
        <m:oMathParaPr>
          <m:jc m:val="center"/>
        </m:oMathParaPr>
        <m:oMath>
          <m:sSub>
            <m:sSubPr>
              <m:ctrlPr>
                <w:rPr>
                  <w:rFonts w:ascii="Cambria Math" w:hAnsi="Cambria Math"/>
                </w:rPr>
              </m:ctrlPr>
            </m:sSubPr>
            <m:e>
              <m:acc>
                <m:accPr>
                  <m:ctrlPr>
                    <w:rPr>
                      <w:rFonts w:ascii="Cambria Math" w:hAnsi="Cambria Math"/>
                    </w:rPr>
                  </m:ctrlPr>
                </m:accPr>
                <m:e>
                  <m:r>
                    <w:rPr>
                      <w:rFonts w:ascii="Cambria Math" w:hAnsi="Cambria Math"/>
                    </w:rPr>
                    <m:t>γ</m:t>
                  </m:r>
                </m:e>
              </m:acc>
            </m:e>
            <m:sub>
              <m:r>
                <w:rPr>
                  <w:rFonts w:ascii="Cambria Math" w:hAnsi="Cambria Math"/>
                </w:rPr>
                <m:t>ijk</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r>
                    <w:rPr>
                      <w:rFonts w:ascii="Cambria Math" w:hAnsi="Cambria Math"/>
                    </w:rPr>
                    <m:t>N</m:t>
                  </m:r>
                  <m:sSub>
                    <m:sSubPr>
                      <m:ctrlPr>
                        <w:rPr>
                          <w:rFonts w:ascii="Cambria Math" w:hAnsi="Cambria Math"/>
                        </w:rPr>
                      </m:ctrlPr>
                    </m:sSubPr>
                    <m:e>
                      <m:r>
                        <w:rPr>
                          <w:rFonts w:ascii="Cambria Math" w:hAnsi="Cambria Math"/>
                        </w:rPr>
                        <m:t>V</m:t>
                      </m:r>
                    </m:e>
                    <m:sub>
                      <m:r>
                        <w:rPr>
                          <w:rFonts w:ascii="Cambria Math" w:hAnsi="Cambria Math"/>
                        </w:rPr>
                        <m:t>ijk</m:t>
                      </m:r>
                    </m:sub>
                  </m:sSub>
                </m:e>
              </m:d>
              <m:r>
                <m:rPr>
                  <m:sty m:val="p"/>
                </m:rPr>
                <w:rPr>
                  <w:rFonts w:ascii="Cambria Math" w:hAnsi="Cambria Math"/>
                </w:rPr>
                <m:t>-</m:t>
              </m:r>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e>
          </m:d>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β</m:t>
                  </m:r>
                </m:e>
              </m:acc>
            </m:e>
            <m:sub>
              <m:r>
                <w:rPr>
                  <w:rFonts w:ascii="Cambria Math" w:hAnsi="Cambria Math"/>
                </w:rPr>
                <m:t>ijk</m:t>
              </m:r>
            </m:sub>
          </m:sSub>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r>
            <m:rPr>
              <m:sty m:val="p"/>
            </m:rPr>
            <w:rPr>
              <w:rFonts w:ascii="Cambria Math" w:hAnsi="Cambria Math"/>
            </w:rPr>
            <m:t>.</m:t>
          </m:r>
        </m:oMath>
      </m:oMathPara>
    </w:p>
    <w:p w14:paraId="2DC1681C" w14:textId="0395523C" w:rsidR="0008504F" w:rsidRDefault="00A870C6">
      <w:pPr>
        <w:pStyle w:val="FirstParagraph"/>
      </w:pPr>
      <w:r>
        <w:t xml:space="preserve">A </w:t>
      </w:r>
      <m:oMath>
        <m:r>
          <m:rPr>
            <m:nor/>
          </m:rPr>
          <m:t>Beta</m:t>
        </m:r>
        <m:d>
          <m:dPr>
            <m:ctrlPr>
              <w:rPr>
                <w:rFonts w:ascii="Cambria Math" w:hAnsi="Cambria Math"/>
              </w:rPr>
            </m:ctrlPr>
          </m:dPr>
          <m:e>
            <m:r>
              <w:rPr>
                <w:rFonts w:ascii="Cambria Math" w:hAnsi="Cambria Math"/>
              </w:rPr>
              <m:t>1.5</m:t>
            </m:r>
            <m:r>
              <m:rPr>
                <m:sty m:val="p"/>
              </m:rPr>
              <w:rPr>
                <w:rFonts w:ascii="Cambria Math" w:hAnsi="Cambria Math"/>
              </w:rPr>
              <m:t>,</m:t>
            </m:r>
            <m:r>
              <w:rPr>
                <w:rFonts w:ascii="Cambria Math" w:hAnsi="Cambria Math"/>
              </w:rPr>
              <m:t> 1.75</m:t>
            </m:r>
          </m:e>
        </m:d>
      </m:oMath>
      <w:r>
        <w:t xml:space="preserve"> distribution was used to allow for a diffuse distribution between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ijk</m:t>
                </m:r>
              </m:sub>
            </m:sSub>
          </m:e>
        </m:d>
      </m:oMath>
      <w:r>
        <w:t xml:space="preserve"> and </w:t>
      </w:r>
      <m:oMath>
        <m:r>
          <m:rPr>
            <m:sty m:val="p"/>
          </m:rPr>
          <w:rPr>
            <w:rFonts w:ascii="Cambria Math" w:hAnsi="Cambria Math"/>
          </w:rPr>
          <m: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r>
              <m:rPr>
                <m:sty m:val="p"/>
              </m:rPr>
              <w:rPr>
                <w:rFonts w:ascii="Cambria Math" w:hAnsi="Cambria Math"/>
              </w:rPr>
              <m:t>∣</m:t>
            </m:r>
            <m:r>
              <w:rPr>
                <w:rFonts w:ascii="Cambria Math" w:hAnsi="Cambria Math"/>
              </w:rPr>
              <m:t>N</m:t>
            </m:r>
            <m:sSub>
              <m:sSubPr>
                <m:ctrlPr>
                  <w:rPr>
                    <w:rFonts w:ascii="Cambria Math" w:hAnsi="Cambria Math"/>
                  </w:rPr>
                </m:ctrlPr>
              </m:sSubPr>
              <m:e>
                <m:r>
                  <w:rPr>
                    <w:rFonts w:ascii="Cambria Math" w:hAnsi="Cambria Math"/>
                  </w:rPr>
                  <m:t>V</m:t>
                </m:r>
              </m:e>
              <m:sub>
                <m:r>
                  <w:rPr>
                    <w:rFonts w:ascii="Cambria Math" w:hAnsi="Cambria Math"/>
                  </w:rPr>
                  <m:t>ijk</m:t>
                </m:r>
              </m:sub>
            </m:sSub>
          </m:e>
        </m:d>
      </m:oMath>
      <w:r>
        <w:t xml:space="preserve"> that was more heavily weighted towards </w:t>
      </w:r>
      <m:oMath>
        <m:sSub>
          <m:sSubPr>
            <m:ctrlPr>
              <w:rPr>
                <w:rFonts w:ascii="Cambria Math" w:hAnsi="Cambria Math"/>
              </w:rPr>
            </m:ctrlPr>
          </m:sSubPr>
          <m:e>
            <m:acc>
              <m:accPr>
                <m:ctrlPr>
                  <w:rPr>
                    <w:rFonts w:ascii="Cambria Math" w:hAnsi="Cambria Math"/>
                  </w:rPr>
                </m:ctrlPr>
              </m:accPr>
              <m:e>
                <m:r>
                  <w:rPr>
                    <w:rFonts w:ascii="Cambria Math" w:hAnsi="Cambria Math"/>
                  </w:rPr>
                  <m:t>γ</m:t>
                </m:r>
              </m:e>
            </m:acc>
          </m:e>
          <m:sub>
            <m:r>
              <w:rPr>
                <w:rFonts w:ascii="Cambria Math" w:hAnsi="Cambria Math"/>
              </w:rPr>
              <m:t>ijk</m:t>
            </m:r>
          </m:sub>
        </m:sSub>
        <m:r>
          <m:rPr>
            <m:sty m:val="p"/>
          </m:rPr>
          <w:rPr>
            <w:rFonts w:ascii="Cambria Math" w:hAnsi="Cambria Math"/>
          </w:rPr>
          <m:t>&lt;Pr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oMath>
      <w:r>
        <w:t xml:space="preserve"> since we felt </w:t>
      </w:r>
      <m:oMath>
        <m:sSub>
          <m:sSubPr>
            <m:ctrlPr>
              <w:rPr>
                <w:rFonts w:ascii="Cambria Math" w:hAnsi="Cambria Math"/>
              </w:rPr>
            </m:ctrlPr>
          </m:sSubPr>
          <m:e>
            <m:acc>
              <m:accPr>
                <m:ctrlPr>
                  <w:rPr>
                    <w:rFonts w:ascii="Cambria Math" w:hAnsi="Cambria Math"/>
                  </w:rPr>
                </m:ctrlPr>
              </m:accPr>
              <m:e>
                <m:r>
                  <w:rPr>
                    <w:rFonts w:ascii="Cambria Math" w:hAnsi="Cambria Math"/>
                  </w:rPr>
                  <m:t>γ</m:t>
                </m:r>
              </m:e>
            </m:acc>
          </m:e>
          <m:sub>
            <m:r>
              <w:rPr>
                <w:rFonts w:ascii="Cambria Math" w:hAnsi="Cambria Math"/>
              </w:rPr>
              <m:t>ijk</m:t>
            </m:r>
          </m:sub>
        </m:sSub>
        <m:r>
          <m:rPr>
            <m:sty m:val="p"/>
          </m:rPr>
          <w:rPr>
            <w:rFonts w:ascii="Cambria Math" w:hAnsi="Cambria Math"/>
          </w:rPr>
          <m:t>&lt;Pr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oMath>
      <w:r>
        <w:t xml:space="preserve"> is more likely than </w:t>
      </w:r>
      <m:oMath>
        <m:sSub>
          <m:sSubPr>
            <m:ctrlPr>
              <w:rPr>
                <w:rFonts w:ascii="Cambria Math" w:hAnsi="Cambria Math"/>
              </w:rPr>
            </m:ctrlPr>
          </m:sSubPr>
          <m:e>
            <m:acc>
              <m:accPr>
                <m:ctrlPr>
                  <w:rPr>
                    <w:rFonts w:ascii="Cambria Math" w:hAnsi="Cambria Math"/>
                  </w:rPr>
                </m:ctrlPr>
              </m:accPr>
              <m:e>
                <m:r>
                  <w:rPr>
                    <w:rFonts w:ascii="Cambria Math" w:hAnsi="Cambria Math"/>
                  </w:rPr>
                  <m:t>γ</m:t>
                </m:r>
              </m:e>
            </m:acc>
          </m:e>
          <m:sub>
            <m:r>
              <w:rPr>
                <w:rFonts w:ascii="Cambria Math" w:hAnsi="Cambria Math"/>
              </w:rPr>
              <m:t>ijk</m:t>
            </m:r>
          </m:sub>
        </m:sSub>
        <m:r>
          <m:rPr>
            <m:sty m:val="p"/>
          </m:rPr>
          <w:rPr>
            <w:rFonts w:ascii="Cambria Math" w:hAnsi="Cambria Math"/>
          </w:rPr>
          <m:t>&gt;Pr</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ijk</m:t>
                </m:r>
              </m:sub>
            </m:sSub>
          </m:e>
        </m:d>
      </m:oMath>
      <w:r>
        <w:t xml:space="preserve"> since 2023-2024 COVID-19 vaccinated and non-COVID-19-associated hospitalization people probably had lower risk than the </w:t>
      </w:r>
      <w:r w:rsidR="00167E8F">
        <w:t xml:space="preserve">overall </w:t>
      </w:r>
      <w:r>
        <w:t>population since 2023-2024 COVID-19 vaccinated people made up a small percentage of the population.</w:t>
      </w:r>
    </w:p>
    <w:p w14:paraId="2DC1681D" w14:textId="77777777" w:rsidR="0008504F" w:rsidRDefault="00A870C6">
      <w:r>
        <w:br w:type="page"/>
      </w:r>
    </w:p>
    <w:p w14:paraId="76CE97B6" w14:textId="77777777" w:rsidR="001602DF" w:rsidRDefault="001602DF" w:rsidP="001602DF">
      <w:pPr>
        <w:pStyle w:val="Heading1"/>
      </w:pPr>
      <w:bookmarkStart w:id="14" w:name="_Toc184289786"/>
      <w:bookmarkStart w:id="15" w:name="supplemental-tables"/>
      <w:bookmarkEnd w:id="0"/>
      <w:bookmarkEnd w:id="13"/>
      <w:r>
        <w:lastRenderedPageBreak/>
        <w:t>Supplemental Tables</w:t>
      </w:r>
      <w:bookmarkEnd w:id="14"/>
    </w:p>
    <w:p w14:paraId="6E9F164D"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t>Table S3. Seasonal estimates of COVID-19-associated hospitalizations averted by 2023-2024 COVID-19 vaccination, the week of October 1, 2023, to the week of April 21, 2024.</w:t>
      </w:r>
    </w:p>
    <w:tbl>
      <w:tblPr>
        <w:tblStyle w:val="Table"/>
        <w:tblW w:w="0" w:type="pct"/>
        <w:jc w:val="center"/>
        <w:tblLook w:val="0420" w:firstRow="1" w:lastRow="0" w:firstColumn="0" w:lastColumn="0" w:noHBand="0" w:noVBand="1"/>
      </w:tblPr>
      <w:tblGrid>
        <w:gridCol w:w="804"/>
        <w:gridCol w:w="957"/>
        <w:gridCol w:w="1002"/>
        <w:gridCol w:w="1331"/>
        <w:gridCol w:w="1312"/>
        <w:gridCol w:w="1320"/>
        <w:gridCol w:w="1317"/>
        <w:gridCol w:w="1317"/>
      </w:tblGrid>
      <w:tr w:rsidR="001602DF" w14:paraId="0F798CC2"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278B7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1E726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w:t>
            </w:r>
            <w:r>
              <w:rPr>
                <w:rFonts w:ascii="Arial" w:eastAsia="Arial" w:hAnsi="Arial" w:cs="Arial"/>
                <w:color w:val="000000"/>
                <w:sz w:val="16"/>
                <w:szCs w:val="16"/>
              </w:rPr>
              <w:br/>
              <w:t>(%)</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17C44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w:t>
            </w:r>
            <w:r>
              <w:rPr>
                <w:rFonts w:ascii="Arial" w:eastAsia="Arial" w:hAnsi="Arial" w:cs="Arial"/>
                <w:color w:val="000000"/>
                <w:sz w:val="16"/>
                <w:szCs w:val="16"/>
              </w:rPr>
              <w:br/>
              <w:t>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D13F4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75EAE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C069E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AC2E5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7AB4D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22017AB8"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9AC5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66D5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CD584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F918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8,325 (6,747 - 11,168)</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FA34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450 (364 - 603)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747D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BB84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A60D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2FBBA5CB"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D986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5C33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A192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3956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11,849 (9,668 - 15,684)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77F0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71 (58 - 94)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B073D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724 (177 - 1,527)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8486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(1 - 9)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DEA70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71 (17 - 156)</w:t>
            </w:r>
          </w:p>
        </w:tc>
      </w:tr>
      <w:tr w:rsidR="001602DF" w14:paraId="17950752"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D4313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6FF37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C5E8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2EDE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8,596 (6,853 - 12,111)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EA69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 (13 - 22)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9D49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453 (44 - 1,917)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FE31C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84F3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 (0 - 21)</w:t>
            </w:r>
          </w:p>
        </w:tc>
      </w:tr>
      <w:tr w:rsidR="001602DF" w14:paraId="212F4F3E"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689B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1D07E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C59A3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8F8C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74,211 (62,607 - 90,369)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CE63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53 (45 - 64)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9032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2,467 (992 - 4,197)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BD9E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(1 - 3)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F30C6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 (5 - 21)</w:t>
            </w:r>
          </w:p>
        </w:tc>
      </w:tr>
      <w:tr w:rsidR="001602DF" w14:paraId="0A74AE07"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FBB1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A2D3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655D1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1FBF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95,276 (80,352 - 115,940)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C628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152 (128 - 185)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FC1A6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6,770 (2,564 - 11,761)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CA62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 (4 - 19)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FC2E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43 (16 - 75)</w:t>
            </w:r>
          </w:p>
        </w:tc>
      </w:tr>
      <w:tr w:rsidR="001602DF" w14:paraId="7F6F82A1"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4E60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AAB0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04D1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40 (39 - 41)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A368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412,068 (348,946 - 499,169)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9FA2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695 (589 - 843)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2FB89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57,665 (35,442 - 84,006)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C83DD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97 (60 - 142)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F9063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240 (147 - 351)</w:t>
            </w:r>
          </w:p>
        </w:tc>
      </w:tr>
      <w:tr w:rsidR="001602DF" w14:paraId="136FD6DA"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F34BD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B1E3A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77687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EE8AA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610,988 (520,465 - 737,556)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4AB73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182 (155 - 220)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644EF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68,315 (42,831 - 97,984)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362F3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 (13 - 29)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BE813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98 (61 - 141)</w:t>
            </w:r>
          </w:p>
        </w:tc>
      </w:tr>
    </w:tbl>
    <w:p w14:paraId="449221B1" w14:textId="77777777" w:rsidR="001602DF" w:rsidRDefault="001602DF" w:rsidP="001602DF">
      <w:pPr>
        <w:pStyle w:val="FirstParagraph"/>
      </w:pPr>
      <w:r>
        <w:t>Notes: 95% uncertainty intervals (UI) were used to summarize the uncertainty from simulations.</w:t>
      </w:r>
    </w:p>
    <w:p w14:paraId="35235B7E" w14:textId="77777777" w:rsidR="001602DF" w:rsidRDefault="001602DF" w:rsidP="001602DF">
      <w:r>
        <w:br w:type="page"/>
      </w:r>
    </w:p>
    <w:p w14:paraId="2879C299"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S4. Annual estimates of COVID-19-associated hospitalizations averted by 2023-2024 COVID-19 vaccination, the week of September 24, 2023, to the week of August 11, 2024.</w:t>
      </w:r>
    </w:p>
    <w:tbl>
      <w:tblPr>
        <w:tblStyle w:val="Table"/>
        <w:tblW w:w="0" w:type="pct"/>
        <w:jc w:val="center"/>
        <w:tblLook w:val="0420" w:firstRow="1" w:lastRow="0" w:firstColumn="0" w:lastColumn="0" w:noHBand="0" w:noVBand="1"/>
      </w:tblPr>
      <w:tblGrid>
        <w:gridCol w:w="803"/>
        <w:gridCol w:w="957"/>
        <w:gridCol w:w="1002"/>
        <w:gridCol w:w="1329"/>
        <w:gridCol w:w="1311"/>
        <w:gridCol w:w="1326"/>
        <w:gridCol w:w="1316"/>
        <w:gridCol w:w="1316"/>
      </w:tblGrid>
      <w:tr w:rsidR="001602DF" w14:paraId="64841B78"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2B288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BF48D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w:t>
            </w:r>
            <w:r>
              <w:rPr>
                <w:rFonts w:ascii="Arial" w:eastAsia="Arial" w:hAnsi="Arial" w:cs="Arial"/>
                <w:color w:val="000000"/>
                <w:sz w:val="16"/>
                <w:szCs w:val="16"/>
              </w:rPr>
              <w:br/>
              <w:t>(%)</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5A52F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w:t>
            </w:r>
            <w:r>
              <w:rPr>
                <w:rFonts w:ascii="Arial" w:eastAsia="Arial" w:hAnsi="Arial" w:cs="Arial"/>
                <w:color w:val="000000"/>
                <w:sz w:val="16"/>
                <w:szCs w:val="16"/>
              </w:rPr>
              <w:br/>
              <w:t>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2DDF6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7DFDD5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3C110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66F88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589CC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5EE4B88B"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1EB0D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4328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344E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62B6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11,109 (9,123 - 14,466)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CDD9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600 (493 - 781)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3D163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AE0B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C0CD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30ADF8DF"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8887B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A209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0F66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AAEE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15,819 (13,040 - 20,467)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E5B98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95 (78 - 123)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C2EF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985 (470 - 1,696)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1896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(3 - 10)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1E51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84 (40 - 147)</w:t>
            </w:r>
          </w:p>
        </w:tc>
      </w:tr>
      <w:tr w:rsidR="001602DF" w14:paraId="064F008F"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15D3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2483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9777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9ECD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11,378 (9,194 - 15,498)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61078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21 (17 - 29)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A515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676 (268 - 1,796)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BFFA6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F551C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 (3 - 19)</w:t>
            </w:r>
          </w:p>
        </w:tc>
      </w:tr>
      <w:tr w:rsidR="001602DF" w14:paraId="30172E9E"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5297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3B66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A86C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30906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102,013 (86,193 - 124,127)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1782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73 (61 - 88)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BE9E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4,035 (2,519 - 5,842)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1937E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(2 - 4)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1A15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 (12 - 28)</w:t>
            </w:r>
          </w:p>
        </w:tc>
      </w:tr>
      <w:tr w:rsidR="001602DF" w14:paraId="413BF432"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43D1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85F1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B4D6F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8756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126,882 (107,351 - 154,047)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C29C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203 (172 - 246)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AECA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10,909 (7,055 - 15,411)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612E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(11 - 25)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FAC9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 (44 - 95)</w:t>
            </w:r>
          </w:p>
        </w:tc>
      </w:tr>
      <w:tr w:rsidR="001602DF" w14:paraId="3C2EB057"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3F18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5162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CF3DF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41 (40 - 42)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9134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559,712 (475,763 - 676,931)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68AB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945 (803 - 1,143)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F4D0E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90,512 (68,520 - 115,758)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FAEE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153 (116 - 195)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66E9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369 (279 - 471)</w:t>
            </w:r>
          </w:p>
        </w:tc>
      </w:tr>
      <w:tr w:rsidR="001602DF" w14:paraId="2F7855A4"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62FC6B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E6E41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C869F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962A5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827,572 (705,849 - 998,623)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E3C80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124 (105 - 149)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7DFF7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107,197 (80,692 - 137,643)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8BDB41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32 (24 - 41)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B3DED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149 (112 - 192)</w:t>
            </w:r>
          </w:p>
        </w:tc>
      </w:tr>
    </w:tbl>
    <w:p w14:paraId="367A3A43" w14:textId="77777777" w:rsidR="001602DF" w:rsidRDefault="001602DF" w:rsidP="001602DF">
      <w:pPr>
        <w:pStyle w:val="BodyText"/>
      </w:pPr>
      <w:r>
        <w:t>Notes: 95% uncertainty intervals (UI) were used to summarize the uncertainty from simulations.</w:t>
      </w:r>
    </w:p>
    <w:p w14:paraId="0A19F356" w14:textId="77777777" w:rsidR="001602DF" w:rsidRDefault="001602DF" w:rsidP="001602DF">
      <w:r>
        <w:br w:type="page"/>
      </w:r>
    </w:p>
    <w:p w14:paraId="2098D94D"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S5. Seasonal estimates of COVID-19-associated hospitalizations averted by 2023-2024 COVID-19 vaccination accounting for people with immunocompromising conditions, the week of October 1, 2023, to the week of April 21, 2024.</w:t>
      </w:r>
    </w:p>
    <w:tbl>
      <w:tblPr>
        <w:tblStyle w:val="Table"/>
        <w:tblW w:w="0" w:type="pct"/>
        <w:jc w:val="center"/>
        <w:tblLook w:val="0420" w:firstRow="1" w:lastRow="0" w:firstColumn="0" w:lastColumn="0" w:noHBand="0" w:noVBand="1"/>
      </w:tblPr>
      <w:tblGrid>
        <w:gridCol w:w="803"/>
        <w:gridCol w:w="968"/>
        <w:gridCol w:w="1002"/>
        <w:gridCol w:w="1328"/>
        <w:gridCol w:w="1311"/>
        <w:gridCol w:w="1318"/>
        <w:gridCol w:w="1315"/>
        <w:gridCol w:w="1315"/>
      </w:tblGrid>
      <w:tr w:rsidR="001602DF" w14:paraId="05C272AC"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D5152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9912C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72D43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w:t>
            </w:r>
            <w:r>
              <w:rPr>
                <w:rFonts w:ascii="Arial" w:eastAsia="Arial" w:hAnsi="Arial" w:cs="Arial"/>
                <w:color w:val="000000"/>
                <w:sz w:val="16"/>
                <w:szCs w:val="16"/>
              </w:rPr>
              <w:br/>
              <w:t>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44B72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32ECE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B5FD1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BB675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78AE4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2AE8D1AD"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5EFA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791D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3ADF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15BF0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8,325 (6,747 - 11,168)</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EA21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450 (364 - 603)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AD6D2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1435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22A9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53FD83F2"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0A62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1F00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1B3D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D895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11,849 (9,668 - 15,684)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A8BA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71 (58 - 94)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D20B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629 (154 - 1,335)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E225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(1 - 8)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9480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61 (15 - 136)</w:t>
            </w:r>
          </w:p>
        </w:tc>
      </w:tr>
      <w:tr w:rsidR="001602DF" w14:paraId="710EC072"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BAC5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0304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8A1A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BE74A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8,596 (6,853 - 12,111)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E4DE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 (13 - 22)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50C22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379 (36 - 1,608)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56DC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C1E8D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(0 - 18)</w:t>
            </w:r>
          </w:p>
        </w:tc>
      </w:tr>
      <w:tr w:rsidR="001602DF" w14:paraId="1E6CECAB"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F9B9B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7904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5EC7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DB62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74,211 (62,607 - 90,369)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1A1A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53 (45 - 64)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25E7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2,178 (875 - 3,714)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1E4E2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(1 - 3)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A7EE4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 (4 - 19)</w:t>
            </w:r>
          </w:p>
        </w:tc>
      </w:tr>
      <w:tr w:rsidR="001602DF" w14:paraId="769632B6"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00B8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7F93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16AE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F26A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95,276 (80,352 - 115,940)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A2BA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152 (128 - 185)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AA4B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6,020 (2,276 - 10,454)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D55D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 (4 - 17)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3321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38 (14 - 67)</w:t>
            </w:r>
          </w:p>
        </w:tc>
      </w:tr>
      <w:tr w:rsidR="001602DF" w14:paraId="79A3AA18"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4688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AD8F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3229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40 (39 - 41)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231E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412,068 (348,946 - 499,169)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C03B5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695 (589 - 843)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B2223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49,130 (30,230 - 71,690)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7AA7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83 (51 - 121)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3753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205 (126 - 299)</w:t>
            </w:r>
          </w:p>
        </w:tc>
      </w:tr>
      <w:tr w:rsidR="001602DF" w14:paraId="7CBB58DA"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C15DF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3FBC1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2021B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B93A8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610,988 (520,465 - 737,556)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06FB8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182 (155 - 220)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EB28A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58,540 (36,699 - 83,987)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836FA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(11 - 25)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5E3F9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84 (52 - 121)</w:t>
            </w:r>
          </w:p>
        </w:tc>
      </w:tr>
    </w:tbl>
    <w:p w14:paraId="3A4CA156" w14:textId="77777777" w:rsidR="001602DF" w:rsidRDefault="001602DF" w:rsidP="001602DF">
      <w:pPr>
        <w:pStyle w:val="BodyText"/>
      </w:pPr>
      <w:r>
        <w:t>Notes: 95% uncertainty intervals (UI) were used to summarize the uncertainty from simulations.</w:t>
      </w:r>
    </w:p>
    <w:p w14:paraId="28D64552" w14:textId="77777777" w:rsidR="001602DF" w:rsidRDefault="001602DF" w:rsidP="001602DF">
      <w:r>
        <w:br w:type="page"/>
      </w:r>
    </w:p>
    <w:p w14:paraId="3F2E35E7"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S6. Annual estimates of COVID-19-associated hospitalizations averted by 2023-2024 COVID-19 vaccination accounting for people with immunocompromising conditions, the week of September 24, 2023, to the week of August 11, 2024.</w:t>
      </w:r>
    </w:p>
    <w:tbl>
      <w:tblPr>
        <w:tblStyle w:val="Table"/>
        <w:tblW w:w="0" w:type="pct"/>
        <w:jc w:val="center"/>
        <w:tblLook w:val="0420" w:firstRow="1" w:lastRow="0" w:firstColumn="0" w:lastColumn="0" w:noHBand="0" w:noVBand="1"/>
      </w:tblPr>
      <w:tblGrid>
        <w:gridCol w:w="801"/>
        <w:gridCol w:w="967"/>
        <w:gridCol w:w="1002"/>
        <w:gridCol w:w="1328"/>
        <w:gridCol w:w="1311"/>
        <w:gridCol w:w="1321"/>
        <w:gridCol w:w="1315"/>
        <w:gridCol w:w="1315"/>
      </w:tblGrid>
      <w:tr w:rsidR="001602DF" w14:paraId="635AB3D4"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D6B3F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C2C46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F65E5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w:t>
            </w:r>
            <w:r>
              <w:rPr>
                <w:rFonts w:ascii="Arial" w:eastAsia="Arial" w:hAnsi="Arial" w:cs="Arial"/>
                <w:color w:val="000000"/>
                <w:sz w:val="16"/>
                <w:szCs w:val="16"/>
              </w:rPr>
              <w:br/>
              <w:t>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8E1A2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8E2F4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B75F0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C4580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727E0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hospitalizations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71C40825"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1B69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5976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DB27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36E1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11,109 (9,123 - 14,466)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36EC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600 (493 - 781)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D9CE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88D1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8FF3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49A01AA2"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9569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B04D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68CB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81410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15,819 (13,040 - 20,467)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9007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95 (78 - 123)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2A06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847 (403 - 1,462)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16A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 (2 - 9)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93EE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73 (34 - 127)</w:t>
            </w:r>
          </w:p>
        </w:tc>
      </w:tr>
      <w:tr w:rsidR="001602DF" w14:paraId="1C4569EB"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AA18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3885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34D3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5693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11,378 (9,194 - 15,498)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1DB4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21 (17 - 29)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57E6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564 (224 - 1,503)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FA9F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8FD9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(2 - 16)</w:t>
            </w:r>
          </w:p>
        </w:tc>
      </w:tr>
      <w:tr w:rsidR="001602DF" w14:paraId="7F9AFE0C"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FD0A9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C928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F3EE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D24A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102,013 (86,193 - 124,127)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3AA0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73 (61 - 88)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EB17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3,547 (2,214 - 5,134)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7A59A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(2 - 4)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D289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(11 - 25)</w:t>
            </w:r>
          </w:p>
        </w:tc>
      </w:tr>
      <w:tr w:rsidR="001602DF" w14:paraId="1AB3E079"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1005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76F6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9EC9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5D70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126,882 (107,351 - 154,047)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6617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203 (172 - 246)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6B2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9,668 (6,252 - 13,662)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42A0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 (10 - 22)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DCABB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60 (39 - 85)</w:t>
            </w:r>
          </w:p>
        </w:tc>
      </w:tr>
      <w:tr w:rsidR="001602DF" w14:paraId="67BD9316"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B751C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C8441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9CEB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41 (40 - 42)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B826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559,712 (475,763 - 676,931)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7111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945 (803 - 1,143)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7B7D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76,998 (58,275 - 98,466)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458B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130 (98 - 166)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C6BB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314 (237 - 401)</w:t>
            </w:r>
          </w:p>
        </w:tc>
      </w:tr>
      <w:tr w:rsidR="001602DF" w14:paraId="710D2567"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EC0AEF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065E1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53FF6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7A000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827,572 (705,849 - 998,623)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604F8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124 (105 - 149)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D6F9D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91,717 (68,971 - 117,801)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3B1E6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27 (21 - 35)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E0AD7F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128 (96 - 164)</w:t>
            </w:r>
          </w:p>
        </w:tc>
      </w:tr>
    </w:tbl>
    <w:p w14:paraId="2060E378" w14:textId="77777777" w:rsidR="001602DF" w:rsidRDefault="001602DF" w:rsidP="001602DF">
      <w:pPr>
        <w:pStyle w:val="BodyText"/>
      </w:pPr>
      <w:r>
        <w:t>Notes: 95% uncertainty intervals (UI) were used to summarize the uncertainty from simulations.</w:t>
      </w:r>
    </w:p>
    <w:p w14:paraId="40034098" w14:textId="77777777" w:rsidR="001602DF" w:rsidRDefault="001602DF" w:rsidP="001602DF">
      <w:r>
        <w:br w:type="page"/>
      </w:r>
    </w:p>
    <w:p w14:paraId="57D1E46E"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S7. Seasonal estimates of COVID-19-associated ICU admissions averted by 2023-2024 COVID-19 vaccination, the week of October 1, 2023, to the week of April 21, 2024.</w:t>
      </w:r>
    </w:p>
    <w:tbl>
      <w:tblPr>
        <w:tblStyle w:val="Table"/>
        <w:tblW w:w="0" w:type="pct"/>
        <w:jc w:val="center"/>
        <w:tblLook w:val="0420" w:firstRow="1" w:lastRow="0" w:firstColumn="0" w:lastColumn="0" w:noHBand="0" w:noVBand="1"/>
      </w:tblPr>
      <w:tblGrid>
        <w:gridCol w:w="970"/>
        <w:gridCol w:w="1042"/>
        <w:gridCol w:w="1009"/>
        <w:gridCol w:w="1332"/>
        <w:gridCol w:w="1221"/>
        <w:gridCol w:w="1262"/>
        <w:gridCol w:w="1262"/>
        <w:gridCol w:w="1262"/>
      </w:tblGrid>
      <w:tr w:rsidR="001602DF" w14:paraId="4C0E62AC"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35284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57F1B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E1720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w:t>
            </w:r>
            <w:r>
              <w:rPr>
                <w:rFonts w:ascii="Arial" w:eastAsia="Arial" w:hAnsi="Arial" w:cs="Arial"/>
                <w:color w:val="000000"/>
                <w:sz w:val="16"/>
                <w:szCs w:val="16"/>
              </w:rPr>
              <w:br/>
              <w:t>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DFF08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1C16A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9EF9B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DF8A0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BFC5A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1CA6CB06"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C338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0BF9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2FAF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3B4C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2,044 (1,657 - 2,752)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AC2E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110 (90 - 149)</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F31F5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6DC4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E1B3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17A944C9"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767F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B5C5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41927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D204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2,985 (2,429 - 3,968)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AE72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 (15 - 24)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B1B97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175 (38 - 418)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4502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24179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(4 - 42)</w:t>
            </w:r>
          </w:p>
        </w:tc>
      </w:tr>
      <w:tr w:rsidR="001602DF" w14:paraId="30D9E6FC"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0997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BC71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18FE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B576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1,747 (1,389 - 2,464)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40DB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(3 - 5)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FDBE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93 (9 - 392)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441C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D2C5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(0 - 4)</w:t>
            </w:r>
          </w:p>
        </w:tc>
      </w:tr>
      <w:tr w:rsidR="001602DF" w14:paraId="13FA86E2"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F16E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F89F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BC87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C5E52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10,478 (8,812 - 12,781)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5E3C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 (6 - 9)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07A3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307 (39 - 776)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CCAC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AE18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(0 - 4)</w:t>
            </w:r>
          </w:p>
        </w:tc>
      </w:tr>
      <w:tr w:rsidR="001602DF" w14:paraId="5A928AA3"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53E3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124C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C4A0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175D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22,544 (18,960 - 27,506)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72B4E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36 (30 - 44)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92450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1,499 (321 - 3,503)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6DF75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(1 - 6)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721A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 (2 - 22)</w:t>
            </w:r>
          </w:p>
        </w:tc>
      </w:tr>
      <w:tr w:rsidR="001602DF" w14:paraId="47D64759"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D64E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5F6D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C9EE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40 (39 - 41)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B7FDB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75,918 (64,288 - 91,978)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D6FD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128 (109 - 155)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081F1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10,878 (3,104 - 21,591)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9E621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 (5 - 36)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6F6C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45 (13 - 90)</w:t>
            </w:r>
          </w:p>
        </w:tc>
      </w:tr>
      <w:tr w:rsidR="001602DF" w14:paraId="3C58FB35"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7C025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738C3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D7F3E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B5ADE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115,875 (98,670 - 139,889)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DE4D6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35 (29 - 42)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4CC00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13,108 (4,459 - 25,042)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70F68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(1 - 7)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ADCB3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 (6 - 36)</w:t>
            </w:r>
          </w:p>
        </w:tc>
      </w:tr>
    </w:tbl>
    <w:p w14:paraId="3CA9E304" w14:textId="77777777" w:rsidR="001602DF" w:rsidRDefault="001602DF" w:rsidP="001602DF">
      <w:pPr>
        <w:pStyle w:val="BodyText"/>
      </w:pPr>
      <w:r>
        <w:t>Notes: 95% uncertainty intervals (UI) were used to summarize the uncertainty from simulations.</w:t>
      </w:r>
    </w:p>
    <w:p w14:paraId="5C76E439" w14:textId="77777777" w:rsidR="001602DF" w:rsidRDefault="001602DF" w:rsidP="001602DF">
      <w:r>
        <w:br w:type="page"/>
      </w:r>
    </w:p>
    <w:p w14:paraId="581E3B64"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S8. Annual estimates of COVID-19-associated ICU admissions averted by 2023-2024 COVID-19 vaccination, the week of September 24, 2023, to the week of August 11, 2024.</w:t>
      </w:r>
    </w:p>
    <w:tbl>
      <w:tblPr>
        <w:tblStyle w:val="Table"/>
        <w:tblW w:w="0" w:type="pct"/>
        <w:jc w:val="center"/>
        <w:tblLook w:val="0420" w:firstRow="1" w:lastRow="0" w:firstColumn="0" w:lastColumn="0" w:noHBand="0" w:noVBand="1"/>
      </w:tblPr>
      <w:tblGrid>
        <w:gridCol w:w="964"/>
        <w:gridCol w:w="1040"/>
        <w:gridCol w:w="1009"/>
        <w:gridCol w:w="1349"/>
        <w:gridCol w:w="1215"/>
        <w:gridCol w:w="1273"/>
        <w:gridCol w:w="1255"/>
        <w:gridCol w:w="1255"/>
      </w:tblGrid>
      <w:tr w:rsidR="001602DF" w14:paraId="7C176B19"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D95F9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3606A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A99E0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w:t>
            </w:r>
            <w:r>
              <w:rPr>
                <w:rFonts w:ascii="Arial" w:eastAsia="Arial" w:hAnsi="Arial" w:cs="Arial"/>
                <w:color w:val="000000"/>
                <w:sz w:val="16"/>
                <w:szCs w:val="16"/>
              </w:rPr>
              <w:br/>
              <w:t>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D20C50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330D0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88D3C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31AFF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3890C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28B909DC"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74967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BE35B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F946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E2FF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2,645 (2,170 - 3,460)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378D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143 (117 - 187)</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0977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FA0B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4BF3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28FD2BFB"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C051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BA70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3C4C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1158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3,994 (3,286 - 5,185)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4CDD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24 (20 - 31)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88DB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238 (109 - 443)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06CB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(1 - 3)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7387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 (9 - 39)</w:t>
            </w:r>
          </w:p>
        </w:tc>
      </w:tr>
      <w:tr w:rsidR="001602DF" w14:paraId="2979E02A"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D097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FCB9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21C7F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0B7A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2,190 (1,766 - 2,988)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25D9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(3 - 6)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1DD84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133 (49 - 353)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FEF4E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55AD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(1 - 4)</w:t>
            </w:r>
          </w:p>
        </w:tc>
      </w:tr>
      <w:tr w:rsidR="001602DF" w14:paraId="44318C98"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9975B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469C4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5B6E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A7238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16,816 (14,178 - 20,481)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0A907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 (10 - 15)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4F5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649 (299 - 1,134)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4780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8D563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(1 - 5)</w:t>
            </w:r>
          </w:p>
        </w:tc>
      </w:tr>
      <w:tr w:rsidR="001602DF" w14:paraId="7950CBBD"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B6C6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B56D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EFCE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9D7E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26,096 (21,950 - 31,835)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BAD0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 (35 - 51)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9BAA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2,207 (1,093 - 3,803)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ACC6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(2 - 6)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11BB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(7 - 24)</w:t>
            </w:r>
          </w:p>
        </w:tc>
      </w:tr>
      <w:tr w:rsidR="001602DF" w14:paraId="3D0E98AD"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4FB7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FA39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50F1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41 (40 - 42)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0907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90,917 (77,143 - 110,089)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2038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153 (130 - 186)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E795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14,960 (8,019 - 23,559)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A2890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(14 - 40)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08E4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61 (33 - 96)</w:t>
            </w:r>
          </w:p>
        </w:tc>
      </w:tr>
      <w:tr w:rsidR="001602DF" w14:paraId="055A0DE1"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03F3B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AACA7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27110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C4F77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142,769 (121,761 - 172,376)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5538A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21 (18 - 26)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6B955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18,292 (10,062 - 28,436)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4D3BA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 (3 - 8)</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F6DBC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(14 - 40)</w:t>
            </w:r>
          </w:p>
        </w:tc>
      </w:tr>
    </w:tbl>
    <w:p w14:paraId="6AD32722" w14:textId="77777777" w:rsidR="001602DF" w:rsidRDefault="001602DF" w:rsidP="001602DF">
      <w:pPr>
        <w:pStyle w:val="BodyText"/>
      </w:pPr>
      <w:r>
        <w:t>Notes: 95% uncertainty intervals (UI) were used to summarize the uncertainty from simulations.</w:t>
      </w:r>
    </w:p>
    <w:p w14:paraId="41913E9C" w14:textId="77777777" w:rsidR="001602DF" w:rsidRDefault="001602DF" w:rsidP="001602DF">
      <w:r>
        <w:br w:type="page"/>
      </w:r>
    </w:p>
    <w:p w14:paraId="7C1BB8DD"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S9. Seasonal estimates of COVID-19-associated ICU admissions averted by 2023-2024 COVID-19 vaccination accounting for people with immunocompromising conditions, the week of October 1, 2023, to the week of April 21, 2024.</w:t>
      </w:r>
    </w:p>
    <w:tbl>
      <w:tblPr>
        <w:tblStyle w:val="Table"/>
        <w:tblW w:w="0" w:type="pct"/>
        <w:jc w:val="center"/>
        <w:tblLook w:val="0420" w:firstRow="1" w:lastRow="0" w:firstColumn="0" w:lastColumn="0" w:noHBand="0" w:noVBand="1"/>
      </w:tblPr>
      <w:tblGrid>
        <w:gridCol w:w="970"/>
        <w:gridCol w:w="1042"/>
        <w:gridCol w:w="1009"/>
        <w:gridCol w:w="1332"/>
        <w:gridCol w:w="1221"/>
        <w:gridCol w:w="1262"/>
        <w:gridCol w:w="1262"/>
        <w:gridCol w:w="1262"/>
      </w:tblGrid>
      <w:tr w:rsidR="001602DF" w14:paraId="51E77B84"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90007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6E39E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AF617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w:t>
            </w:r>
            <w:r>
              <w:rPr>
                <w:rFonts w:ascii="Arial" w:eastAsia="Arial" w:hAnsi="Arial" w:cs="Arial"/>
                <w:color w:val="000000"/>
                <w:sz w:val="16"/>
                <w:szCs w:val="16"/>
              </w:rPr>
              <w:br/>
              <w:t>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3B5F0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B8B9E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4C0952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26E8E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C11FA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290AFF15"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A65E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4E8F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9806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10C0B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2,044 (1,657 - 2,752)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BF2F7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110 (90 - 149)</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D888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C87A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BEF5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6CFF0EBA"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88DD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72AD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2F52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4002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2,985 (2,429 - 3,968)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7E04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 (15 - 24)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37EB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152 (33 - 366)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0656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E17A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 (3 - 37)</w:t>
            </w:r>
          </w:p>
        </w:tc>
      </w:tr>
      <w:tr w:rsidR="001602DF" w14:paraId="2418E042"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E4EF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E49C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22009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E30E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1,747 (1,389 - 2,464)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795D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(3 - 5)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B42B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78 (8 - 328)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2B9E3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61196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(0 - 4)</w:t>
            </w:r>
          </w:p>
        </w:tc>
      </w:tr>
      <w:tr w:rsidR="001602DF" w14:paraId="4044A7F1"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01B4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2F0F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E432B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7971C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10,478 (8,812 - 12,781)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0F22C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 (6 - 9)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628C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272 (35 - 687)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461C4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7910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(0 - 3)</w:t>
            </w:r>
          </w:p>
        </w:tc>
      </w:tr>
      <w:tr w:rsidR="001602DF" w14:paraId="4875832B"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BAB1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F190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EDCB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5DF1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22,544 (18,960 - 27,506)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BC2C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36 (30 - 44)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C353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1,329 (284 - 3,109)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317E0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(0 - 5)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CBB9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 (2 - 20)</w:t>
            </w:r>
          </w:p>
        </w:tc>
      </w:tr>
      <w:tr w:rsidR="001602DF" w14:paraId="5846323A"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5F75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F967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BE10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40 (39 - 41)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4407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75,918 (64,288 - 91,978)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7A62F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128 (109 - 155)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42F2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9,266 (2,645 - 18,396)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170D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 (4 - 31)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3A0A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39 (11 - 77)</w:t>
            </w:r>
          </w:p>
        </w:tc>
      </w:tr>
      <w:tr w:rsidR="001602DF" w14:paraId="3239A3D9"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01D0E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B92FF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714FE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13F7F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115,875 (98,670 - 139,889)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1D63E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35 (29 - 42)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8F4BC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11,237 (3,815 - 21,461)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5B9CA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(1 - 6)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950DA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 (6 - 31)</w:t>
            </w:r>
          </w:p>
        </w:tc>
      </w:tr>
    </w:tbl>
    <w:p w14:paraId="684F900D" w14:textId="77777777" w:rsidR="001602DF" w:rsidRDefault="001602DF" w:rsidP="001602DF">
      <w:pPr>
        <w:pStyle w:val="BodyText"/>
      </w:pPr>
      <w:r>
        <w:t>Notes: 95% uncertainty intervals (UI) were used to summarize the uncertainty from simulations.</w:t>
      </w:r>
    </w:p>
    <w:p w14:paraId="4F5622DB" w14:textId="77777777" w:rsidR="001602DF" w:rsidRDefault="001602DF" w:rsidP="001602DF">
      <w:r>
        <w:br w:type="page"/>
      </w:r>
    </w:p>
    <w:p w14:paraId="3684071F"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S10. Annual estimates of COVID-19-associated ICU admissions averted by 2023-2024 COVID-19 vaccination accounting for people with immunocompromising conditions, the week of September 24, 2023, to the week of August 11, 2024.</w:t>
      </w:r>
    </w:p>
    <w:tbl>
      <w:tblPr>
        <w:tblStyle w:val="Table"/>
        <w:tblW w:w="0" w:type="pct"/>
        <w:jc w:val="center"/>
        <w:tblLook w:val="0420" w:firstRow="1" w:lastRow="0" w:firstColumn="0" w:lastColumn="0" w:noHBand="0" w:noVBand="1"/>
      </w:tblPr>
      <w:tblGrid>
        <w:gridCol w:w="967"/>
        <w:gridCol w:w="1041"/>
        <w:gridCol w:w="1009"/>
        <w:gridCol w:w="1352"/>
        <w:gridCol w:w="1217"/>
        <w:gridCol w:w="1258"/>
        <w:gridCol w:w="1258"/>
        <w:gridCol w:w="1258"/>
      </w:tblGrid>
      <w:tr w:rsidR="001602DF" w14:paraId="327A9D5A"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1208C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E69B7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E63B4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w:t>
            </w:r>
            <w:r>
              <w:rPr>
                <w:rFonts w:ascii="Arial" w:eastAsia="Arial" w:hAnsi="Arial" w:cs="Arial"/>
                <w:color w:val="000000"/>
                <w:sz w:val="16"/>
                <w:szCs w:val="16"/>
              </w:rPr>
              <w:br/>
              <w:t>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7C317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81FB9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9E3DF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BC836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09C94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ICU admissions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332B2F06"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F35E4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3FEA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CAC4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6ACDD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2,645 (2,170 - 3,460)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71F4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143 (117 - 187)</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7916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2EA0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7CEF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3A01BDF7"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7BE7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139BE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196C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16B2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3,994 (3,286 - 5,185)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815A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24 (20 - 31)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4604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204 (93 - 381)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E096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(1 - 2)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BF2E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 (8 - 33)</w:t>
            </w:r>
          </w:p>
        </w:tc>
      </w:tr>
      <w:tr w:rsidR="001602DF" w14:paraId="6A5DF94F"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17BD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9533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9D93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EFF5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2,190 (1,766 - 2,988)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46060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(3 - 6)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1B2C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111 (41 - 295)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34DC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BF04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(0 - 3)</w:t>
            </w:r>
          </w:p>
        </w:tc>
      </w:tr>
      <w:tr w:rsidR="001602DF" w14:paraId="65DD6ED5"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322EE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E40A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29C8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7CF0A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16,816 (14,178 - 20,481)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8A37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 (10 - 15)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4B91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570 (263 - 997)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CA61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4D26F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(1 - 5)</w:t>
            </w:r>
          </w:p>
        </w:tc>
      </w:tr>
      <w:tr w:rsidR="001602DF" w14:paraId="1E2F9884"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1C0C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CDB7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B7FC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0D2B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26,096 (21,950 - 31,835)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FF0D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 (35 - 51)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87EB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1,953 (966 - 3,370)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30FD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(2 - 5)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4B77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 (6 - 21)</w:t>
            </w:r>
          </w:p>
        </w:tc>
      </w:tr>
      <w:tr w:rsidR="001602DF" w14:paraId="303C4E43"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AC79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791D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32E8D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41 (40 - 42)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1AF34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90,917 (77,143 - 110,089)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45BC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153 (130 - 186)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127A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12,744 (6,836 - 20,057)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BD79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(12 - 34)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B6B9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52 (28 - 82)</w:t>
            </w:r>
          </w:p>
        </w:tc>
      </w:tr>
      <w:tr w:rsidR="001602DF" w14:paraId="7390B7B2"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932D3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3A7EC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81DA1E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D91B6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142,769 (121,761 - 172,376)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FDC57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21 (18 - 26)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8E42A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15,673 (8,629 - 24,386)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9FA5E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 (3 - 7)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AC99B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(12 - 34)</w:t>
            </w:r>
          </w:p>
        </w:tc>
      </w:tr>
    </w:tbl>
    <w:p w14:paraId="11E421CD" w14:textId="77777777" w:rsidR="001602DF" w:rsidRDefault="001602DF" w:rsidP="001602DF">
      <w:pPr>
        <w:pStyle w:val="BodyText"/>
      </w:pPr>
      <w:r>
        <w:t>Notes: 95% uncertainty intervals (UI) were used to summarize the uncertainty from simulations.</w:t>
      </w:r>
    </w:p>
    <w:p w14:paraId="77F16BF1" w14:textId="77777777" w:rsidR="001602DF" w:rsidRDefault="001602DF" w:rsidP="001602DF">
      <w:r>
        <w:br w:type="page"/>
      </w:r>
    </w:p>
    <w:p w14:paraId="03C6FEC8"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S11. Seasonal estimates of COVID-19-associated in-hospital deaths averted by 2023-2024 COVID-19 vaccination, the week of October 1, 2023, to the week of April 21, 2024.</w:t>
      </w:r>
    </w:p>
    <w:tbl>
      <w:tblPr>
        <w:tblStyle w:val="Table"/>
        <w:tblW w:w="0" w:type="pct"/>
        <w:jc w:val="center"/>
        <w:tblLook w:val="0420" w:firstRow="1" w:lastRow="0" w:firstColumn="0" w:lastColumn="0" w:noHBand="0" w:noVBand="1"/>
      </w:tblPr>
      <w:tblGrid>
        <w:gridCol w:w="953"/>
        <w:gridCol w:w="1035"/>
        <w:gridCol w:w="1210"/>
        <w:gridCol w:w="1232"/>
        <w:gridCol w:w="1177"/>
        <w:gridCol w:w="1251"/>
        <w:gridCol w:w="1251"/>
        <w:gridCol w:w="1251"/>
      </w:tblGrid>
      <w:tr w:rsidR="001602DF" w14:paraId="67DA8720"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28E67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1D683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333C9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 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A9A6A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6A6CE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E0511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93359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7CE7E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0E943BFA"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EC58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C529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8309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5CAEE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71 (56 - 99)</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EA79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(3 - 5)</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107C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73492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A7FC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5F74F292"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CD9B0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C0E74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6890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3CEC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35 (29 - 47)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F633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1EB33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(0 - 17)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E043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4BDD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(0 - 2)</w:t>
            </w:r>
          </w:p>
        </w:tc>
      </w:tr>
      <w:tr w:rsidR="001602DF" w14:paraId="6711FDDF"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AADB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374E2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BDEDA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5233F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139 (110 - 201)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A196C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3162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(0 - 59)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5D4B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E8F0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r>
      <w:tr w:rsidR="001602DF" w14:paraId="04BFA535"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5374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7059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D9D4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96EA6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1,219 (1,026 - 1,486)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B742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(1 - 1)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46E0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36 (0 - 185)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E35F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7A529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r>
      <w:tr w:rsidR="001602DF" w14:paraId="1BE7F454"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18BC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BA9C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3E283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A954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6,205 (5,220 - 7,555)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DE54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 (8 - 12)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3224B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412 (0 - 1,447)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782B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1E27C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(0 - 9)</w:t>
            </w:r>
          </w:p>
        </w:tc>
      </w:tr>
      <w:tr w:rsidR="001602DF" w14:paraId="151BA125"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4EC7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17D8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9A97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40 (39 - 41)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80D8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39,623 (33,495 - 48,096)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DAF9A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 (57 - 81)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9970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4,779 (0 - 13,132)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13A31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 (0 - 22)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5528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20 (0 - 55)</w:t>
            </w:r>
          </w:p>
        </w:tc>
      </w:tr>
      <w:tr w:rsidR="001602DF" w14:paraId="2CCC314A"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01C05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3C906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47CFEF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4CFB2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47,302 (40,136 - 57,202)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4BE95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(12 - 17)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42ED0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5,301 (101 - 14,230)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8C9B4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(0 - 4)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2EF72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 (0 - 20)</w:t>
            </w:r>
          </w:p>
        </w:tc>
      </w:tr>
    </w:tbl>
    <w:p w14:paraId="308BBE79" w14:textId="77777777" w:rsidR="001602DF" w:rsidRDefault="001602DF" w:rsidP="001602DF">
      <w:pPr>
        <w:pStyle w:val="BodyText"/>
      </w:pPr>
      <w:r>
        <w:t>Notes: 95% uncertainty intervals (UI) were used to summarize the uncertainty from simulations.</w:t>
      </w:r>
    </w:p>
    <w:p w14:paraId="7C16F295" w14:textId="77777777" w:rsidR="001602DF" w:rsidRDefault="001602DF" w:rsidP="001602DF">
      <w:r>
        <w:br w:type="page"/>
      </w:r>
    </w:p>
    <w:p w14:paraId="17653B0A"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S12. Annual estimates of COVID-19-associated in-hospital deaths averted by 2023-2024 COVID-19 vaccination, the week of September 24, 2023, to the week of August 11, 2024.</w:t>
      </w:r>
    </w:p>
    <w:tbl>
      <w:tblPr>
        <w:tblStyle w:val="Table"/>
        <w:tblW w:w="0" w:type="pct"/>
        <w:jc w:val="center"/>
        <w:tblLook w:val="0420" w:firstRow="1" w:lastRow="0" w:firstColumn="0" w:lastColumn="0" w:noHBand="0" w:noVBand="1"/>
      </w:tblPr>
      <w:tblGrid>
        <w:gridCol w:w="953"/>
        <w:gridCol w:w="1035"/>
        <w:gridCol w:w="1210"/>
        <w:gridCol w:w="1232"/>
        <w:gridCol w:w="1177"/>
        <w:gridCol w:w="1251"/>
        <w:gridCol w:w="1251"/>
        <w:gridCol w:w="1251"/>
      </w:tblGrid>
      <w:tr w:rsidR="001602DF" w14:paraId="008FDCEF"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969A5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9AAEB4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117C3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 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D7B10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B06D2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596AA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5D8CE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F3DDC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5D22D4CA"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B74C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C83E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C6F4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59D8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117 (94 - 156)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940B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(5 - 8)</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34DCA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1347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70F4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36710746"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A1EB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899B2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11783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CA78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32 (26 - 42)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4851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2BE6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(0 - 15)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6EBF8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720C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r>
      <w:tr w:rsidR="001602DF" w14:paraId="1C1C7C29"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0DCE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64C0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F05DE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0005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125 (98 - 179)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A397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B499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 (1 - 46)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4260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3255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r>
      <w:tr w:rsidR="001602DF" w14:paraId="3DD3DE12"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3E68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03E6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A7FD4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ACFF5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1,399 (1,176 - 1,708)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C5EF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(1 - 1)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63B93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60 (9 - 163)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C64A1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4B0E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r>
      <w:tr w:rsidR="001602DF" w14:paraId="097F6114"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B22F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85F8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6828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B75B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6,827 (5,733 - 8,318)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028E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 (9 - 13)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8CFE1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575 (149 - 1,273)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C23E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A183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(1 - 8)</w:t>
            </w:r>
          </w:p>
        </w:tc>
      </w:tr>
      <w:tr w:rsidR="001602DF" w14:paraId="43C96673"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BBFC1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3685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74F1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41 (40 - 42)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1EBA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42,106 (35,336 - 51,519)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9B4B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71 (60 - 87)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79F6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6,080 (1,787 - 12,334)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3B567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 (3 - 21)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FD19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(7 - 50)</w:t>
            </w:r>
          </w:p>
        </w:tc>
      </w:tr>
      <w:tr w:rsidR="001602DF" w14:paraId="5FE46DFA"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6C31A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B8BDE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59837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15F39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50,625 (42,698 - 61,624)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2F46B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 (6 - 9)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B7D5C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6,749 (2,077 - 13,557)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913F9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(1 - 4)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402BF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 (3 - 19)</w:t>
            </w:r>
          </w:p>
        </w:tc>
      </w:tr>
    </w:tbl>
    <w:p w14:paraId="595C0203" w14:textId="77777777" w:rsidR="001602DF" w:rsidRDefault="001602DF" w:rsidP="001602DF">
      <w:pPr>
        <w:pStyle w:val="BodyText"/>
      </w:pPr>
      <w:r>
        <w:t>Notes: 95% uncertainty intervals (UI) were used to summarize the uncertainty from simulations.</w:t>
      </w:r>
    </w:p>
    <w:p w14:paraId="39C60009" w14:textId="77777777" w:rsidR="001602DF" w:rsidRDefault="001602DF" w:rsidP="001602DF">
      <w:r>
        <w:br w:type="page"/>
      </w:r>
    </w:p>
    <w:p w14:paraId="7BFC3607"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S13. Seasonal estimates of COVID-19-associated in-hospital deaths averted by 2023-2024 COVID-19 vaccination accounting for people with immunocompromising conditions, the week of October 1, 2023, to the week of April 21, 2024.</w:t>
      </w:r>
    </w:p>
    <w:tbl>
      <w:tblPr>
        <w:tblStyle w:val="Table"/>
        <w:tblW w:w="0" w:type="pct"/>
        <w:jc w:val="center"/>
        <w:tblLook w:val="0420" w:firstRow="1" w:lastRow="0" w:firstColumn="0" w:lastColumn="0" w:noHBand="0" w:noVBand="1"/>
      </w:tblPr>
      <w:tblGrid>
        <w:gridCol w:w="952"/>
        <w:gridCol w:w="1034"/>
        <w:gridCol w:w="1234"/>
        <w:gridCol w:w="1228"/>
        <w:gridCol w:w="1174"/>
        <w:gridCol w:w="1246"/>
        <w:gridCol w:w="1246"/>
        <w:gridCol w:w="1246"/>
      </w:tblGrid>
      <w:tr w:rsidR="001602DF" w14:paraId="7B5BBCCF"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B1A5C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327BA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BF32E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 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1185D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48577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50E35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2F9D9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BE4B4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11BC9406"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74A5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C7A5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D7FE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0417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71 (56 - 99)</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B704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 (3 - 5)</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03B8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85FC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EC51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31C9EE18"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75D4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2685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3A0C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7BED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35 (29 - 47)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2280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5BB0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(0 - 15)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3ECE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3539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r>
      <w:tr w:rsidR="001602DF" w14:paraId="58C02320"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BFD1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CE6FB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A07E0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105F8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139 (110 - 201)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DE80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2C407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 (0 - 50)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21E4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4045B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r>
      <w:tr w:rsidR="001602DF" w14:paraId="0AD95FAF"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0622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2891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170F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8D15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1,219 (1,026 - 1,486)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039CE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(1 - 1)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6D01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32 (0 - 163)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88CBC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D921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r>
      <w:tr w:rsidR="001602DF" w14:paraId="42D206BB"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38775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647D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F3F7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72F78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6,205 (5,220 - 7,555)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E9F1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 (8 - 12)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A96F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366 (0 - 1,287)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E588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5E72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(0 - 8)</w:t>
            </w:r>
          </w:p>
        </w:tc>
      </w:tr>
      <w:tr w:rsidR="001602DF" w14:paraId="5ABF3175"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910E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AF12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2EAB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40 (39 - 41)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458F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39,623 (33,495 - 48,096)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B68CD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 (57 - 81)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6176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4,077 (0 - 11,185)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BC71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 (0 - 19)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10C76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(0 - 47)</w:t>
            </w:r>
          </w:p>
        </w:tc>
      </w:tr>
      <w:tr w:rsidR="001602DF" w14:paraId="279ECF18"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D92A6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3C5D2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CF642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2433B0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47,302 (40,136 - 57,202)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3BB70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(12 - 17)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EA938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4,538 (88 - 12,166)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2AEDD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F37A1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 (0 - 17)</w:t>
            </w:r>
          </w:p>
        </w:tc>
      </w:tr>
    </w:tbl>
    <w:p w14:paraId="127B9B4C" w14:textId="77777777" w:rsidR="001602DF" w:rsidRDefault="001602DF" w:rsidP="001602DF">
      <w:pPr>
        <w:pStyle w:val="BodyText"/>
      </w:pPr>
      <w:r>
        <w:t>Notes: 95% uncertainty intervals (UI) were used to summarize the uncertainty from simulations.</w:t>
      </w:r>
    </w:p>
    <w:p w14:paraId="2B016257" w14:textId="77777777" w:rsidR="001602DF" w:rsidRDefault="001602DF" w:rsidP="001602DF">
      <w:r>
        <w:br w:type="page"/>
      </w:r>
    </w:p>
    <w:p w14:paraId="6F267221"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S14. Annual estimates of COVID-19-associated in-hospital deaths averted by 2023-2024 COVID-19 vaccination accounting for people with immunocompromising conditions, the week of September 24, 2023, to the week of August 11, 2024.</w:t>
      </w:r>
    </w:p>
    <w:tbl>
      <w:tblPr>
        <w:tblStyle w:val="Table"/>
        <w:tblW w:w="0" w:type="pct"/>
        <w:jc w:val="center"/>
        <w:tblLook w:val="0420" w:firstRow="1" w:lastRow="0" w:firstColumn="0" w:lastColumn="0" w:noHBand="0" w:noVBand="1"/>
      </w:tblPr>
      <w:tblGrid>
        <w:gridCol w:w="952"/>
        <w:gridCol w:w="1034"/>
        <w:gridCol w:w="1234"/>
        <w:gridCol w:w="1228"/>
        <w:gridCol w:w="1174"/>
        <w:gridCol w:w="1246"/>
        <w:gridCol w:w="1246"/>
        <w:gridCol w:w="1246"/>
      </w:tblGrid>
      <w:tr w:rsidR="001602DF" w14:paraId="4E35567A"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F5439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Age Group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2FBFF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Population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E4501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 Vaccination</w:t>
            </w:r>
            <w:r>
              <w:rPr>
                <w:rFonts w:ascii="Arial" w:eastAsia="Arial" w:hAnsi="Arial" w:cs="Arial"/>
                <w:color w:val="000000"/>
                <w:sz w:val="16"/>
                <w:szCs w:val="16"/>
              </w:rPr>
              <w:br/>
              <w:t>coverage</w:t>
            </w:r>
            <w:r>
              <w:rPr>
                <w:rFonts w:ascii="Arial" w:eastAsia="Arial" w:hAnsi="Arial" w:cs="Arial"/>
                <w:color w:val="000000"/>
                <w:sz w:val="16"/>
                <w:szCs w:val="16"/>
              </w:rPr>
              <w:br/>
              <w:t>% (95% CI)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E0F7F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94A8E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1F686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F5E94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per 100,000 people</w:t>
            </w:r>
            <w:r>
              <w:rPr>
                <w:rFonts w:ascii="Arial" w:eastAsia="Arial" w:hAnsi="Arial" w:cs="Arial"/>
                <w:color w:val="000000"/>
                <w:sz w:val="16"/>
                <w:szCs w:val="16"/>
              </w:rPr>
              <w:br/>
              <w:t>Median (95% UI)</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030DC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COVID-19-associated</w:t>
            </w:r>
            <w:r>
              <w:rPr>
                <w:rFonts w:ascii="Arial" w:eastAsia="Arial" w:hAnsi="Arial" w:cs="Arial"/>
                <w:color w:val="000000"/>
                <w:sz w:val="16"/>
                <w:szCs w:val="16"/>
              </w:rPr>
              <w:br/>
              <w:t>in-hospital deaths averted</w:t>
            </w:r>
            <w:r>
              <w:rPr>
                <w:rFonts w:ascii="Arial" w:eastAsia="Arial" w:hAnsi="Arial" w:cs="Arial"/>
                <w:color w:val="000000"/>
                <w:sz w:val="16"/>
                <w:szCs w:val="16"/>
              </w:rPr>
              <w:br/>
              <w:t>per 100,000 vaccinated</w:t>
            </w:r>
            <w:r>
              <w:rPr>
                <w:rFonts w:ascii="Arial" w:eastAsia="Arial" w:hAnsi="Arial" w:cs="Arial"/>
                <w:color w:val="000000"/>
                <w:sz w:val="16"/>
                <w:szCs w:val="16"/>
              </w:rPr>
              <w:br/>
              <w:t>Median (95% UI)</w:t>
            </w:r>
          </w:p>
        </w:tc>
      </w:tr>
      <w:tr w:rsidR="001602DF" w14:paraId="60631E08"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35A7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 months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2606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8E28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714B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117 (94 - 156)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7332E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(5 - 8)</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74DA7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EE5F3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8E76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602DF" w14:paraId="3CD3B497"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84062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months-4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ECD99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3498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(5 - 7)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855D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32 (26 - 42)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23A3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FA4C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(0 - 13)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014A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4CEF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r>
      <w:tr w:rsidR="001602DF" w14:paraId="689A7D03"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3D1C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5-17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4BA9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6AB7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17 (16 - 17)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6BC23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125 (98 - 179)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6088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82E3E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(0 - 38)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6D4D0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2314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r>
      <w:tr w:rsidR="001602DF" w14:paraId="4782F9BB"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AC9B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18-49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91AF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D4DE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 (14 - 15)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16EC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1,399 (1,176 - 1,708)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93B16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(1 - 1)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0A29A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53 (8 - 143)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C554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8FDFA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 (0 - 1)</w:t>
            </w:r>
          </w:p>
        </w:tc>
      </w:tr>
      <w:tr w:rsidR="001602DF" w14:paraId="3BE38FDF"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B3576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50-64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2C9D1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2C48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(24 - 26)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98A9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6,827 (5,733 - 8,318)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5A04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 (9 - 13)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1FE0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510 (133 - 1,129)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B74F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 (0 - 2)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3DFF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 (1 - 7)</w:t>
            </w:r>
          </w:p>
        </w:tc>
      </w:tr>
      <w:tr w:rsidR="001602DF" w14:paraId="73CC7018"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33DF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65+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E2D4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B441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41 (40 - 42)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F537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42,106 (35,336 - 51,519)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299E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71 (60 - 87)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8302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5,185 (1,522 - 10,518)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C293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 (3 - 18)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C56BF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21 (6 - 43)</w:t>
            </w:r>
          </w:p>
        </w:tc>
      </w:tr>
      <w:tr w:rsidR="001602DF" w14:paraId="6DA334F8"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F548D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Overall</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F877A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14600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 (22 - 23)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B48BC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50,625 (42,698 - 61,624)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63946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 (6 - 9)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41335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5,774 (1,776 - 11,613)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5AACF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(1 - 3)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A9D02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 (2 - 16)</w:t>
            </w:r>
          </w:p>
        </w:tc>
      </w:tr>
    </w:tbl>
    <w:p w14:paraId="2933EEE7" w14:textId="77777777" w:rsidR="001602DF" w:rsidRDefault="001602DF" w:rsidP="001602DF">
      <w:pPr>
        <w:pStyle w:val="BodyText"/>
      </w:pPr>
      <w:r>
        <w:t>Notes: 95% uncertainty intervals (UI) were used to summarize the uncertainty from simulations.</w:t>
      </w:r>
    </w:p>
    <w:p w14:paraId="4860E178" w14:textId="77777777" w:rsidR="001602DF" w:rsidRDefault="001602DF" w:rsidP="001602DF">
      <w:r>
        <w:br w:type="page"/>
      </w:r>
    </w:p>
    <w:p w14:paraId="47B6925C" w14:textId="77777777" w:rsidR="001602DF" w:rsidRDefault="001602DF" w:rsidP="001602DF">
      <w:pPr>
        <w:pStyle w:val="Heading2"/>
      </w:pPr>
      <w:bookmarkStart w:id="16" w:name="_Toc184289787"/>
      <w:r>
        <w:lastRenderedPageBreak/>
        <w:t>Sensitivity analyses</w:t>
      </w:r>
      <w:bookmarkEnd w:id="16"/>
    </w:p>
    <w:p w14:paraId="42199E20"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t>Table S15. Annual estimates of burden averted by 2023-2024 COVID-19 vaccination by different methods across multiple outcomes, the week of September 24, 2023, to the week of August 11, 2024.</w:t>
      </w:r>
    </w:p>
    <w:tbl>
      <w:tblPr>
        <w:tblStyle w:val="Table"/>
        <w:tblW w:w="0" w:type="pct"/>
        <w:jc w:val="center"/>
        <w:tblLook w:val="0420" w:firstRow="1" w:lastRow="0" w:firstColumn="0" w:lastColumn="0" w:noHBand="0" w:noVBand="1"/>
      </w:tblPr>
      <w:tblGrid>
        <w:gridCol w:w="1464"/>
        <w:gridCol w:w="1001"/>
        <w:gridCol w:w="2140"/>
        <w:gridCol w:w="1366"/>
        <w:gridCol w:w="1650"/>
      </w:tblGrid>
      <w:tr w:rsidR="001602DF" w14:paraId="49D714CA"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D40F2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Outcome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557F9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Method</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0BAD0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Count</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F9A6B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Per 100k people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7E2ED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Per 100k vaccinated</w:t>
            </w:r>
          </w:p>
        </w:tc>
      </w:tr>
      <w:tr w:rsidR="001602DF" w14:paraId="5E457DA5"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575C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C5334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Benefit-risk</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E1E8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116,026 (93,253 - 141,078)</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565F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35 (28 - 42)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6E2B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162 (130 - 196)</w:t>
            </w:r>
          </w:p>
        </w:tc>
      </w:tr>
      <w:tr w:rsidR="001602DF" w14:paraId="26075C6E"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20EF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5D6E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2315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107,197 (80,692 - 137,643)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B8CC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32 (24 - 41)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494A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149 (112 - 192)</w:t>
            </w:r>
          </w:p>
        </w:tc>
      </w:tr>
      <w:tr w:rsidR="001602DF" w14:paraId="23CBA45B"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719D5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ICU admissions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CC62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Benefit-risk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99F1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19,945 (11,428 - 30,205)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899D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 (3 - 9)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34D5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28 (16 - 42)</w:t>
            </w:r>
          </w:p>
        </w:tc>
      </w:tr>
      <w:tr w:rsidR="001602DF" w14:paraId="61A20E60"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CFA1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ICU admissions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4408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CE0B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18,292 (10,062 - 28,436)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75027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 (3 - 8)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BE44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25 (14 - 40)</w:t>
            </w:r>
          </w:p>
        </w:tc>
      </w:tr>
      <w:tr w:rsidR="001602DF" w14:paraId="61406624"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0E5FC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In-hospital deaths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C31A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Benefit-risk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9928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8,059 (2,469 - 15,578)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7547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(1 - 5)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FFD94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 (3 - 22)</w:t>
            </w:r>
          </w:p>
        </w:tc>
      </w:tr>
      <w:tr w:rsidR="001602DF" w14:paraId="03F4526A"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9B66F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In-hospital deaths</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CAF80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Pr(H|V)</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9A627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6,749 (2,077 - 13,557)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C11A7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 (1 - 4)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223FB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 (3 - 19)</w:t>
            </w:r>
          </w:p>
        </w:tc>
      </w:tr>
    </w:tbl>
    <w:p w14:paraId="4F0A5FAF" w14:textId="77777777" w:rsidR="001602DF" w:rsidRDefault="001602DF" w:rsidP="001602DF">
      <w:pPr>
        <w:pStyle w:val="FirstParagraph"/>
      </w:pPr>
      <w:r>
        <w:t xml:space="preserve">Notes: The median is used as the point estimate and the 2.5th and 97.5th quantiles are used to summarize the uncertainty from 10,000 Monte Carlo simulations. Rows where the Method column is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are rows with estimates from the multiplier modeling approach incorporating counterfactuals and conditional probabilities that is described in this manuscript.</w:t>
      </w:r>
    </w:p>
    <w:p w14:paraId="5C0598BC" w14:textId="77777777" w:rsidR="001602DF" w:rsidRDefault="001602DF" w:rsidP="001602DF">
      <w:r>
        <w:br w:type="page"/>
      </w:r>
    </w:p>
    <w:p w14:paraId="5DC14E2B"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S16. Annual estimates of burden averted by 2023-2024 COVID-19 vaccination from the week of September 24, 2023, to the week of August 11, 2024, using different values of gamma, the probability a person with a 2023-2024 COVID-19 vaccination and no COVID-19-associated hospitalization in reality experienced a COVID-19-associated hospitalization without the presence of 2023-2024 COVID-19 vaccination, and a modified version of a formula from the benefit risk framework ('Benefit-risk').</w:t>
      </w:r>
    </w:p>
    <w:tbl>
      <w:tblPr>
        <w:tblStyle w:val="Table"/>
        <w:tblW w:w="0" w:type="pct"/>
        <w:jc w:val="center"/>
        <w:tblLook w:val="0420" w:firstRow="1" w:lastRow="0" w:firstColumn="0" w:lastColumn="0" w:noHBand="0" w:noVBand="1"/>
      </w:tblPr>
      <w:tblGrid>
        <w:gridCol w:w="1321"/>
        <w:gridCol w:w="2400"/>
        <w:gridCol w:w="2229"/>
        <w:gridCol w:w="1366"/>
        <w:gridCol w:w="1650"/>
      </w:tblGrid>
      <w:tr w:rsidR="001602DF" w14:paraId="65B62AB7"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E0BAB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Outcome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67B1F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Method</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22D5A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Count</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6C273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Per 100k people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2A1D6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Per 100k vaccinated</w:t>
            </w:r>
          </w:p>
        </w:tc>
      </w:tr>
      <w:tr w:rsidR="001602DF" w14:paraId="708ED779"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91A0D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3792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Pr(H|V)</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C618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107,197 (80,692 - 137,643)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95678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32 (24 - 41)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B0B14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149 (112 - 192)</w:t>
            </w:r>
          </w:p>
        </w:tc>
      </w:tr>
      <w:tr w:rsidR="001602DF" w14:paraId="58904AFF"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D2A8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45FE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Benefit-risk</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0980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116,026 (93,253 - 141,078)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546B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35 (28 - 42)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65E1B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162 (130 - 196)</w:t>
            </w:r>
          </w:p>
        </w:tc>
      </w:tr>
      <w:tr w:rsidR="001602DF" w14:paraId="7AE27F49"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99F09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0273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Between Pr(H|V) and Pr(H|NV)</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DA96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190,035 (154,179 - 226,906)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872E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 (46 - 68)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D521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265 (215 - 316)</w:t>
            </w:r>
          </w:p>
        </w:tc>
      </w:tr>
      <w:tr w:rsidR="001602DF" w14:paraId="1D4FEFD6"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A124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CD4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AC23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228,687 (187,960 - 268,275)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9328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68 (56 - 80)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639B7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319 (262 - 374)</w:t>
            </w:r>
          </w:p>
        </w:tc>
      </w:tr>
      <w:tr w:rsidR="001602DF" w14:paraId="6191AE70"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B0A2C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Hospitalizations</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961BBC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Pr(H|NV)</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6DBB6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286,530 (235,168 - 337,285)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BC216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86 (70 - 101)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5B7B3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399 (328 - 470)</w:t>
            </w:r>
          </w:p>
        </w:tc>
      </w:tr>
    </w:tbl>
    <w:p w14:paraId="2CDDDBE6" w14:textId="77777777" w:rsidR="001602DF" w:rsidRDefault="001602DF" w:rsidP="001602DF">
      <w:pPr>
        <w:pStyle w:val="BodyText"/>
      </w:pPr>
      <w:r>
        <w:t xml:space="preserve">Notes: Medians, 2.5th, and 97.5th quantiles are used to summarize the uncertainty from 10,000 Monte Carlo simulations. Rows where the Method column is not </w:t>
      </w:r>
      <w:r>
        <w:rPr>
          <w:i/>
          <w:iCs/>
        </w:rPr>
        <w:t>Benefit-risk</w:t>
      </w:r>
      <w:r>
        <w:t xml:space="preserve">, the value indicate the probability used for </w:t>
      </w:r>
      <m:oMath>
        <m:r>
          <w:rPr>
            <w:rFonts w:ascii="Cambria Math" w:hAnsi="Cambria Math"/>
          </w:rPr>
          <m:t>γ</m:t>
        </m:r>
      </m:oMath>
      <w:r>
        <w:t xml:space="preserve"> that was used in that row’s estimates. For those,</w:t>
      </w:r>
    </w:p>
    <w:p w14:paraId="5649DEE5" w14:textId="77777777" w:rsidR="001602DF" w:rsidRDefault="001602DF" w:rsidP="001602DF">
      <w:pPr>
        <w:pStyle w:val="Compact"/>
        <w:numPr>
          <w:ilvl w:val="0"/>
          <w:numId w:val="2"/>
        </w:numPr>
      </w:pP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is the probability of COVID-19-associated hospitalization given a 2023-2024 COVID-19 vaccination;</w:t>
      </w:r>
    </w:p>
    <w:p w14:paraId="6AF8D6F3" w14:textId="77777777" w:rsidR="001602DF" w:rsidRDefault="001602DF" w:rsidP="001602DF">
      <w:pPr>
        <w:pStyle w:val="Compact"/>
        <w:numPr>
          <w:ilvl w:val="0"/>
          <w:numId w:val="2"/>
        </w:numPr>
      </w:pPr>
      <w:r>
        <w:t xml:space="preserve">Between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and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NV</m:t>
            </m:r>
          </m:e>
        </m:d>
      </m:oMath>
      <w:r>
        <w:t xml:space="preserve"> is a randomly determined probability between the probability of COVID-19-associated hospitalization given a 2023-2024 COVID-19 vaccination and the probability of hospitalization given no 2023-2024 COVID-19 vaccination;</w:t>
      </w:r>
    </w:p>
    <w:p w14:paraId="675B075C" w14:textId="77777777" w:rsidR="001602DF" w:rsidRDefault="001602DF" w:rsidP="001602DF">
      <w:pPr>
        <w:pStyle w:val="Compact"/>
        <w:numPr>
          <w:ilvl w:val="0"/>
          <w:numId w:val="2"/>
        </w:numPr>
      </w:pPr>
      <m:oMath>
        <m:r>
          <m:rPr>
            <m:sty m:val="p"/>
          </m:rPr>
          <w:rPr>
            <w:rFonts w:ascii="Cambria Math" w:hAnsi="Cambria Math"/>
          </w:rPr>
          <m:t>Pr</m:t>
        </m:r>
        <m:d>
          <m:dPr>
            <m:ctrlPr>
              <w:rPr>
                <w:rFonts w:ascii="Cambria Math" w:hAnsi="Cambria Math"/>
              </w:rPr>
            </m:ctrlPr>
          </m:dPr>
          <m:e>
            <m:r>
              <w:rPr>
                <w:rFonts w:ascii="Cambria Math" w:hAnsi="Cambria Math"/>
              </w:rPr>
              <m:t>H</m:t>
            </m:r>
          </m:e>
        </m:d>
      </m:oMath>
      <w:r>
        <w:t xml:space="preserve"> is the probability of a COVID-19-associated hospitalization; and</w:t>
      </w:r>
    </w:p>
    <w:p w14:paraId="2A364198" w14:textId="77777777" w:rsidR="001602DF" w:rsidRDefault="001602DF" w:rsidP="001602DF">
      <w:pPr>
        <w:pStyle w:val="Compact"/>
        <w:numPr>
          <w:ilvl w:val="0"/>
          <w:numId w:val="2"/>
        </w:numPr>
      </w:pP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NV</m:t>
            </m:r>
          </m:e>
        </m:d>
      </m:oMath>
      <w:r>
        <w:t xml:space="preserve"> is the probability of COVID-19-associated hospitalization given no 2023-2024 COVID-19 vaccination.</w:t>
      </w:r>
    </w:p>
    <w:p w14:paraId="7E7F30A4" w14:textId="77777777" w:rsidR="001602DF" w:rsidRDefault="001602DF" w:rsidP="001602DF">
      <w:r>
        <w:br w:type="page"/>
      </w:r>
    </w:p>
    <w:p w14:paraId="707A0E45"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S17. Sensitivity analysis of COVID-19-associated hospitalizations averted by 2023-2024 COVID-19 vaccination from the week of September 24, 2023, to the week of August 11, 2024, that varied the correlation structure, correlation value, and method.</w:t>
      </w:r>
    </w:p>
    <w:tbl>
      <w:tblPr>
        <w:tblStyle w:val="Table"/>
        <w:tblW w:w="0" w:type="pct"/>
        <w:jc w:val="center"/>
        <w:tblLook w:val="0420" w:firstRow="1" w:lastRow="0" w:firstColumn="0" w:lastColumn="0" w:noHBand="0" w:noVBand="1"/>
      </w:tblPr>
      <w:tblGrid>
        <w:gridCol w:w="984"/>
        <w:gridCol w:w="699"/>
        <w:gridCol w:w="1489"/>
        <w:gridCol w:w="1626"/>
        <w:gridCol w:w="1533"/>
        <w:gridCol w:w="1540"/>
        <w:gridCol w:w="1489"/>
      </w:tblGrid>
      <w:tr w:rsidR="001602DF" w14:paraId="3F71FDFB"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824F4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Correlation</w:t>
            </w:r>
            <w:r>
              <w:rPr>
                <w:rFonts w:ascii="Arial" w:eastAsia="Arial" w:hAnsi="Arial" w:cs="Arial"/>
                <w:color w:val="000000"/>
                <w:sz w:val="16"/>
                <w:szCs w:val="16"/>
              </w:rPr>
              <w:br/>
              <w:t>Structure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28F58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Value of</w:t>
            </w:r>
            <w:r>
              <w:rPr>
                <w:rFonts w:ascii="Arial" w:eastAsia="Arial" w:hAnsi="Arial" w:cs="Arial"/>
                <w:color w:val="000000"/>
                <w:sz w:val="16"/>
                <w:szCs w:val="16"/>
              </w:rPr>
              <w:br/>
              <w:t>$ho$</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60B4A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Benefit-risk</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FF5EB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Between Pr(H|V) and Pr(H|NV)</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E213A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1816A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Pr(H|NV)</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72AC91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Pr(H|V)</w:t>
            </w:r>
          </w:p>
        </w:tc>
      </w:tr>
      <w:tr w:rsidR="001602DF" w14:paraId="3781A82B"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2952B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None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55EED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B9BF0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116,387 (93,446 - 141,083)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307A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190,172 (154,942 - 227,513)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85DE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228,746 (188,766 - 268,674)</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7D43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286,667 (235,377 - 337,720)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525A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107,205 (80,666 - 138,005)</w:t>
            </w:r>
          </w:p>
        </w:tc>
      </w:tr>
      <w:tr w:rsidR="001602DF" w14:paraId="2867DBDF"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D5E2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2B50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858E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116,203 (92,775 - 141,468)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6D9E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189,889 (153,584 - 228,066)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239C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228,760 (187,508 - 269,747)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0410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286,208 (234,319 - 338,539)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6B249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107,134 (79,867 - 138,420)</w:t>
            </w:r>
          </w:p>
        </w:tc>
      </w:tr>
      <w:tr w:rsidR="001602DF" w14:paraId="67384648"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ACF2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90C0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EC5E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116,026 (93,253 - 141,078)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ABF21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190,035 (154,179 - 226,906)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72F96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228,687 (187,960 - 268,275)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7B6B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286,530 (235,168 - 337,285)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98EC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107,197 (80,692 - 137,643)</w:t>
            </w:r>
          </w:p>
        </w:tc>
      </w:tr>
      <w:tr w:rsidR="001602DF" w14:paraId="5B32E09A"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ED231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797D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8404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116,264 (92,822 - 141,198)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07FB8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190,130 (154,501 - 226,609)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A3CC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228,970 (189,085 - 268,349)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B192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286,555 (235,411 - 338,411)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0CC1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107,252 (80,620 - 138,293)</w:t>
            </w:r>
          </w:p>
        </w:tc>
      </w:tr>
      <w:tr w:rsidR="001602DF" w14:paraId="1D505AD4"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F682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BBC2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5E9E3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116,162 (93,076 - 140,556)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E80FE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190,004 (154,293 - 226,137)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6D0A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228,394 (188,451 - 268,175)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0932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285,820 (235,281 - 336,517)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A273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107,510 (80,806 - 137,385)</w:t>
            </w:r>
          </w:p>
        </w:tc>
      </w:tr>
      <w:tr w:rsidR="001602DF" w14:paraId="0A5D7CFC"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940A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2CF2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25F7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116,284 (93,122 - 140,043)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43C1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190,215 (154,007 - 226,678)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1B6C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228,843 (188,410 - 268,352)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E2FF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286,371 (235,278 - 336,831)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2BC4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107,353 (80,900 - 137,660)</w:t>
            </w:r>
          </w:p>
        </w:tc>
      </w:tr>
      <w:tr w:rsidR="001602DF" w14:paraId="713EF820"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9081D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D150E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1A3C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116,202 (92,812 - 141,060)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89777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190,280 (154,347 - 228,041)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B93AB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228,825 (188,866 - 269,335)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40D7B0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286,327 (235,492 - 338,299)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36B15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107,376 (80,406 - 138,180)</w:t>
            </w:r>
          </w:p>
        </w:tc>
      </w:tr>
    </w:tbl>
    <w:p w14:paraId="17C1DE6F" w14:textId="77777777" w:rsidR="001602DF" w:rsidRDefault="001602DF" w:rsidP="001602DF">
      <w:pPr>
        <w:pStyle w:val="FirstParagraph"/>
      </w:pPr>
      <w:r>
        <w:t xml:space="preserve">Notes: Medians, 2.5th, and 97.5th quantiles are used to summarize the uncertainty from 10,000 Monte Carlo simulations. 95% uncertainty intervals (UI) were used to summarize the uncertainty from simulations. The column titled </w:t>
      </w:r>
      <w:r>
        <w:rPr>
          <w:i/>
          <w:iCs/>
        </w:rPr>
        <w:t>Benefit-risk</w:t>
      </w:r>
      <w:r>
        <w:t xml:space="preserve"> includes simulations where a modified version of a formula from the benefit-risk framework was used. The columns to the right of that one use the multiplier modeling approach incorporating counterfactuals and conditional probabilities that is described in this manuscript with different probabilities of </w:t>
      </w:r>
      <m:oMath>
        <m:r>
          <w:rPr>
            <w:rFonts w:ascii="Cambria Math" w:hAnsi="Cambria Math"/>
          </w:rPr>
          <m:t>γ</m:t>
        </m:r>
      </m:oMath>
      <w:r>
        <w:t>. For those,</w:t>
      </w:r>
    </w:p>
    <w:p w14:paraId="037F1714" w14:textId="77777777" w:rsidR="001602DF" w:rsidRDefault="001602DF" w:rsidP="001602DF">
      <w:pPr>
        <w:pStyle w:val="Compact"/>
        <w:numPr>
          <w:ilvl w:val="0"/>
          <w:numId w:val="2"/>
        </w:numPr>
      </w:pPr>
      <w:r>
        <w:t xml:space="preserve">Between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and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NV</m:t>
            </m:r>
          </m:e>
        </m:d>
      </m:oMath>
      <w:r>
        <w:t xml:space="preserve"> is a randomly determined probability between the probability of COVID-19-associated hospitalization given a 2023-2024 COVID-19 vaccination and the probability of hospitalization given no 2023-2024 COVID-19 vaccination;</w:t>
      </w:r>
    </w:p>
    <w:p w14:paraId="3DA50A12" w14:textId="77777777" w:rsidR="001602DF" w:rsidRDefault="001602DF" w:rsidP="001602DF">
      <w:pPr>
        <w:pStyle w:val="Compact"/>
        <w:numPr>
          <w:ilvl w:val="0"/>
          <w:numId w:val="2"/>
        </w:numPr>
      </w:pPr>
      <m:oMath>
        <m:r>
          <m:rPr>
            <m:sty m:val="p"/>
          </m:rPr>
          <w:rPr>
            <w:rFonts w:ascii="Cambria Math" w:hAnsi="Cambria Math"/>
          </w:rPr>
          <m:t>Pr</m:t>
        </m:r>
        <m:d>
          <m:dPr>
            <m:ctrlPr>
              <w:rPr>
                <w:rFonts w:ascii="Cambria Math" w:hAnsi="Cambria Math"/>
              </w:rPr>
            </m:ctrlPr>
          </m:dPr>
          <m:e>
            <m:r>
              <w:rPr>
                <w:rFonts w:ascii="Cambria Math" w:hAnsi="Cambria Math"/>
              </w:rPr>
              <m:t>H</m:t>
            </m:r>
          </m:e>
        </m:d>
      </m:oMath>
      <w:r>
        <w:t xml:space="preserve"> is the probability of a COVID-19-associated hospitalization;</w:t>
      </w:r>
    </w:p>
    <w:p w14:paraId="7F802A07" w14:textId="77777777" w:rsidR="001602DF" w:rsidRDefault="001602DF" w:rsidP="001602DF">
      <w:pPr>
        <w:pStyle w:val="Compact"/>
        <w:numPr>
          <w:ilvl w:val="0"/>
          <w:numId w:val="2"/>
        </w:numPr>
      </w:pP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NV</m:t>
            </m:r>
          </m:e>
        </m:d>
      </m:oMath>
      <w:r>
        <w:t xml:space="preserve"> is the probability of COVID-19-associated hospitalization given no 2023-2024 COVID-19 vaccination; and</w:t>
      </w:r>
    </w:p>
    <w:p w14:paraId="72D95869" w14:textId="77777777" w:rsidR="001602DF" w:rsidRDefault="001602DF" w:rsidP="001602DF">
      <w:pPr>
        <w:pStyle w:val="Compact"/>
        <w:numPr>
          <w:ilvl w:val="0"/>
          <w:numId w:val="2"/>
        </w:numPr>
      </w:pP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xml:space="preserve"> is the probability of COVID-19-associated hospitalization given a 2023-2024 COVID-19 vaccination.</w:t>
      </w:r>
    </w:p>
    <w:p w14:paraId="17219661" w14:textId="77777777" w:rsidR="001602DF" w:rsidRDefault="001602DF" w:rsidP="001602DF">
      <w:pPr>
        <w:pStyle w:val="FirstParagraph"/>
      </w:pPr>
      <w:r>
        <w:t xml:space="preserve">Correlation structure abbreviations are AR(1) for an autoregressive structure of order 1 and CS for a compound symmetric or exchangeable structure. </w:t>
      </w:r>
      <m:oMath>
        <m:r>
          <w:rPr>
            <w:rFonts w:ascii="Cambria Math" w:hAnsi="Cambria Math"/>
          </w:rPr>
          <m:t>ρ</m:t>
        </m:r>
      </m:oMath>
      <w:r>
        <w:t xml:space="preserve"> denotes the correlation value used for the </w:t>
      </w:r>
      <m:oMath>
        <m:r>
          <w:rPr>
            <w:rFonts w:ascii="Cambria Math" w:hAnsi="Cambria Math"/>
          </w:rPr>
          <m:t>ρ</m:t>
        </m:r>
      </m:oMath>
      <w:r>
        <w:t xml:space="preserve"> parameter in the autoregressive or compound symmetric correlation structure.</w:t>
      </w:r>
    </w:p>
    <w:p w14:paraId="7E92BFCE" w14:textId="77777777" w:rsidR="001602DF" w:rsidRDefault="001602DF" w:rsidP="001602DF">
      <w:r>
        <w:br w:type="page"/>
      </w:r>
    </w:p>
    <w:p w14:paraId="5ED5475B"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S18. Sensitivity analysis of COVID-19-associated hospitalizations averted by 2023-2024 COVID-19 vaccination from the week of September 24, 2023, to the week of August 11, 2024, accounting for immunocompromising conditions varied the correlation structure, correlation value, and the estimates of the likelihood that vaccinated people with immuncompromising conditions and without immuncompromising conditions become hospitalized.</w:t>
      </w:r>
    </w:p>
    <w:tbl>
      <w:tblPr>
        <w:tblStyle w:val="Table"/>
        <w:tblW w:w="0" w:type="pct"/>
        <w:jc w:val="center"/>
        <w:tblLook w:val="0420" w:firstRow="1" w:lastRow="0" w:firstColumn="0" w:lastColumn="0" w:noHBand="0" w:noVBand="1"/>
      </w:tblPr>
      <w:tblGrid>
        <w:gridCol w:w="983"/>
        <w:gridCol w:w="788"/>
        <w:gridCol w:w="2051"/>
        <w:gridCol w:w="1962"/>
        <w:gridCol w:w="1962"/>
      </w:tblGrid>
      <w:tr w:rsidR="001602DF" w14:paraId="2F0E6C14"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1F624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Correlation</w:t>
            </w:r>
            <w:r>
              <w:rPr>
                <w:rFonts w:ascii="Arial" w:eastAsia="Arial" w:hAnsi="Arial" w:cs="Arial"/>
                <w:color w:val="000000"/>
                <w:sz w:val="16"/>
                <w:szCs w:val="16"/>
              </w:rPr>
              <w:br/>
              <w:t>Structure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09E6B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Value of</w:t>
            </w:r>
            <w:r>
              <w:rPr>
                <w:rFonts w:ascii="Arial" w:eastAsia="Arial" w:hAnsi="Arial" w:cs="Arial"/>
                <w:color w:val="000000"/>
                <w:sz w:val="16"/>
                <w:szCs w:val="16"/>
              </w:rPr>
              <w:br/>
              <w:t>rho</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8E467F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Evans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759A7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Smits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B3AD5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Suleyman</w:t>
            </w:r>
          </w:p>
        </w:tc>
      </w:tr>
      <w:tr w:rsidR="001602DF" w14:paraId="2280796E"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5503F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None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53C1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5F551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91,694 (68,974 - 118,092)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0FEB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50,385 (37,886 - 64,916)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47BF3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75,733 (56,972 - 97,514)</w:t>
            </w:r>
          </w:p>
        </w:tc>
      </w:tr>
      <w:tr w:rsidR="001602DF" w14:paraId="44B742B8"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F249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EB6E1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BAC9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91,643 (68,291 - 118,456)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9123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50,348 (37,513 - 65,095)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BD85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75,683 (56,417 - 97,820)</w:t>
            </w:r>
          </w:p>
        </w:tc>
      </w:tr>
      <w:tr w:rsidR="001602DF" w14:paraId="6A0EB730"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760C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8037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9B1E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91,717 (68,971 - 117,801)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B352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50,405 (37,874 - 64,744)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2D62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75,724 (56,989 - 97,250)</w:t>
            </w:r>
          </w:p>
        </w:tc>
      </w:tr>
      <w:tr w:rsidR="001602DF" w14:paraId="4A48AB2D"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6938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6EC9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CE9C4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91,765 (68,968 - 118,305)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4DC6E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50,430 (37,881 - 65,007)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367F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75,775 (56,956 - 97,722)</w:t>
            </w:r>
          </w:p>
        </w:tc>
      </w:tr>
      <w:tr w:rsidR="001602DF" w14:paraId="32C4CCC0"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BB09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2897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316B2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91,970 (69,080 - 117,619)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9BDB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50,535 (37,949 - 64,594)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F246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75,960 (57,070 - 97,084)</w:t>
            </w:r>
          </w:p>
        </w:tc>
      </w:tr>
      <w:tr w:rsidR="001602DF" w14:paraId="241F21D2"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FBE3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0FD0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6CB9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91,836 (69,157 - 117,721)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DD4A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50,455 (37,991 - 64,680)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3BEE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75,843 (57,143 - 97,231)</w:t>
            </w:r>
          </w:p>
        </w:tc>
      </w:tr>
      <w:tr w:rsidR="001602DF" w14:paraId="4A68F2AC"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614BD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A6FC5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2BD79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91,862 (68,725 - 118,229)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FAC65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50,480 (37,750 - 64,985)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972B6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75,861 (56,793 - 97,629)</w:t>
            </w:r>
          </w:p>
        </w:tc>
      </w:tr>
    </w:tbl>
    <w:p w14:paraId="37328BAC" w14:textId="77777777" w:rsidR="001602DF" w:rsidRDefault="001602DF" w:rsidP="001602DF">
      <w:pPr>
        <w:pStyle w:val="BodyText"/>
      </w:pPr>
      <w:r>
        <w:t xml:space="preserve">Notes: Medians, 2.5th, and 97.5th quantiles are used to summarize the uncertainty from 10,000 Monte Carlo simulations. 95% uncertainty intervals (UI) were used to summarize the uncertainty from simulations. The value for </w:t>
      </w:r>
      <m:oMath>
        <m:r>
          <w:rPr>
            <w:rFonts w:ascii="Cambria Math" w:hAnsi="Cambria Math"/>
          </w:rPr>
          <m:t>γ</m:t>
        </m:r>
      </m:oMath>
      <w:r>
        <w:t xml:space="preserve"> was assumed to be the probability that a vaccinated person was hospitalized. 95% uncertainty intervals (UI) were used to summarize the uncertainty from simulations. Correlation structure abbreviations are AR(1) for an autoregressive structure of order 1 and CS for a compound symmetric or exchangeable structure. </w:t>
      </w:r>
      <m:oMath>
        <m:r>
          <w:rPr>
            <w:rFonts w:ascii="Cambria Math" w:hAnsi="Cambria Math"/>
          </w:rPr>
          <m:t>ρ</m:t>
        </m:r>
      </m:oMath>
      <w:r>
        <w:t xml:space="preserve"> denotes the correlation value used for the </w:t>
      </w:r>
      <m:oMath>
        <m:r>
          <w:rPr>
            <w:rFonts w:ascii="Cambria Math" w:hAnsi="Cambria Math"/>
          </w:rPr>
          <m:t>ρ</m:t>
        </m:r>
      </m:oMath>
      <w:r>
        <w:t xml:space="preserve"> parameter in the autoregressive or compound symmetric correlation structure.</w:t>
      </w:r>
    </w:p>
    <w:p w14:paraId="2925217F" w14:textId="77777777" w:rsidR="001602DF" w:rsidRDefault="001602DF" w:rsidP="001602DF">
      <w:r>
        <w:br w:type="page"/>
      </w:r>
    </w:p>
    <w:p w14:paraId="1082E114"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S19. Sensitivity analysis of COVID-19-associated ICU admissions averted by 2023-2024 COVID-19 vaccination from the week of September 24, 2023, to the week of August 11, 2024, that varied the correlation structure, correlation value, and the value for gamma, the likelihood that a vaccinated, non-hospitalized person would be hospitalized in the counterfactual condition.</w:t>
      </w:r>
    </w:p>
    <w:tbl>
      <w:tblPr>
        <w:tblStyle w:val="Table"/>
        <w:tblW w:w="0" w:type="pct"/>
        <w:jc w:val="center"/>
        <w:tblLook w:val="0420" w:firstRow="1" w:lastRow="0" w:firstColumn="0" w:lastColumn="0" w:noHBand="0" w:noVBand="1"/>
      </w:tblPr>
      <w:tblGrid>
        <w:gridCol w:w="983"/>
        <w:gridCol w:w="788"/>
        <w:gridCol w:w="1962"/>
        <w:gridCol w:w="1962"/>
      </w:tblGrid>
      <w:tr w:rsidR="001602DF" w14:paraId="355F4BD5"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016AE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Correlation</w:t>
            </w:r>
            <w:r>
              <w:rPr>
                <w:rFonts w:ascii="Arial" w:eastAsia="Arial" w:hAnsi="Arial" w:cs="Arial"/>
                <w:color w:val="000000"/>
                <w:sz w:val="16"/>
                <w:szCs w:val="16"/>
              </w:rPr>
              <w:br/>
              <w:t>Structure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6DC61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Value of</w:t>
            </w:r>
            <w:r>
              <w:rPr>
                <w:rFonts w:ascii="Arial" w:eastAsia="Arial" w:hAnsi="Arial" w:cs="Arial"/>
                <w:color w:val="000000"/>
                <w:sz w:val="16"/>
                <w:szCs w:val="16"/>
              </w:rPr>
              <w:br/>
              <w:t>rho</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55AC2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Benefit-risk</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BA7D2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Pr(H|V)</w:t>
            </w:r>
          </w:p>
        </w:tc>
      </w:tr>
      <w:tr w:rsidR="001602DF" w14:paraId="4005C98C"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ECF2F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None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287C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F11F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19,864 (11,306 - 30,504)</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2020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18,111 (10,057 - 28,587)</w:t>
            </w:r>
          </w:p>
        </w:tc>
      </w:tr>
      <w:tr w:rsidR="001602DF" w14:paraId="0C4EAE6C"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1E05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94E3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971B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19,959 (11,308 - 30,552)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B364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18,152 (10,258 - 28,463)</w:t>
            </w:r>
          </w:p>
        </w:tc>
      </w:tr>
      <w:tr w:rsidR="001602DF" w14:paraId="0E9C7FB4"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860A2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128E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CA12F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19,945 (11,428 - 30,205)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471FD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18,292 (10,062 - 28,436)</w:t>
            </w:r>
          </w:p>
        </w:tc>
      </w:tr>
      <w:tr w:rsidR="001602DF" w14:paraId="3D058150"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BC9A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D3B40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F534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19,935 (11,275 - 30,342)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9BA1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18,154 (10,149 - 28,769)</w:t>
            </w:r>
          </w:p>
        </w:tc>
      </w:tr>
      <w:tr w:rsidR="001602DF" w14:paraId="53A5589D"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3EBC4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A681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8ABF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19,911 (11,352 - 30,173)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BB4DD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18,166 (10,032 - 28,519)</w:t>
            </w:r>
          </w:p>
        </w:tc>
      </w:tr>
      <w:tr w:rsidR="001602DF" w14:paraId="09E3C9B8"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56B6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55B1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F4DFB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19,955 (11,291 - 30,183)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385A1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18,217 (10,066 - 28,262)</w:t>
            </w:r>
          </w:p>
        </w:tc>
      </w:tr>
      <w:tr w:rsidR="001602DF" w14:paraId="57E47BC6"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2BE4A4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341C4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2D6FC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19,957 (11,269 - 30,450)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26785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18,245 (10,080 - 28,545)</w:t>
            </w:r>
          </w:p>
        </w:tc>
      </w:tr>
    </w:tbl>
    <w:p w14:paraId="736D3BA9" w14:textId="77777777" w:rsidR="001602DF" w:rsidRDefault="001602DF" w:rsidP="001602DF">
      <w:pPr>
        <w:pStyle w:val="BodyText"/>
      </w:pPr>
      <w:r>
        <w:t xml:space="preserve">Notes: Medians, 2.5th, and 97.5th quantiles are used to summarize the uncertainty from 10,000 Monte Carlo simulations. 95% uncertainty intervals (UI) were used to summarize the uncertainty from simulations. The column titled </w:t>
      </w:r>
      <w:r>
        <w:rPr>
          <w:i/>
          <w:iCs/>
        </w:rPr>
        <w:t>Benefit-risk</w:t>
      </w:r>
      <w:r>
        <w:t xml:space="preserve"> includes simluations where a modified version of a formula from the benefit-risk framework was used. The last column uses the multiplier modeling approach incorporating counterfactuals and conditional probabilities that is described in this manuscript with </w:t>
      </w:r>
      <m:oMath>
        <m:r>
          <w:rPr>
            <w:rFonts w:ascii="Cambria Math" w:hAnsi="Cambria Math"/>
          </w:rPr>
          <m:t>γ</m:t>
        </m:r>
      </m:oMath>
      <w:r>
        <w:t xml:space="preserve"> assumed to be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is the probability of COVID-19-associated hospitalization given a 2023-2024 COVID-19 vaccination.</w:t>
      </w:r>
    </w:p>
    <w:p w14:paraId="4096AF57" w14:textId="77777777" w:rsidR="001602DF" w:rsidRDefault="001602DF" w:rsidP="001602DF">
      <w:pPr>
        <w:pStyle w:val="BodyText"/>
      </w:pPr>
      <w:r>
        <w:t xml:space="preserve">Correlation structure abbreviations are AR(1) for an autoregressive structure of order 1 and CS for a compound symmetric or exchangeable structure. </w:t>
      </w:r>
      <m:oMath>
        <m:r>
          <w:rPr>
            <w:rFonts w:ascii="Cambria Math" w:hAnsi="Cambria Math"/>
          </w:rPr>
          <m:t>ρ</m:t>
        </m:r>
      </m:oMath>
      <w:r>
        <w:t xml:space="preserve"> denotes the correlation value used for the </w:t>
      </w:r>
      <m:oMath>
        <m:r>
          <w:rPr>
            <w:rFonts w:ascii="Cambria Math" w:hAnsi="Cambria Math"/>
          </w:rPr>
          <m:t>ρ</m:t>
        </m:r>
      </m:oMath>
      <w:r>
        <w:t xml:space="preserve"> parameter in the autoregressive or compound symmetric correlation structure.</w:t>
      </w:r>
    </w:p>
    <w:p w14:paraId="6FD17AA3" w14:textId="77777777" w:rsidR="001602DF" w:rsidRDefault="001602DF" w:rsidP="001602DF">
      <w:r>
        <w:br w:type="page"/>
      </w:r>
    </w:p>
    <w:p w14:paraId="525ABDD8"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S20. Sensitivity analysis of COVID-19-associated ICU admissions averted by 2023-2024 COVID-19 vaccination from the week of September 24, 2023, to the week of August 11, 2024, accounting for immunocompromising conditions varied the correlation structure, correlation value, and the estimates of the likelihood that vaccinated people with immuncompromising conditions and without immuncompromising conditions become hospitalized.</w:t>
      </w:r>
    </w:p>
    <w:tbl>
      <w:tblPr>
        <w:tblStyle w:val="Table"/>
        <w:tblW w:w="0" w:type="pct"/>
        <w:jc w:val="center"/>
        <w:tblLook w:val="0420" w:firstRow="1" w:lastRow="0" w:firstColumn="0" w:lastColumn="0" w:noHBand="0" w:noVBand="1"/>
      </w:tblPr>
      <w:tblGrid>
        <w:gridCol w:w="983"/>
        <w:gridCol w:w="788"/>
        <w:gridCol w:w="1873"/>
        <w:gridCol w:w="1784"/>
        <w:gridCol w:w="1873"/>
      </w:tblGrid>
      <w:tr w:rsidR="001602DF" w14:paraId="277F0CAC"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31E06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Correlation</w:t>
            </w:r>
            <w:r>
              <w:rPr>
                <w:rFonts w:ascii="Arial" w:eastAsia="Arial" w:hAnsi="Arial" w:cs="Arial"/>
                <w:color w:val="000000"/>
                <w:sz w:val="16"/>
                <w:szCs w:val="16"/>
              </w:rPr>
              <w:br/>
              <w:t>Structure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7AE6E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Value of</w:t>
            </w:r>
            <w:r>
              <w:rPr>
                <w:rFonts w:ascii="Arial" w:eastAsia="Arial" w:hAnsi="Arial" w:cs="Arial"/>
                <w:color w:val="000000"/>
                <w:sz w:val="16"/>
                <w:szCs w:val="16"/>
              </w:rPr>
              <w:br/>
              <w:t>rho</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F9D05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Evans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5BB577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Smits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16C48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Suleyman</w:t>
            </w:r>
          </w:p>
        </w:tc>
      </w:tr>
      <w:tr w:rsidR="001602DF" w14:paraId="50DD83CD"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5E5D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None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F749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9D9D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15,524 (8,626 - 24,504)</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B7047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8,538 (4,747 - 13,476)</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3330A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12,806 (7,114 - 20,204)</w:t>
            </w:r>
          </w:p>
        </w:tc>
      </w:tr>
      <w:tr w:rsidR="001602DF" w14:paraId="1D09DEF7"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63E3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DAFA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8742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15,545 (8,792 - 24,372)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DF2B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8,549 (4,837 - 13,405)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5F0F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12,830 (7,254 - 20,114)</w:t>
            </w:r>
          </w:p>
        </w:tc>
      </w:tr>
      <w:tr w:rsidR="001602DF" w14:paraId="05441B6F"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B7C2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6B68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E4B1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15,673 (8,629 - 24,386)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3D96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8,618 (4,747 - 13,415)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72D5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12,931 (7,113 - 20,108)</w:t>
            </w:r>
          </w:p>
        </w:tc>
      </w:tr>
      <w:tr w:rsidR="001602DF" w14:paraId="60F73AFD"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D323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C26F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D0D54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15,551 (8,688 - 24,667)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22FE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8,551 (4,782 - 13,565)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46C3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12,830 (7,172 - 20,345)</w:t>
            </w:r>
          </w:p>
        </w:tc>
      </w:tr>
      <w:tr w:rsidR="001602DF" w14:paraId="507A94D9"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ED5A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8188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52B6B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15,564 (8,591 - 24,439)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9182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8,556 (4,723 - 13,445)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0391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12,842 (7,094 - 20,162)</w:t>
            </w:r>
          </w:p>
        </w:tc>
      </w:tr>
      <w:tr w:rsidR="001602DF" w14:paraId="389366C9"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D27D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DE493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C4C6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15,607 (8,629 - 24,222)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AE6F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8,582 (4,746 - 13,307)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7ADD9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12,878 (7,118 - 19,983)</w:t>
            </w:r>
          </w:p>
        </w:tc>
      </w:tr>
      <w:tr w:rsidR="001602DF" w14:paraId="1839051B"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DAF5B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10B53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04A2A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15,630 (8,634 - 24,447)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E07F7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8,592 (4,746 - 13,445)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86C4C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12,897 (7,127 - 20,176)</w:t>
            </w:r>
          </w:p>
        </w:tc>
      </w:tr>
    </w:tbl>
    <w:p w14:paraId="5E85905C" w14:textId="77777777" w:rsidR="001602DF" w:rsidRDefault="001602DF" w:rsidP="001602DF">
      <w:pPr>
        <w:pStyle w:val="BodyText"/>
      </w:pPr>
      <w:r>
        <w:t xml:space="preserve">Notes: Medians, 2.5th, and 97.5th quantiles are used to summarize the uncertainty from 10,000 Monte Carlo simulations. 95% uncertainty intervals (UI) were used to summarize the uncertainty from simulations. The value for </w:t>
      </w:r>
      <m:oMath>
        <m:r>
          <w:rPr>
            <w:rFonts w:ascii="Cambria Math" w:hAnsi="Cambria Math"/>
          </w:rPr>
          <m:t>γ</m:t>
        </m:r>
      </m:oMath>
      <w:r>
        <w:t xml:space="preserve"> was assumed to be the probability that a vaccinated person was hospitalized. 95% uncertainty intervals (UI) were used to summarize the uncertainty from simulations. The value for gamma was assumed to be the probability that a vaccinated person was hospitalized. 95% uncertainty intervals (UI) were used to summarize the uncertainty from simulations. Correlation structure abbreviations are AR(1) for an autoregressive structure of order 1 and CS for a compound symmetric or exchangeable structure. </w:t>
      </w:r>
      <m:oMath>
        <m:r>
          <w:rPr>
            <w:rFonts w:ascii="Cambria Math" w:hAnsi="Cambria Math"/>
          </w:rPr>
          <m:t>ρ</m:t>
        </m:r>
      </m:oMath>
      <w:r>
        <w:t xml:space="preserve"> denotes the correlation value used for the </w:t>
      </w:r>
      <m:oMath>
        <m:r>
          <w:rPr>
            <w:rFonts w:ascii="Cambria Math" w:hAnsi="Cambria Math"/>
          </w:rPr>
          <m:t>ρ</m:t>
        </m:r>
      </m:oMath>
      <w:r>
        <w:t xml:space="preserve"> parameter in the autoregressive or compound symmetric correlation structure.</w:t>
      </w:r>
    </w:p>
    <w:p w14:paraId="44FFF210" w14:textId="77777777" w:rsidR="001602DF" w:rsidRDefault="001602DF" w:rsidP="001602DF">
      <w:r>
        <w:br w:type="page"/>
      </w:r>
    </w:p>
    <w:p w14:paraId="29F62515"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S21. Sensitivity analysis of COVID-19-associated in-hospital deaths averted by 2023-2024 COVID-19 vaccination from the week of September 24, 2023, to the week of August 11, 2024, that varied the correlation structure, correlation value, and the value for gamma, the likelihood that a vaccinated, non-hospitalized person would be hospitalized in the counterfactual condition.</w:t>
      </w:r>
    </w:p>
    <w:tbl>
      <w:tblPr>
        <w:tblStyle w:val="Table"/>
        <w:tblW w:w="0" w:type="pct"/>
        <w:jc w:val="center"/>
        <w:tblLook w:val="0420" w:firstRow="1" w:lastRow="0" w:firstColumn="0" w:lastColumn="0" w:noHBand="0" w:noVBand="1"/>
      </w:tblPr>
      <w:tblGrid>
        <w:gridCol w:w="983"/>
        <w:gridCol w:w="788"/>
        <w:gridCol w:w="1784"/>
        <w:gridCol w:w="1784"/>
      </w:tblGrid>
      <w:tr w:rsidR="001602DF" w14:paraId="72FB3750"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F9653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Correlation</w:t>
            </w:r>
            <w:r>
              <w:rPr>
                <w:rFonts w:ascii="Arial" w:eastAsia="Arial" w:hAnsi="Arial" w:cs="Arial"/>
                <w:color w:val="000000"/>
                <w:sz w:val="16"/>
                <w:szCs w:val="16"/>
              </w:rPr>
              <w:br/>
              <w:t>Structure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AD50A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Value of</w:t>
            </w:r>
            <w:r>
              <w:rPr>
                <w:rFonts w:ascii="Arial" w:eastAsia="Arial" w:hAnsi="Arial" w:cs="Arial"/>
                <w:color w:val="000000"/>
                <w:sz w:val="16"/>
                <w:szCs w:val="16"/>
              </w:rPr>
              <w:br/>
              <w:t>rho</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FC677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Benefit-risk</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1B2F8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Pr(H|V)</w:t>
            </w:r>
          </w:p>
        </w:tc>
      </w:tr>
      <w:tr w:rsidR="001602DF" w14:paraId="01156FC7"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6002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None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FECC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C1CC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8,063 (2,517 - 15,438)</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91A5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6,775 (2,067 - 13,398)</w:t>
            </w:r>
          </w:p>
        </w:tc>
      </w:tr>
      <w:tr w:rsidR="001602DF" w14:paraId="186E5489"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DE0D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58414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CCE83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8,042 (2,440 - 15,567)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6718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6,733 (2,074 - 13,268)</w:t>
            </w:r>
          </w:p>
        </w:tc>
      </w:tr>
      <w:tr w:rsidR="001602DF" w14:paraId="73D7F7FB"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DD55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DE9F6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63E1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8,059 (2,469 - 15,578)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89BA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6,749 (2,077 - 13,557)</w:t>
            </w:r>
          </w:p>
        </w:tc>
      </w:tr>
      <w:tr w:rsidR="001602DF" w14:paraId="1F0C0EE4"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515FB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2530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872C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8,043 (2,401 - 15,718)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E76B4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6,760 (2,002 - 13,418)</w:t>
            </w:r>
          </w:p>
        </w:tc>
      </w:tr>
      <w:tr w:rsidR="001602DF" w14:paraId="59537167"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3F0D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BEBF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7ED2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8,047 (2,516 - 15,546)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187C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6,779 (2,034 - 13,398)</w:t>
            </w:r>
          </w:p>
        </w:tc>
      </w:tr>
      <w:tr w:rsidR="001602DF" w14:paraId="67DC9AC8"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2638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20BCC2"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F6376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8,034 (2,288 - 15,509)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8CEA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6,735 (1,946 - 13,242)</w:t>
            </w:r>
          </w:p>
        </w:tc>
      </w:tr>
      <w:tr w:rsidR="001602DF" w14:paraId="0547AFFA"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2ADAC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16C76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EC711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8,027 (2,445 - 15,633)</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BC564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6,741 (2,057 - 13,424)</w:t>
            </w:r>
          </w:p>
        </w:tc>
      </w:tr>
    </w:tbl>
    <w:p w14:paraId="2A36C1CB" w14:textId="77777777" w:rsidR="001602DF" w:rsidRDefault="001602DF" w:rsidP="001602DF">
      <w:pPr>
        <w:pStyle w:val="BodyText"/>
      </w:pPr>
      <w:r>
        <w:t xml:space="preserve">Notes: Medians, 2.5th, and 97.5th quantiles are used to summarize the uncertainty from 10,000 Monte Carlo simulations. 95% uncertainty intervals (UI) were used to summarize the uncertainty from simulations. The column titled </w:t>
      </w:r>
      <w:r>
        <w:rPr>
          <w:i/>
          <w:iCs/>
        </w:rPr>
        <w:t>Benefit-risk</w:t>
      </w:r>
      <w:r>
        <w:t xml:space="preserve"> includes simluations where a modified version of a formula from the benefit-risk framework was used. The last column uses the multiplier modeling approach incorporating counterfactuals and conditional probabilities that is described in this manuscript with </w:t>
      </w:r>
      <m:oMath>
        <m:r>
          <w:rPr>
            <w:rFonts w:ascii="Cambria Math" w:hAnsi="Cambria Math"/>
          </w:rPr>
          <m:t>γ</m:t>
        </m:r>
      </m:oMath>
      <w:r>
        <w:t xml:space="preserve"> assumed to be </w:t>
      </w:r>
      <m:oMath>
        <m:r>
          <m:rPr>
            <m:sty m:val="p"/>
          </m:rPr>
          <w:rPr>
            <w:rFonts w:ascii="Cambria Math" w:hAnsi="Cambria Math"/>
          </w:rPr>
          <m:t>Pr</m:t>
        </m:r>
        <m:d>
          <m:dPr>
            <m:ctrlPr>
              <w:rPr>
                <w:rFonts w:ascii="Cambria Math" w:hAnsi="Cambria Math"/>
              </w:rPr>
            </m:ctrlPr>
          </m:dPr>
          <m:e>
            <m:r>
              <w:rPr>
                <w:rFonts w:ascii="Cambria Math" w:hAnsi="Cambria Math"/>
              </w:rPr>
              <m:t>H</m:t>
            </m:r>
            <m:r>
              <m:rPr>
                <m:sty m:val="p"/>
              </m:rPr>
              <w:rPr>
                <w:rFonts w:ascii="Cambria Math" w:hAnsi="Cambria Math"/>
              </w:rPr>
              <m:t>∣</m:t>
            </m:r>
            <m:r>
              <w:rPr>
                <w:rFonts w:ascii="Cambria Math" w:hAnsi="Cambria Math"/>
              </w:rPr>
              <m:t>V</m:t>
            </m:r>
          </m:e>
        </m:d>
      </m:oMath>
      <w:r>
        <w:t>, is the probability of COVID-19-associated hospitalization given a 2023-2024 COVID-19 vaccination.</w:t>
      </w:r>
    </w:p>
    <w:p w14:paraId="11B55686" w14:textId="77777777" w:rsidR="001602DF" w:rsidRDefault="001602DF" w:rsidP="001602DF">
      <w:pPr>
        <w:pStyle w:val="BodyText"/>
      </w:pPr>
      <w:r>
        <w:t xml:space="preserve">Correlation structure abbreviations are AR(1) for an autoregressive structure of order 1 and CS for a compound symmetric or exchangeable structure. </w:t>
      </w:r>
      <m:oMath>
        <m:r>
          <w:rPr>
            <w:rFonts w:ascii="Cambria Math" w:hAnsi="Cambria Math"/>
          </w:rPr>
          <m:t>ρ</m:t>
        </m:r>
      </m:oMath>
      <w:r>
        <w:t xml:space="preserve"> denotes the correlation value used for the </w:t>
      </w:r>
      <m:oMath>
        <m:r>
          <w:rPr>
            <w:rFonts w:ascii="Cambria Math" w:hAnsi="Cambria Math"/>
          </w:rPr>
          <m:t>ρ</m:t>
        </m:r>
      </m:oMath>
      <w:r>
        <w:t xml:space="preserve"> parameter in the autoregressive or compound symmetric correlation structure.</w:t>
      </w:r>
    </w:p>
    <w:p w14:paraId="74C51AFC" w14:textId="77777777" w:rsidR="001602DF" w:rsidRDefault="001602DF" w:rsidP="001602DF">
      <w:r>
        <w:br w:type="page"/>
      </w:r>
    </w:p>
    <w:p w14:paraId="48A91A40" w14:textId="77777777" w:rsidR="001602DF" w:rsidRDefault="001602DF" w:rsidP="001602DF">
      <w:pPr>
        <w:pStyle w:val="TableCaption"/>
        <w:pBdr>
          <w:top w:val="none" w:sz="0" w:space="0" w:color="000000"/>
          <w:left w:val="none" w:sz="0" w:space="0" w:color="000000"/>
          <w:bottom w:val="none" w:sz="0" w:space="0" w:color="000000"/>
          <w:right w:val="none" w:sz="0" w:space="0" w:color="000000"/>
        </w:pBdr>
        <w:spacing w:before="60" w:after="60"/>
        <w:ind w:left="60" w:right="60"/>
        <w:jc w:val="center"/>
      </w:pPr>
      <w:r>
        <w:lastRenderedPageBreak/>
        <w:t>Table S22. Sensitivity analysis of COVID-19-associated in-hospital deaths averted by 2023-2024 COVID-19 vaccination from the week of September 24, 2023, to the week of August 11, 2024, accounting for immunocompromising conditions varied the correlation structure, correlation value, and the estimates of the likelihood that vaccinated people with immuncompromising conditions and without immuncompromising conditions become hospitalized.</w:t>
      </w:r>
    </w:p>
    <w:tbl>
      <w:tblPr>
        <w:tblStyle w:val="Table"/>
        <w:tblW w:w="0" w:type="pct"/>
        <w:jc w:val="center"/>
        <w:tblLook w:val="0420" w:firstRow="1" w:lastRow="0" w:firstColumn="0" w:lastColumn="0" w:noHBand="0" w:noVBand="1"/>
      </w:tblPr>
      <w:tblGrid>
        <w:gridCol w:w="983"/>
        <w:gridCol w:w="788"/>
        <w:gridCol w:w="1784"/>
        <w:gridCol w:w="1561"/>
        <w:gridCol w:w="1695"/>
      </w:tblGrid>
      <w:tr w:rsidR="001602DF" w14:paraId="3A05CF4F" w14:textId="77777777" w:rsidTr="00C004E3">
        <w:trPr>
          <w:cnfStyle w:val="100000000000" w:firstRow="1" w:lastRow="0" w:firstColumn="0" w:lastColumn="0" w:oddVBand="0" w:evenVBand="0" w:oddHBand="0" w:evenHBand="0" w:firstRowFirstColumn="0" w:firstRowLastColumn="0" w:lastRowFirstColumn="0" w:lastRowLastColumn="0"/>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60E7E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Correlation</w:t>
            </w:r>
            <w:r>
              <w:rPr>
                <w:rFonts w:ascii="Arial" w:eastAsia="Arial" w:hAnsi="Arial" w:cs="Arial"/>
                <w:color w:val="000000"/>
                <w:sz w:val="16"/>
                <w:szCs w:val="16"/>
              </w:rPr>
              <w:br/>
              <w:t>Structure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2ACB2C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Value of</w:t>
            </w:r>
            <w:r>
              <w:rPr>
                <w:rFonts w:ascii="Arial" w:eastAsia="Arial" w:hAnsi="Arial" w:cs="Arial"/>
                <w:color w:val="000000"/>
                <w:sz w:val="16"/>
                <w:szCs w:val="16"/>
              </w:rPr>
              <w:br/>
              <w:t>rho</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6524DF0"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Evans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E84B00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Smits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61CD1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Suleyman</w:t>
            </w:r>
          </w:p>
        </w:tc>
      </w:tr>
      <w:tr w:rsidR="001602DF" w14:paraId="39873EFB" w14:textId="77777777" w:rsidTr="00C004E3">
        <w:trPr>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EEF6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None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2225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0.00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D70F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5,799 (1,780 - 11,467)</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2FD5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3,187 (986 - 6,302)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D84A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4,787 (1,463 - 9,468)</w:t>
            </w:r>
          </w:p>
        </w:tc>
      </w:tr>
      <w:tr w:rsidR="001602DF" w14:paraId="0860046E"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7F921"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D279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4224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5,766 (1,779 - 11,370)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3922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3,171 (979 - 6,250)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B8B6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4,759 (1,467 - 9,384)</w:t>
            </w:r>
          </w:p>
        </w:tc>
      </w:tr>
      <w:tr w:rsidR="001602DF" w14:paraId="15107889"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9695F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368A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D21B7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5,774 (1,776 - 11,613)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5884B"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3,175 (976 - 6,380)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FA5EB6"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4,770 (1,467 - 9,583)</w:t>
            </w:r>
          </w:p>
        </w:tc>
      </w:tr>
      <w:tr w:rsidR="001602DF" w14:paraId="200D1B3F"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ECE28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AR(1)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B4F2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D94E0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5,785 (1,727 - 11,482)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937D3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3,183 (954 - 6,306)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6BD6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4,777 (1,420 - 9,475)</w:t>
            </w:r>
          </w:p>
        </w:tc>
      </w:tr>
      <w:tr w:rsidR="001602DF" w14:paraId="438CE52E"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AF8E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8BBEE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6E5CD"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5,804 (1,749 - 11,459)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AD36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3,191 (964 - 6,296)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DA9EE"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4,791 (1,439 - 9,465)</w:t>
            </w:r>
          </w:p>
        </w:tc>
      </w:tr>
      <w:tr w:rsidR="001602DF" w14:paraId="61B01845" w14:textId="77777777" w:rsidTr="00C004E3">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0E7C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7D358"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3B6F3"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5,769 (1,663 - 11,337)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E7C45"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3,173 (913 - 6,233)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21D6F"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4,759 (1,375 - 9,364)</w:t>
            </w:r>
          </w:p>
        </w:tc>
      </w:tr>
      <w:tr w:rsidR="001602DF" w14:paraId="0D38D2D0" w14:textId="77777777" w:rsidTr="00C004E3">
        <w:trPr>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9FED1A"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CS</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57D6B7"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0.75</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D4DCE9"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5,778 (1,764 - 11,487)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2B937C"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3,178 (971 - 6,312)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C5F444" w14:textId="77777777" w:rsidR="001602DF" w:rsidRDefault="001602DF" w:rsidP="00C004E3">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Arial" w:eastAsia="Arial" w:hAnsi="Arial" w:cs="Arial"/>
                <w:color w:val="000000"/>
                <w:sz w:val="16"/>
                <w:szCs w:val="16"/>
              </w:rPr>
              <w:t>4,766 (1,453 - 9,486)</w:t>
            </w:r>
          </w:p>
        </w:tc>
      </w:tr>
    </w:tbl>
    <w:p w14:paraId="2DC16D33" w14:textId="68995C3F" w:rsidR="0008504F" w:rsidRDefault="001602DF">
      <w:pPr>
        <w:pStyle w:val="BodyText"/>
      </w:pPr>
      <w:r>
        <w:t xml:space="preserve">Notes: Medians, 2.5th, and 97.5th quantiles are used to summarize the uncertainty from 10,000 Monte Carlo simulations. 95% uncertainty intervals (UI) were used to summarize the uncertainty from simulations. The value for </w:t>
      </w:r>
      <m:oMath>
        <m:r>
          <w:rPr>
            <w:rFonts w:ascii="Cambria Math" w:hAnsi="Cambria Math"/>
          </w:rPr>
          <m:t>γ</m:t>
        </m:r>
      </m:oMath>
      <w:r>
        <w:t xml:space="preserve"> was assumed to be the probability that a vaccinated person was hospitalized. 95% uncertainty intervals (UI) were used to summarize the uncertainty from simulations. The value for gamma was assumed to be the probability that a vaccinated person was hospitalized. 95% uncertainty intervals (UI) were used to summarize the uncertainty from simulations. Correlation structure abbreviations are AR(1) for an autoregressive structure of order 1 and CS for a compound symmetric or exchangeable structure. </w:t>
      </w:r>
      <m:oMath>
        <m:r>
          <w:rPr>
            <w:rFonts w:ascii="Cambria Math" w:hAnsi="Cambria Math"/>
          </w:rPr>
          <m:t>ρ</m:t>
        </m:r>
      </m:oMath>
      <w:r>
        <w:t xml:space="preserve"> denotes the correlation value used for the </w:t>
      </w:r>
      <m:oMath>
        <m:r>
          <w:rPr>
            <w:rFonts w:ascii="Cambria Math" w:hAnsi="Cambria Math"/>
          </w:rPr>
          <m:t>ρ</m:t>
        </m:r>
      </m:oMath>
      <w:r>
        <w:t xml:space="preserve"> parameter in the autoregressive or compound symmetric correlation structure.</w:t>
      </w:r>
    </w:p>
    <w:p w14:paraId="2DC16D34" w14:textId="77777777" w:rsidR="0008504F" w:rsidRDefault="00A870C6">
      <w:r>
        <w:br w:type="page"/>
      </w:r>
    </w:p>
    <w:p w14:paraId="2DC16D35" w14:textId="77777777" w:rsidR="0008504F" w:rsidRDefault="00A870C6">
      <w:pPr>
        <w:pStyle w:val="Heading1"/>
      </w:pPr>
      <w:bookmarkStart w:id="17" w:name="_Toc184289788"/>
      <w:bookmarkStart w:id="18" w:name="supplemental-figure"/>
      <w:bookmarkEnd w:id="15"/>
      <w:r>
        <w:lastRenderedPageBreak/>
        <w:t>Supplemental Figure</w:t>
      </w:r>
      <w:bookmarkEnd w:id="17"/>
    </w:p>
    <w:p w14:paraId="2DC16D36" w14:textId="77777777" w:rsidR="0008504F" w:rsidRDefault="00A870C6">
      <w:pPr>
        <w:pStyle w:val="CaptionedFigure"/>
      </w:pPr>
      <w:r>
        <w:rPr>
          <w:noProof/>
        </w:rPr>
        <w:drawing>
          <wp:inline distT="0" distB="0" distL="0" distR="0" wp14:anchorId="2DC16D49" wp14:editId="2DC16D4A">
            <wp:extent cx="4620126" cy="3696101"/>
            <wp:effectExtent l="0" t="0" r="0" b="0"/>
            <wp:docPr id="44" name="Picture" descr="Figure S6: Weekly estimated number of COVID-19-associated hospitalization per 100,000 people by age group."/>
            <wp:cNvGraphicFramePr/>
            <a:graphic xmlns:a="http://schemas.openxmlformats.org/drawingml/2006/main">
              <a:graphicData uri="http://schemas.openxmlformats.org/drawingml/2006/picture">
                <pic:pic xmlns:pic="http://schemas.openxmlformats.org/drawingml/2006/picture">
                  <pic:nvPicPr>
                    <pic:cNvPr id="45" name="Picture" descr="burden_averted_supplement_2024-10-30_files/figure-docx/unnamed-chunk-26-1.png"/>
                    <pic:cNvPicPr>
                      <a:picLocks noChangeAspect="1" noChangeArrowheads="1"/>
                    </pic:cNvPicPr>
                  </pic:nvPicPr>
                  <pic:blipFill>
                    <a:blip r:embed="rId12"/>
                    <a:stretch>
                      <a:fillRect/>
                    </a:stretch>
                  </pic:blipFill>
                  <pic:spPr bwMode="auto">
                    <a:xfrm>
                      <a:off x="0" y="0"/>
                      <a:ext cx="4620126" cy="3696101"/>
                    </a:xfrm>
                    <a:prstGeom prst="rect">
                      <a:avLst/>
                    </a:prstGeom>
                    <a:noFill/>
                    <a:ln w="9525">
                      <a:noFill/>
                      <a:headEnd/>
                      <a:tailEnd/>
                    </a:ln>
                  </pic:spPr>
                </pic:pic>
              </a:graphicData>
            </a:graphic>
          </wp:inline>
        </w:drawing>
      </w:r>
    </w:p>
    <w:p w14:paraId="2DC16D37" w14:textId="77777777" w:rsidR="0008504F" w:rsidRDefault="00A870C6">
      <w:pPr>
        <w:pStyle w:val="ImageCaption"/>
      </w:pPr>
      <w:r>
        <w:t>Figure S6: Weekly estimated number of COVID-19-associated hospitalization per 100,000 people by age group.</w:t>
      </w:r>
    </w:p>
    <w:p w14:paraId="2DC16D38" w14:textId="77777777" w:rsidR="0008504F" w:rsidRDefault="00A870C6">
      <w:r>
        <w:br w:type="page"/>
      </w:r>
    </w:p>
    <w:p w14:paraId="2DC16D39" w14:textId="77777777" w:rsidR="0008504F" w:rsidRDefault="00A870C6">
      <w:pPr>
        <w:pStyle w:val="Heading1"/>
      </w:pPr>
      <w:bookmarkStart w:id="19" w:name="_Toc184289789"/>
      <w:bookmarkStart w:id="20" w:name="bibliography"/>
      <w:bookmarkEnd w:id="18"/>
      <w:r>
        <w:lastRenderedPageBreak/>
        <w:t>Bibliography</w:t>
      </w:r>
      <w:bookmarkEnd w:id="19"/>
    </w:p>
    <w:p w14:paraId="2DC16D3A" w14:textId="77777777" w:rsidR="0008504F" w:rsidRDefault="00A870C6">
      <w:pPr>
        <w:pStyle w:val="Bibliography"/>
      </w:pPr>
      <w:bookmarkStart w:id="21" w:name="ref-Evans"/>
      <w:bookmarkStart w:id="22" w:name="refs"/>
      <w:r>
        <w:t xml:space="preserve">1. </w:t>
      </w:r>
      <w:r>
        <w:tab/>
        <w:t xml:space="preserve">Evans RA, Dube S, Lu Y, et al. Impact of COVID-19 on immunocompromised populations during the omicron era: Insights from the observational population-based INFORM study. The Lancet Regional Health - Europe </w:t>
      </w:r>
      <w:r>
        <w:rPr>
          <w:b/>
          <w:bCs/>
        </w:rPr>
        <w:t>2023</w:t>
      </w:r>
      <w:r>
        <w:t xml:space="preserve">; 35:100747. Available at: </w:t>
      </w:r>
      <w:hyperlink r:id="rId13">
        <w:r>
          <w:rPr>
            <w:rStyle w:val="Hyperlink"/>
          </w:rPr>
          <w:t>https://www.sciencedirect.com/science/article/pii/S2666776223001667</w:t>
        </w:r>
      </w:hyperlink>
      <w:r>
        <w:t>.</w:t>
      </w:r>
    </w:p>
    <w:p w14:paraId="2DC16D3B" w14:textId="77777777" w:rsidR="0008504F" w:rsidRDefault="00A870C6">
      <w:pPr>
        <w:pStyle w:val="Bibliography"/>
      </w:pPr>
      <w:bookmarkStart w:id="23" w:name="ref-Smits"/>
      <w:bookmarkEnd w:id="21"/>
      <w:r>
        <w:t xml:space="preserve">2. </w:t>
      </w:r>
      <w:r>
        <w:tab/>
        <w:t xml:space="preserve">Smits PD, Gratzl S, Simonov M, et al. Risk of COVID-19 breakthrough infection and hospitalization in individuals with comorbidities. Vaccine </w:t>
      </w:r>
      <w:r>
        <w:rPr>
          <w:b/>
          <w:bCs/>
        </w:rPr>
        <w:t>2023</w:t>
      </w:r>
      <w:r>
        <w:t xml:space="preserve">; 41:2447–2455. Available at: </w:t>
      </w:r>
      <w:hyperlink r:id="rId14">
        <w:r>
          <w:rPr>
            <w:rStyle w:val="Hyperlink"/>
          </w:rPr>
          <w:t>https://www.sciencedirect.com/science/article/pii/S0264410X23001731</w:t>
        </w:r>
      </w:hyperlink>
      <w:r>
        <w:t>.</w:t>
      </w:r>
    </w:p>
    <w:p w14:paraId="2DC16D3C" w14:textId="77777777" w:rsidR="0008504F" w:rsidRDefault="00A870C6">
      <w:pPr>
        <w:pStyle w:val="Bibliography"/>
      </w:pPr>
      <w:bookmarkStart w:id="24" w:name="ref-Suleyman"/>
      <w:bookmarkEnd w:id="23"/>
      <w:r>
        <w:t xml:space="preserve">3. </w:t>
      </w:r>
      <w:r>
        <w:tab/>
        <w:t xml:space="preserve">Suleyman G, Fadel R, Brar I, et al. Risk Factors Associated With Hospitalization and Death in COVID-19 Breakthrough Infections. Open Forum Infectious Diseases </w:t>
      </w:r>
      <w:r>
        <w:rPr>
          <w:b/>
          <w:bCs/>
        </w:rPr>
        <w:t>2022</w:t>
      </w:r>
      <w:r>
        <w:t xml:space="preserve">; 9:ofac116. Available at: </w:t>
      </w:r>
      <w:hyperlink r:id="rId15">
        <w:r>
          <w:rPr>
            <w:rStyle w:val="Hyperlink"/>
          </w:rPr>
          <w:t>https://doi.org/10.1093/ofid/ofac116</w:t>
        </w:r>
      </w:hyperlink>
      <w:r>
        <w:t>.</w:t>
      </w:r>
    </w:p>
    <w:p w14:paraId="2DC16D3D" w14:textId="77777777" w:rsidR="0008504F" w:rsidRDefault="00A870C6">
      <w:pPr>
        <w:pStyle w:val="Bibliography"/>
      </w:pPr>
      <w:bookmarkStart w:id="25" w:name="ref-Devine"/>
      <w:bookmarkEnd w:id="24"/>
      <w:r>
        <w:t xml:space="preserve">4. </w:t>
      </w:r>
      <w:r>
        <w:tab/>
        <w:t xml:space="preserve">Devine O, Pham H, Gunnels B, et al. Extrapolating sentinel surveillance information to estimate national COVID hospital admission rates: A bayesian modeling approach. Influenza and Other Respiratory Viruses </w:t>
      </w:r>
      <w:r>
        <w:rPr>
          <w:b/>
          <w:bCs/>
        </w:rPr>
        <w:t>2024</w:t>
      </w:r>
      <w:r>
        <w:t xml:space="preserve">; in press. </w:t>
      </w:r>
    </w:p>
    <w:p w14:paraId="2DC16D3E" w14:textId="77777777" w:rsidR="0008504F" w:rsidRDefault="00A870C6">
      <w:pPr>
        <w:pStyle w:val="Bibliography"/>
      </w:pPr>
      <w:bookmarkStart w:id="26" w:name="ref-Higham"/>
      <w:bookmarkEnd w:id="25"/>
      <w:r>
        <w:t xml:space="preserve">5. </w:t>
      </w:r>
      <w:r>
        <w:tab/>
        <w:t xml:space="preserve">Higham NJ. Computing a nearest symmetric positive semidefinite matrix. Linear Algebra and its Applications </w:t>
      </w:r>
      <w:r>
        <w:rPr>
          <w:b/>
          <w:bCs/>
        </w:rPr>
        <w:t>1988</w:t>
      </w:r>
      <w:r>
        <w:t xml:space="preserve">; 103:103–118. Available at: </w:t>
      </w:r>
      <w:hyperlink r:id="rId16">
        <w:r>
          <w:rPr>
            <w:rStyle w:val="Hyperlink"/>
          </w:rPr>
          <w:t>https://www.sciencedirect.com/science/article/pii/0024379588902236</w:t>
        </w:r>
      </w:hyperlink>
      <w:r>
        <w:t>.</w:t>
      </w:r>
      <w:bookmarkEnd w:id="20"/>
      <w:bookmarkEnd w:id="22"/>
      <w:bookmarkEnd w:id="26"/>
    </w:p>
    <w:sectPr w:rsidR="0008504F" w:rsidSect="009E1707">
      <w:headerReference w:type="default" r:id="rId17"/>
      <w:footerReference w:type="default" r:id="rId18"/>
      <w:headerReference w:type="first" r:id="rId19"/>
      <w:footerReference w:type="first" r:id="rId20"/>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20DE9" w14:textId="77777777" w:rsidR="008A2E5F" w:rsidRDefault="008A2E5F">
      <w:pPr>
        <w:spacing w:after="0"/>
      </w:pPr>
      <w:r>
        <w:separator/>
      </w:r>
    </w:p>
  </w:endnote>
  <w:endnote w:type="continuationSeparator" w:id="0">
    <w:p w14:paraId="5280C35C" w14:textId="77777777" w:rsidR="008A2E5F" w:rsidRDefault="008A2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9586"/>
      <w:docPartObj>
        <w:docPartGallery w:val="Page Numbers (Bottom of Page)"/>
        <w:docPartUnique/>
      </w:docPartObj>
    </w:sdtPr>
    <w:sdtEndPr>
      <w:rPr>
        <w:noProof/>
      </w:rPr>
    </w:sdtEndPr>
    <w:sdtContent>
      <w:p w14:paraId="19E139D2" w14:textId="4A2A4B81" w:rsidR="009E1707" w:rsidRDefault="009E17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19BB89" w14:textId="77777777" w:rsidR="009E1707" w:rsidRDefault="009E17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234032"/>
      <w:docPartObj>
        <w:docPartGallery w:val="Page Numbers (Bottom of Page)"/>
        <w:docPartUnique/>
      </w:docPartObj>
    </w:sdtPr>
    <w:sdtEndPr>
      <w:rPr>
        <w:noProof/>
      </w:rPr>
    </w:sdtEndPr>
    <w:sdtContent>
      <w:p w14:paraId="61D62E06" w14:textId="1A3A81BE" w:rsidR="009E1707" w:rsidRDefault="009E17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4DB9E4" w14:textId="77777777" w:rsidR="009E1707" w:rsidRDefault="009E1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F1B11" w14:textId="77777777" w:rsidR="008A2E5F" w:rsidRDefault="008A2E5F">
      <w:r>
        <w:separator/>
      </w:r>
    </w:p>
  </w:footnote>
  <w:footnote w:type="continuationSeparator" w:id="0">
    <w:p w14:paraId="0BE97943" w14:textId="77777777" w:rsidR="008A2E5F" w:rsidRDefault="008A2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58883" w14:textId="2F0B8CDF" w:rsidR="009E1707" w:rsidRDefault="000316D2">
    <w:pPr>
      <w:pStyle w:val="Header"/>
    </w:pPr>
    <w:r>
      <w:t>SUPPLEMENT: COUNTERFACTUAL COVID MULTIPLIER MODEL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BB867" w14:textId="1E096F4A" w:rsidR="009E1707" w:rsidRDefault="00FE6666">
    <w:pPr>
      <w:pStyle w:val="Header"/>
    </w:pPr>
    <w:r>
      <w:t>Running head: SUPPLEMENT: COUNTERFACTUAL COVID MULTIPLIER MODEL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DF40532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ABFC8E4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379552912">
    <w:abstractNumId w:val="0"/>
  </w:num>
  <w:num w:numId="2" w16cid:durableId="1397313623">
    <w:abstractNumId w:val="1"/>
  </w:num>
  <w:num w:numId="3" w16cid:durableId="1489712598">
    <w:abstractNumId w:val="1"/>
  </w:num>
  <w:num w:numId="4" w16cid:durableId="518200981">
    <w:abstractNumId w:val="1"/>
  </w:num>
  <w:num w:numId="5" w16cid:durableId="1515419904">
    <w:abstractNumId w:val="1"/>
  </w:num>
  <w:num w:numId="6" w16cid:durableId="1677229728">
    <w:abstractNumId w:val="1"/>
  </w:num>
  <w:num w:numId="7" w16cid:durableId="1786535011">
    <w:abstractNumId w:val="1"/>
  </w:num>
  <w:num w:numId="8" w16cid:durableId="920456534">
    <w:abstractNumId w:val="1"/>
  </w:num>
  <w:num w:numId="9" w16cid:durableId="1002582502">
    <w:abstractNumId w:val="1"/>
  </w:num>
  <w:num w:numId="10" w16cid:durableId="427121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4F"/>
    <w:rsid w:val="0001673A"/>
    <w:rsid w:val="00025D01"/>
    <w:rsid w:val="000316D2"/>
    <w:rsid w:val="00046297"/>
    <w:rsid w:val="00047F89"/>
    <w:rsid w:val="00052118"/>
    <w:rsid w:val="00064AAC"/>
    <w:rsid w:val="00066E7B"/>
    <w:rsid w:val="0008504F"/>
    <w:rsid w:val="000868AA"/>
    <w:rsid w:val="00092AA8"/>
    <w:rsid w:val="000C563E"/>
    <w:rsid w:val="00131A0B"/>
    <w:rsid w:val="00133481"/>
    <w:rsid w:val="00146160"/>
    <w:rsid w:val="00146E66"/>
    <w:rsid w:val="001602DF"/>
    <w:rsid w:val="00166136"/>
    <w:rsid w:val="00167E8F"/>
    <w:rsid w:val="0017195B"/>
    <w:rsid w:val="00171C9E"/>
    <w:rsid w:val="00191B3D"/>
    <w:rsid w:val="001A48BD"/>
    <w:rsid w:val="001B78C9"/>
    <w:rsid w:val="00210026"/>
    <w:rsid w:val="002717A5"/>
    <w:rsid w:val="00276000"/>
    <w:rsid w:val="00296A14"/>
    <w:rsid w:val="002B657C"/>
    <w:rsid w:val="002C2121"/>
    <w:rsid w:val="002C41ED"/>
    <w:rsid w:val="002F7A3D"/>
    <w:rsid w:val="003050FE"/>
    <w:rsid w:val="00326408"/>
    <w:rsid w:val="003C3A1A"/>
    <w:rsid w:val="003C545A"/>
    <w:rsid w:val="00422792"/>
    <w:rsid w:val="00441092"/>
    <w:rsid w:val="00455DAD"/>
    <w:rsid w:val="004B5A01"/>
    <w:rsid w:val="004C031B"/>
    <w:rsid w:val="004E7C69"/>
    <w:rsid w:val="004F079E"/>
    <w:rsid w:val="00501CD1"/>
    <w:rsid w:val="005120DF"/>
    <w:rsid w:val="00547AF2"/>
    <w:rsid w:val="00590DC2"/>
    <w:rsid w:val="005C3818"/>
    <w:rsid w:val="005D4B3F"/>
    <w:rsid w:val="00605AE6"/>
    <w:rsid w:val="00631A6D"/>
    <w:rsid w:val="006E7A6B"/>
    <w:rsid w:val="006F6929"/>
    <w:rsid w:val="007564AB"/>
    <w:rsid w:val="00774292"/>
    <w:rsid w:val="007931F0"/>
    <w:rsid w:val="008119E4"/>
    <w:rsid w:val="00823FEF"/>
    <w:rsid w:val="008250C2"/>
    <w:rsid w:val="00831135"/>
    <w:rsid w:val="00861974"/>
    <w:rsid w:val="008873E2"/>
    <w:rsid w:val="008A2E5F"/>
    <w:rsid w:val="00902DB3"/>
    <w:rsid w:val="00951221"/>
    <w:rsid w:val="00980472"/>
    <w:rsid w:val="009950B5"/>
    <w:rsid w:val="009B79F9"/>
    <w:rsid w:val="009E1707"/>
    <w:rsid w:val="00A12EBE"/>
    <w:rsid w:val="00A16AC2"/>
    <w:rsid w:val="00A276A5"/>
    <w:rsid w:val="00A6644F"/>
    <w:rsid w:val="00A870C6"/>
    <w:rsid w:val="00A96B44"/>
    <w:rsid w:val="00AF34EC"/>
    <w:rsid w:val="00B730E7"/>
    <w:rsid w:val="00C00513"/>
    <w:rsid w:val="00C011FB"/>
    <w:rsid w:val="00C23F40"/>
    <w:rsid w:val="00C51A67"/>
    <w:rsid w:val="00CF6BE0"/>
    <w:rsid w:val="00D93E49"/>
    <w:rsid w:val="00D963CB"/>
    <w:rsid w:val="00DB1292"/>
    <w:rsid w:val="00DB1BE9"/>
    <w:rsid w:val="00DB649A"/>
    <w:rsid w:val="00DF20E9"/>
    <w:rsid w:val="00E02EA2"/>
    <w:rsid w:val="00E34384"/>
    <w:rsid w:val="00E37215"/>
    <w:rsid w:val="00E53B60"/>
    <w:rsid w:val="00E57054"/>
    <w:rsid w:val="00E765DD"/>
    <w:rsid w:val="00E93CCB"/>
    <w:rsid w:val="00EC1BB9"/>
    <w:rsid w:val="00F54C8E"/>
    <w:rsid w:val="00F72E7B"/>
    <w:rsid w:val="00F86274"/>
    <w:rsid w:val="00FA6C72"/>
    <w:rsid w:val="00FD68FA"/>
    <w:rsid w:val="00FE6666"/>
    <w:rsid w:val="00FF20E4"/>
    <w:rsid w:val="00FF378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16739"/>
  <w15:docId w15:val="{0996E0AF-81D9-4E42-BEB9-CEB1D419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footer" w:uiPriority="9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8F5902"/>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b/>
      <w:color w:val="CE5C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b/>
      <w:color w:val="204A87"/>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204A87"/>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Header">
    <w:name w:val="header"/>
    <w:basedOn w:val="Normal"/>
    <w:link w:val="HeaderChar"/>
    <w:rsid w:val="009E1707"/>
    <w:pPr>
      <w:tabs>
        <w:tab w:val="center" w:pos="4680"/>
        <w:tab w:val="right" w:pos="9360"/>
      </w:tabs>
      <w:spacing w:after="0"/>
    </w:pPr>
  </w:style>
  <w:style w:type="character" w:customStyle="1" w:styleId="HeaderChar">
    <w:name w:val="Header Char"/>
    <w:basedOn w:val="DefaultParagraphFont"/>
    <w:link w:val="Header"/>
    <w:rsid w:val="009E1707"/>
  </w:style>
  <w:style w:type="paragraph" w:styleId="Footer">
    <w:name w:val="footer"/>
    <w:basedOn w:val="Normal"/>
    <w:link w:val="FooterChar"/>
    <w:uiPriority w:val="99"/>
    <w:rsid w:val="009E1707"/>
    <w:pPr>
      <w:tabs>
        <w:tab w:val="center" w:pos="4680"/>
        <w:tab w:val="right" w:pos="9360"/>
      </w:tabs>
      <w:spacing w:after="0"/>
    </w:pPr>
  </w:style>
  <w:style w:type="character" w:customStyle="1" w:styleId="FooterChar">
    <w:name w:val="Footer Char"/>
    <w:basedOn w:val="DefaultParagraphFont"/>
    <w:link w:val="Footer"/>
    <w:uiPriority w:val="99"/>
    <w:rsid w:val="009E1707"/>
  </w:style>
  <w:style w:type="paragraph" w:styleId="TOC1">
    <w:name w:val="toc 1"/>
    <w:basedOn w:val="Normal"/>
    <w:next w:val="Normal"/>
    <w:autoRedefine/>
    <w:uiPriority w:val="39"/>
    <w:rsid w:val="000316D2"/>
    <w:pPr>
      <w:spacing w:after="100"/>
    </w:pPr>
  </w:style>
  <w:style w:type="paragraph" w:styleId="TOC2">
    <w:name w:val="toc 2"/>
    <w:basedOn w:val="Normal"/>
    <w:next w:val="Normal"/>
    <w:autoRedefine/>
    <w:uiPriority w:val="39"/>
    <w:rsid w:val="000316D2"/>
    <w:pPr>
      <w:spacing w:after="100"/>
      <w:ind w:left="240"/>
    </w:pPr>
  </w:style>
  <w:style w:type="paragraph" w:styleId="TOC3">
    <w:name w:val="toc 3"/>
    <w:basedOn w:val="Normal"/>
    <w:next w:val="Normal"/>
    <w:autoRedefine/>
    <w:uiPriority w:val="39"/>
    <w:rsid w:val="000316D2"/>
    <w:pPr>
      <w:spacing w:after="100"/>
      <w:ind w:left="480"/>
    </w:pPr>
  </w:style>
  <w:style w:type="paragraph" w:styleId="Revision">
    <w:name w:val="Revision"/>
    <w:hidden/>
    <w:rsid w:val="00092AA8"/>
    <w:pPr>
      <w:spacing w:after="0"/>
    </w:pPr>
  </w:style>
  <w:style w:type="character" w:styleId="CommentReference">
    <w:name w:val="annotation reference"/>
    <w:basedOn w:val="DefaultParagraphFont"/>
    <w:rsid w:val="001B78C9"/>
    <w:rPr>
      <w:sz w:val="16"/>
      <w:szCs w:val="16"/>
    </w:rPr>
  </w:style>
  <w:style w:type="paragraph" w:styleId="CommentText">
    <w:name w:val="annotation text"/>
    <w:basedOn w:val="Normal"/>
    <w:link w:val="CommentTextChar"/>
    <w:rsid w:val="001B78C9"/>
    <w:rPr>
      <w:sz w:val="20"/>
      <w:szCs w:val="20"/>
    </w:rPr>
  </w:style>
  <w:style w:type="character" w:customStyle="1" w:styleId="CommentTextChar">
    <w:name w:val="Comment Text Char"/>
    <w:basedOn w:val="DefaultParagraphFont"/>
    <w:link w:val="CommentText"/>
    <w:rsid w:val="001B78C9"/>
    <w:rPr>
      <w:sz w:val="20"/>
      <w:szCs w:val="20"/>
    </w:rPr>
  </w:style>
  <w:style w:type="paragraph" w:styleId="CommentSubject">
    <w:name w:val="annotation subject"/>
    <w:basedOn w:val="CommentText"/>
    <w:next w:val="CommentText"/>
    <w:link w:val="CommentSubjectChar"/>
    <w:rsid w:val="001B78C9"/>
    <w:rPr>
      <w:b/>
      <w:bCs/>
    </w:rPr>
  </w:style>
  <w:style w:type="character" w:customStyle="1" w:styleId="CommentSubjectChar">
    <w:name w:val="Comment Subject Char"/>
    <w:basedOn w:val="CommentTextChar"/>
    <w:link w:val="CommentSubject"/>
    <w:rsid w:val="001B78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sciencedirect.com/science/article/pii/S2666776223001667"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sciencedirect.com/science/article/pii/0024379588902236"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doi.org/10.1093/ofid/ofac116" TargetMode="Externa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sciencedirect.com/science/article/pii/S0264410X2300173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7889</Words>
  <Characters>44969</Characters>
  <Application>Microsoft Office Word</Application>
  <DocSecurity>0</DocSecurity>
  <Lines>374</Lines>
  <Paragraphs>105</Paragraphs>
  <ScaleCrop>false</ScaleCrop>
  <Company>Centers for Disease Control and Prevention</Company>
  <LinksUpToDate>false</LinksUpToDate>
  <CharactersWithSpaces>52753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 for ‘Estimating COVID-19 associated hospitalizations, ICU admissions, and in-hospital deaths averted in the United States by 2023-2024 COVID-19 vaccination: A conditional probability, causal inference, and multiplier-based approach’</dc:title>
  <dc:creator>Ryan E. Wiegand, Owen Devine, Megan Wallace, Ismael R. Ortega-Sanchez, Huong T. Pham, Diba Khan, Danielle L. Moulia, Lauren E. Roper, Imelda Trejo Lorenzo, Katherine E. Fleming-Dutra, Fiona P. Havers, and Christopher A. Taylor</dc:creator>
  <cp:keywords/>
  <cp:lastModifiedBy>Wiegand, Ryan E. (CDC/NCIRD/CORVD)</cp:lastModifiedBy>
  <cp:revision>4</cp:revision>
  <cp:lastPrinted>2024-11-12T14:46:00Z</cp:lastPrinted>
  <dcterms:created xsi:type="dcterms:W3CDTF">2024-12-05T16:46:00Z</dcterms:created>
  <dcterms:modified xsi:type="dcterms:W3CDTF">2024-12-05T16:48:00Z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burden_averted.bib</vt:lpwstr>
  </property>
  <property fmtid="{D5CDD505-2E9C-101B-9397-08002B2CF9AE}" pid="3" name="csl">
    <vt:lpwstr>clinical-infectious-diseases.csl</vt:lpwstr>
  </property>
  <property fmtid="{D5CDD505-2E9C-101B-9397-08002B2CF9AE}" pid="4" name="date">
    <vt:lpwstr/>
  </property>
  <property fmtid="{D5CDD505-2E9C-101B-9397-08002B2CF9AE}" pid="5" name="output">
    <vt:lpwstr/>
  </property>
  <property fmtid="{D5CDD505-2E9C-101B-9397-08002B2CF9AE}" pid="6" name="MSIP_Label_7b94a7b8-f06c-4dfe-bdcc-9b548fd58c31_Enabled">
    <vt:lpwstr>true</vt:lpwstr>
  </property>
  <property fmtid="{D5CDD505-2E9C-101B-9397-08002B2CF9AE}" pid="7" name="MSIP_Label_7b94a7b8-f06c-4dfe-bdcc-9b548fd58c31_SetDate">
    <vt:lpwstr>2024-10-30T15:00:28Z</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iteId">
    <vt:lpwstr>9ce70869-60db-44fd-abe8-d2767077fc8f</vt:lpwstr>
  </property>
  <property fmtid="{D5CDD505-2E9C-101B-9397-08002B2CF9AE}" pid="11" name="MSIP_Label_7b94a7b8-f06c-4dfe-bdcc-9b548fd58c31_ActionId">
    <vt:lpwstr>63a59eb1-5d18-4ccd-a3eb-f90485ad5b9a</vt:lpwstr>
  </property>
  <property fmtid="{D5CDD505-2E9C-101B-9397-08002B2CF9AE}" pid="12" name="MSIP_Label_7b94a7b8-f06c-4dfe-bdcc-9b548fd58c31_ContentBits">
    <vt:lpwstr>0</vt:lpwstr>
  </property>
</Properties>
</file>