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7613DB" w14:textId="346C3DC7" w:rsidR="003D5EA2" w:rsidRDefault="00D91B7B" w:rsidP="00D91B7B">
      <w:pPr>
        <w:rPr>
          <w:rFonts w:ascii="Times New Roman" w:hAnsi="Times New Roman" w:cs="Times New Roman"/>
          <w:b/>
          <w:bCs/>
          <w:sz w:val="24"/>
          <w:szCs w:val="24"/>
        </w:rPr>
      </w:pPr>
      <w:r>
        <w:rPr>
          <w:rFonts w:ascii="Times New Roman" w:hAnsi="Times New Roman" w:cs="Times New Roman"/>
          <w:b/>
          <w:bCs/>
          <w:sz w:val="24"/>
          <w:szCs w:val="24"/>
        </w:rPr>
        <w:t>Supplement 1:  Full Reference List</w:t>
      </w:r>
    </w:p>
    <w:p w14:paraId="1D2826DF" w14:textId="77777777" w:rsidR="00A079AE" w:rsidRPr="00A079AE" w:rsidRDefault="00A079AE" w:rsidP="00A079AE">
      <w:pPr>
        <w:jc w:val="center"/>
        <w:rPr>
          <w:rFonts w:ascii="Times New Roman" w:hAnsi="Times New Roman" w:cs="Times New Roman"/>
          <w:b/>
          <w:bCs/>
          <w:sz w:val="24"/>
          <w:szCs w:val="24"/>
        </w:rPr>
      </w:pPr>
    </w:p>
    <w:p w14:paraId="62A92E0F" w14:textId="3597FA9C"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Bowleg, L. (2012). The Problem </w:t>
      </w:r>
      <w:proofErr w:type="gramStart"/>
      <w:r w:rsidRPr="003D5EA2">
        <w:rPr>
          <w:rFonts w:ascii="Times New Roman" w:hAnsi="Times New Roman" w:cs="Times New Roman"/>
          <w:sz w:val="24"/>
          <w:szCs w:val="24"/>
        </w:rPr>
        <w:t>With</w:t>
      </w:r>
      <w:proofErr w:type="gramEnd"/>
      <w:r w:rsidRPr="003D5EA2">
        <w:rPr>
          <w:rFonts w:ascii="Times New Roman" w:hAnsi="Times New Roman" w:cs="Times New Roman"/>
          <w:sz w:val="24"/>
          <w:szCs w:val="24"/>
        </w:rPr>
        <w:t xml:space="preserve"> the Phrase </w:t>
      </w:r>
      <w:r w:rsidRPr="003D5EA2">
        <w:rPr>
          <w:rFonts w:ascii="Times New Roman" w:hAnsi="Times New Roman" w:cs="Times New Roman"/>
          <w:i/>
          <w:iCs/>
          <w:sz w:val="24"/>
          <w:szCs w:val="24"/>
        </w:rPr>
        <w:t>Women and Minorities:</w:t>
      </w:r>
      <w:r w:rsidRPr="003D5EA2">
        <w:rPr>
          <w:rFonts w:ascii="Times New Roman" w:hAnsi="Times New Roman" w:cs="Times New Roman"/>
          <w:sz w:val="24"/>
          <w:szCs w:val="24"/>
        </w:rPr>
        <w:t xml:space="preserve"> Intersectionality—An Important Theoretical Framework for Public Health. </w:t>
      </w:r>
      <w:r w:rsidRPr="003D5EA2">
        <w:rPr>
          <w:rFonts w:ascii="Times New Roman" w:hAnsi="Times New Roman" w:cs="Times New Roman"/>
          <w:i/>
          <w:iCs/>
          <w:sz w:val="24"/>
          <w:szCs w:val="24"/>
        </w:rPr>
        <w:t>American Journal of Public Health</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102</w:t>
      </w:r>
      <w:r w:rsidRPr="003D5EA2">
        <w:rPr>
          <w:rFonts w:ascii="Times New Roman" w:hAnsi="Times New Roman" w:cs="Times New Roman"/>
          <w:sz w:val="24"/>
          <w:szCs w:val="24"/>
        </w:rPr>
        <w:t xml:space="preserve">(7), 1267–1273. </w:t>
      </w:r>
      <w:hyperlink r:id="rId4" w:history="1">
        <w:r w:rsidRPr="003D5EA2">
          <w:rPr>
            <w:rStyle w:val="Hyperlink"/>
            <w:rFonts w:ascii="Times New Roman" w:hAnsi="Times New Roman" w:cs="Times New Roman"/>
            <w:color w:val="auto"/>
            <w:sz w:val="24"/>
            <w:szCs w:val="24"/>
            <w:u w:val="none"/>
          </w:rPr>
          <w:t>https://doi.org/10.2105/AJPH.2012.300750</w:t>
        </w:r>
      </w:hyperlink>
    </w:p>
    <w:p w14:paraId="0F58D31D"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Caplan, B., Blacher, J., Eisenhower, A., Baker, B. L., &amp; Lee, S. S. (2021). Gene x responsive parenting interactions in social development: Characterizing heterogeneity in autism spectrum disorder. </w:t>
      </w:r>
      <w:r w:rsidRPr="003D5EA2">
        <w:rPr>
          <w:rFonts w:ascii="Times New Roman" w:hAnsi="Times New Roman" w:cs="Times New Roman"/>
          <w:i/>
          <w:iCs/>
          <w:sz w:val="24"/>
          <w:szCs w:val="24"/>
        </w:rPr>
        <w:t>Developmental Psychobiology</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63</w:t>
      </w:r>
      <w:r w:rsidRPr="003D5EA2">
        <w:rPr>
          <w:rFonts w:ascii="Times New Roman" w:hAnsi="Times New Roman" w:cs="Times New Roman"/>
          <w:sz w:val="24"/>
          <w:szCs w:val="24"/>
        </w:rPr>
        <w:t xml:space="preserve">(5), 1082–1097. </w:t>
      </w:r>
      <w:hyperlink r:id="rId5" w:history="1">
        <w:r w:rsidRPr="003D5EA2">
          <w:rPr>
            <w:rStyle w:val="Hyperlink"/>
            <w:rFonts w:ascii="Times New Roman" w:hAnsi="Times New Roman" w:cs="Times New Roman"/>
            <w:color w:val="auto"/>
            <w:sz w:val="24"/>
            <w:szCs w:val="24"/>
            <w:u w:val="none"/>
          </w:rPr>
          <w:t>https://doi.org/10.1002/dev.22095</w:t>
        </w:r>
      </w:hyperlink>
    </w:p>
    <w:p w14:paraId="5DA7B4F5"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Carr, T., &amp; Lord, C. (2013). Longitudinal study of perceived negative impact in African American and Caucasian mothers of children with autism spectrum disorder. </w:t>
      </w:r>
      <w:r w:rsidRPr="003D5EA2">
        <w:rPr>
          <w:rFonts w:ascii="Times New Roman" w:hAnsi="Times New Roman" w:cs="Times New Roman"/>
          <w:i/>
          <w:iCs/>
          <w:sz w:val="24"/>
          <w:szCs w:val="24"/>
        </w:rPr>
        <w:t>Autism</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17</w:t>
      </w:r>
      <w:r w:rsidRPr="003D5EA2">
        <w:rPr>
          <w:rFonts w:ascii="Times New Roman" w:hAnsi="Times New Roman" w:cs="Times New Roman"/>
          <w:sz w:val="24"/>
          <w:szCs w:val="24"/>
        </w:rPr>
        <w:t xml:space="preserve">(4), 405–417. </w:t>
      </w:r>
      <w:hyperlink r:id="rId6" w:history="1">
        <w:r w:rsidRPr="003D5EA2">
          <w:rPr>
            <w:rStyle w:val="Hyperlink"/>
            <w:rFonts w:ascii="Times New Roman" w:hAnsi="Times New Roman" w:cs="Times New Roman"/>
            <w:color w:val="auto"/>
            <w:sz w:val="24"/>
            <w:szCs w:val="24"/>
            <w:u w:val="none"/>
          </w:rPr>
          <w:t>https://doi.org/10.1177/1362361311435155</w:t>
        </w:r>
      </w:hyperlink>
    </w:p>
    <w:p w14:paraId="05D60867"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Del Bianco, T., Lockwood Estrin, G., Tillmann, J., Oakley, B. F., Crawley, D., San José Cáceres, A., Hayward, H., Potter, M., Mackay, W., Smit, P., Du Plessis, C., Brink, L., Springer, P., Odendaal, H., Charman, T., </w:t>
      </w:r>
      <w:proofErr w:type="spellStart"/>
      <w:r w:rsidRPr="003D5EA2">
        <w:rPr>
          <w:rFonts w:ascii="Times New Roman" w:hAnsi="Times New Roman" w:cs="Times New Roman"/>
          <w:sz w:val="24"/>
          <w:szCs w:val="24"/>
        </w:rPr>
        <w:t>Banaschewski</w:t>
      </w:r>
      <w:proofErr w:type="spellEnd"/>
      <w:r w:rsidRPr="003D5EA2">
        <w:rPr>
          <w:rFonts w:ascii="Times New Roman" w:hAnsi="Times New Roman" w:cs="Times New Roman"/>
          <w:sz w:val="24"/>
          <w:szCs w:val="24"/>
        </w:rPr>
        <w:t xml:space="preserve">, T., Baron-Cohen, S., </w:t>
      </w:r>
      <w:proofErr w:type="spellStart"/>
      <w:r w:rsidRPr="003D5EA2">
        <w:rPr>
          <w:rFonts w:ascii="Times New Roman" w:hAnsi="Times New Roman" w:cs="Times New Roman"/>
          <w:sz w:val="24"/>
          <w:szCs w:val="24"/>
        </w:rPr>
        <w:t>Bölte</w:t>
      </w:r>
      <w:proofErr w:type="spellEnd"/>
      <w:r w:rsidRPr="003D5EA2">
        <w:rPr>
          <w:rFonts w:ascii="Times New Roman" w:hAnsi="Times New Roman" w:cs="Times New Roman"/>
          <w:sz w:val="24"/>
          <w:szCs w:val="24"/>
        </w:rPr>
        <w:t xml:space="preserve">, S., Johnson, M., … the EU-AIMS LEAP Team. (2024). Mapping the link between socio-economic factors, autistic traits and mental health across different settings. </w:t>
      </w:r>
      <w:r w:rsidRPr="003D5EA2">
        <w:rPr>
          <w:rFonts w:ascii="Times New Roman" w:hAnsi="Times New Roman" w:cs="Times New Roman"/>
          <w:i/>
          <w:iCs/>
          <w:sz w:val="24"/>
          <w:szCs w:val="24"/>
        </w:rPr>
        <w:t>Autism</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28</w:t>
      </w:r>
      <w:r w:rsidRPr="003D5EA2">
        <w:rPr>
          <w:rFonts w:ascii="Times New Roman" w:hAnsi="Times New Roman" w:cs="Times New Roman"/>
          <w:sz w:val="24"/>
          <w:szCs w:val="24"/>
        </w:rPr>
        <w:t xml:space="preserve">(5), 1280–1296. </w:t>
      </w:r>
      <w:hyperlink r:id="rId7" w:history="1">
        <w:r w:rsidRPr="003D5EA2">
          <w:rPr>
            <w:rStyle w:val="Hyperlink"/>
            <w:rFonts w:ascii="Times New Roman" w:hAnsi="Times New Roman" w:cs="Times New Roman"/>
            <w:color w:val="auto"/>
            <w:sz w:val="24"/>
            <w:szCs w:val="24"/>
            <w:u w:val="none"/>
          </w:rPr>
          <w:t>https://doi.org/10.1177/13623613231200297</w:t>
        </w:r>
      </w:hyperlink>
    </w:p>
    <w:p w14:paraId="7F0D1262"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Elias, R., &amp; Lord, C. (2022). Diagnostic stability in individuals with autism spectrum disorder: Insights from a longitudinal follow‐up study. </w:t>
      </w:r>
      <w:r w:rsidRPr="003D5EA2">
        <w:rPr>
          <w:rFonts w:ascii="Times New Roman" w:hAnsi="Times New Roman" w:cs="Times New Roman"/>
          <w:i/>
          <w:iCs/>
          <w:sz w:val="24"/>
          <w:szCs w:val="24"/>
        </w:rPr>
        <w:t>Journal of Child Psychology and Psychiatry</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63</w:t>
      </w:r>
      <w:r w:rsidRPr="003D5EA2">
        <w:rPr>
          <w:rFonts w:ascii="Times New Roman" w:hAnsi="Times New Roman" w:cs="Times New Roman"/>
          <w:sz w:val="24"/>
          <w:szCs w:val="24"/>
        </w:rPr>
        <w:t xml:space="preserve">(9), 973–983. </w:t>
      </w:r>
      <w:hyperlink r:id="rId8" w:history="1">
        <w:r w:rsidRPr="003D5EA2">
          <w:rPr>
            <w:rStyle w:val="Hyperlink"/>
            <w:rFonts w:ascii="Times New Roman" w:hAnsi="Times New Roman" w:cs="Times New Roman"/>
            <w:color w:val="auto"/>
            <w:sz w:val="24"/>
            <w:szCs w:val="24"/>
            <w:u w:val="none"/>
          </w:rPr>
          <w:t>https://doi.org/10.1111/jcpp.13551</w:t>
        </w:r>
      </w:hyperlink>
    </w:p>
    <w:p w14:paraId="338737EF"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lastRenderedPageBreak/>
        <w:t xml:space="preserve">Hickey, E. J., Bolt, D., Rodriguez, G., &amp; Hartley, S. L. (2020). Bidirectional Relations between Parent Warmth and Criticism and the Symptoms and Behavior Problems of Children with Autism. </w:t>
      </w:r>
      <w:r w:rsidRPr="003D5EA2">
        <w:rPr>
          <w:rFonts w:ascii="Times New Roman" w:hAnsi="Times New Roman" w:cs="Times New Roman"/>
          <w:i/>
          <w:iCs/>
          <w:sz w:val="24"/>
          <w:szCs w:val="24"/>
        </w:rPr>
        <w:t>Journal of Abnormal Child Psychology</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48</w:t>
      </w:r>
      <w:r w:rsidRPr="003D5EA2">
        <w:rPr>
          <w:rFonts w:ascii="Times New Roman" w:hAnsi="Times New Roman" w:cs="Times New Roman"/>
          <w:sz w:val="24"/>
          <w:szCs w:val="24"/>
        </w:rPr>
        <w:t xml:space="preserve">(6), 865–879. </w:t>
      </w:r>
      <w:hyperlink r:id="rId9" w:history="1">
        <w:r w:rsidRPr="003D5EA2">
          <w:rPr>
            <w:rStyle w:val="Hyperlink"/>
            <w:rFonts w:ascii="Times New Roman" w:hAnsi="Times New Roman" w:cs="Times New Roman"/>
            <w:color w:val="auto"/>
            <w:sz w:val="24"/>
            <w:szCs w:val="24"/>
            <w:u w:val="none"/>
          </w:rPr>
          <w:t>https://doi.org/10.1007/s10802-020-00628-5</w:t>
        </w:r>
      </w:hyperlink>
    </w:p>
    <w:p w14:paraId="657988E4"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Hume, K., Odom, S. L., Steinbrenner, J. R., Smith DaWalt, L., Hall, L. J., Kraemer, B., Tomaszewski, B., Brum, C., Szidon, K., &amp; Bolt, D. M. (2022). Efficacy of a School-Based Comprehensive Intervention Program for Adolescents </w:t>
      </w:r>
      <w:proofErr w:type="gramStart"/>
      <w:r w:rsidRPr="003D5EA2">
        <w:rPr>
          <w:rFonts w:ascii="Times New Roman" w:hAnsi="Times New Roman" w:cs="Times New Roman"/>
          <w:sz w:val="24"/>
          <w:szCs w:val="24"/>
        </w:rPr>
        <w:t>With</w:t>
      </w:r>
      <w:proofErr w:type="gramEnd"/>
      <w:r w:rsidRPr="003D5EA2">
        <w:rPr>
          <w:rFonts w:ascii="Times New Roman" w:hAnsi="Times New Roman" w:cs="Times New Roman"/>
          <w:sz w:val="24"/>
          <w:szCs w:val="24"/>
        </w:rPr>
        <w:t xml:space="preserve"> Autism. </w:t>
      </w:r>
      <w:r w:rsidRPr="003D5EA2">
        <w:rPr>
          <w:rFonts w:ascii="Times New Roman" w:hAnsi="Times New Roman" w:cs="Times New Roman"/>
          <w:i/>
          <w:iCs/>
          <w:sz w:val="24"/>
          <w:szCs w:val="24"/>
        </w:rPr>
        <w:t>Exceptional Children</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88</w:t>
      </w:r>
      <w:r w:rsidRPr="003D5EA2">
        <w:rPr>
          <w:rFonts w:ascii="Times New Roman" w:hAnsi="Times New Roman" w:cs="Times New Roman"/>
          <w:sz w:val="24"/>
          <w:szCs w:val="24"/>
        </w:rPr>
        <w:t xml:space="preserve">(2), 223–240. </w:t>
      </w:r>
      <w:hyperlink r:id="rId10" w:history="1">
        <w:r w:rsidRPr="003D5EA2">
          <w:rPr>
            <w:rStyle w:val="Hyperlink"/>
            <w:rFonts w:ascii="Times New Roman" w:hAnsi="Times New Roman" w:cs="Times New Roman"/>
            <w:color w:val="auto"/>
            <w:sz w:val="24"/>
            <w:szCs w:val="24"/>
            <w:u w:val="none"/>
          </w:rPr>
          <w:t>https://doi.org/10.1177/00144029211062589</w:t>
        </w:r>
      </w:hyperlink>
    </w:p>
    <w:p w14:paraId="02856E18"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King, M., &amp; Bearman, P. (2009). Diagnostic change and the increased prevalence of autism. </w:t>
      </w:r>
      <w:r w:rsidRPr="003D5EA2">
        <w:rPr>
          <w:rFonts w:ascii="Times New Roman" w:hAnsi="Times New Roman" w:cs="Times New Roman"/>
          <w:i/>
          <w:iCs/>
          <w:sz w:val="24"/>
          <w:szCs w:val="24"/>
        </w:rPr>
        <w:t>International Journal of Epidemiology</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38</w:t>
      </w:r>
      <w:r w:rsidRPr="003D5EA2">
        <w:rPr>
          <w:rFonts w:ascii="Times New Roman" w:hAnsi="Times New Roman" w:cs="Times New Roman"/>
          <w:sz w:val="24"/>
          <w:szCs w:val="24"/>
        </w:rPr>
        <w:t xml:space="preserve">(5), 1224–1234. </w:t>
      </w:r>
      <w:hyperlink r:id="rId11" w:history="1">
        <w:r w:rsidRPr="003D5EA2">
          <w:rPr>
            <w:rStyle w:val="Hyperlink"/>
            <w:rFonts w:ascii="Times New Roman" w:hAnsi="Times New Roman" w:cs="Times New Roman"/>
            <w:color w:val="auto"/>
            <w:sz w:val="24"/>
            <w:szCs w:val="24"/>
            <w:u w:val="none"/>
          </w:rPr>
          <w:t>https://doi.org/10.1093/ije/dyp261</w:t>
        </w:r>
      </w:hyperlink>
    </w:p>
    <w:p w14:paraId="53DD4B56"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Lai, M.-C., Anagnostou, E., Wiznitzer, M., Allison, C., &amp; Baron-Cohen, S. (2020). Evidence-based support for autistic people across the lifespan: </w:t>
      </w:r>
      <w:proofErr w:type="spellStart"/>
      <w:r w:rsidRPr="003D5EA2">
        <w:rPr>
          <w:rFonts w:ascii="Times New Roman" w:hAnsi="Times New Roman" w:cs="Times New Roman"/>
          <w:sz w:val="24"/>
          <w:szCs w:val="24"/>
        </w:rPr>
        <w:t>Maximising</w:t>
      </w:r>
      <w:proofErr w:type="spellEnd"/>
      <w:r w:rsidRPr="003D5EA2">
        <w:rPr>
          <w:rFonts w:ascii="Times New Roman" w:hAnsi="Times New Roman" w:cs="Times New Roman"/>
          <w:sz w:val="24"/>
          <w:szCs w:val="24"/>
        </w:rPr>
        <w:t xml:space="preserve"> potential, </w:t>
      </w:r>
      <w:proofErr w:type="spellStart"/>
      <w:r w:rsidRPr="003D5EA2">
        <w:rPr>
          <w:rFonts w:ascii="Times New Roman" w:hAnsi="Times New Roman" w:cs="Times New Roman"/>
          <w:sz w:val="24"/>
          <w:szCs w:val="24"/>
        </w:rPr>
        <w:t>minimising</w:t>
      </w:r>
      <w:proofErr w:type="spellEnd"/>
      <w:r w:rsidRPr="003D5EA2">
        <w:rPr>
          <w:rFonts w:ascii="Times New Roman" w:hAnsi="Times New Roman" w:cs="Times New Roman"/>
          <w:sz w:val="24"/>
          <w:szCs w:val="24"/>
        </w:rPr>
        <w:t xml:space="preserve"> barriers, and </w:t>
      </w:r>
      <w:proofErr w:type="spellStart"/>
      <w:r w:rsidRPr="003D5EA2">
        <w:rPr>
          <w:rFonts w:ascii="Times New Roman" w:hAnsi="Times New Roman" w:cs="Times New Roman"/>
          <w:sz w:val="24"/>
          <w:szCs w:val="24"/>
        </w:rPr>
        <w:t>optimising</w:t>
      </w:r>
      <w:proofErr w:type="spellEnd"/>
      <w:r w:rsidRPr="003D5EA2">
        <w:rPr>
          <w:rFonts w:ascii="Times New Roman" w:hAnsi="Times New Roman" w:cs="Times New Roman"/>
          <w:sz w:val="24"/>
          <w:szCs w:val="24"/>
        </w:rPr>
        <w:t xml:space="preserve"> the person–environment fit. </w:t>
      </w:r>
      <w:r w:rsidRPr="003D5EA2">
        <w:rPr>
          <w:rFonts w:ascii="Times New Roman" w:hAnsi="Times New Roman" w:cs="Times New Roman"/>
          <w:i/>
          <w:iCs/>
          <w:sz w:val="24"/>
          <w:szCs w:val="24"/>
        </w:rPr>
        <w:t>The Lancet Neurology</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19</w:t>
      </w:r>
      <w:r w:rsidRPr="003D5EA2">
        <w:rPr>
          <w:rFonts w:ascii="Times New Roman" w:hAnsi="Times New Roman" w:cs="Times New Roman"/>
          <w:sz w:val="24"/>
          <w:szCs w:val="24"/>
        </w:rPr>
        <w:t xml:space="preserve">(5), 434–451. </w:t>
      </w:r>
      <w:hyperlink r:id="rId12" w:history="1">
        <w:r w:rsidRPr="003D5EA2">
          <w:rPr>
            <w:rStyle w:val="Hyperlink"/>
            <w:rFonts w:ascii="Times New Roman" w:hAnsi="Times New Roman" w:cs="Times New Roman"/>
            <w:color w:val="auto"/>
            <w:sz w:val="24"/>
            <w:szCs w:val="24"/>
            <w:u w:val="none"/>
          </w:rPr>
          <w:t>https://doi.org/10.1016/S1474-4422(20)30034-X</w:t>
        </w:r>
      </w:hyperlink>
    </w:p>
    <w:p w14:paraId="6B9FFA0F"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Lord, C., Charman, T., </w:t>
      </w:r>
      <w:proofErr w:type="spellStart"/>
      <w:r w:rsidRPr="003D5EA2">
        <w:rPr>
          <w:rFonts w:ascii="Times New Roman" w:hAnsi="Times New Roman" w:cs="Times New Roman"/>
          <w:sz w:val="24"/>
          <w:szCs w:val="24"/>
        </w:rPr>
        <w:t>Havdahl</w:t>
      </w:r>
      <w:proofErr w:type="spellEnd"/>
      <w:r w:rsidRPr="003D5EA2">
        <w:rPr>
          <w:rFonts w:ascii="Times New Roman" w:hAnsi="Times New Roman" w:cs="Times New Roman"/>
          <w:sz w:val="24"/>
          <w:szCs w:val="24"/>
        </w:rPr>
        <w:t xml:space="preserve">, A., Carbone, P., Anagnostou, E., Boyd, B., Carr, T., De Vries, P. J., Dissanayake, C., Divan, G., Freitag, C. M., Gotelli, M. M., Kasari, C., Knapp, M., Mundy, P., Plank, A., Scahill, L., </w:t>
      </w:r>
      <w:proofErr w:type="spellStart"/>
      <w:r w:rsidRPr="003D5EA2">
        <w:rPr>
          <w:rFonts w:ascii="Times New Roman" w:hAnsi="Times New Roman" w:cs="Times New Roman"/>
          <w:sz w:val="24"/>
          <w:szCs w:val="24"/>
        </w:rPr>
        <w:t>Servili</w:t>
      </w:r>
      <w:proofErr w:type="spellEnd"/>
      <w:r w:rsidRPr="003D5EA2">
        <w:rPr>
          <w:rFonts w:ascii="Times New Roman" w:hAnsi="Times New Roman" w:cs="Times New Roman"/>
          <w:sz w:val="24"/>
          <w:szCs w:val="24"/>
        </w:rPr>
        <w:t xml:space="preserve">, C., Shattuck, P., … McCauley, J. B. (2022). The Lancet Commission on the future of care and clinical research in autism. </w:t>
      </w:r>
      <w:r w:rsidRPr="003D5EA2">
        <w:rPr>
          <w:rFonts w:ascii="Times New Roman" w:hAnsi="Times New Roman" w:cs="Times New Roman"/>
          <w:i/>
          <w:iCs/>
          <w:sz w:val="24"/>
          <w:szCs w:val="24"/>
        </w:rPr>
        <w:t>The Lancet</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399</w:t>
      </w:r>
      <w:r w:rsidRPr="003D5EA2">
        <w:rPr>
          <w:rFonts w:ascii="Times New Roman" w:hAnsi="Times New Roman" w:cs="Times New Roman"/>
          <w:sz w:val="24"/>
          <w:szCs w:val="24"/>
        </w:rPr>
        <w:t xml:space="preserve">(10321), 271–334. </w:t>
      </w:r>
      <w:hyperlink r:id="rId13" w:history="1">
        <w:r w:rsidRPr="003D5EA2">
          <w:rPr>
            <w:rStyle w:val="Hyperlink"/>
            <w:rFonts w:ascii="Times New Roman" w:hAnsi="Times New Roman" w:cs="Times New Roman"/>
            <w:color w:val="auto"/>
            <w:sz w:val="24"/>
            <w:szCs w:val="24"/>
            <w:u w:val="none"/>
          </w:rPr>
          <w:t>https://doi.org/10.1016/S0140-6736(21)01541-5</w:t>
        </w:r>
      </w:hyperlink>
    </w:p>
    <w:p w14:paraId="7348FDCB"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lastRenderedPageBreak/>
        <w:t xml:space="preserve">Lord, C., McCauley, J. B., </w:t>
      </w:r>
      <w:proofErr w:type="spellStart"/>
      <w:r w:rsidRPr="003D5EA2">
        <w:rPr>
          <w:rFonts w:ascii="Times New Roman" w:hAnsi="Times New Roman" w:cs="Times New Roman"/>
          <w:sz w:val="24"/>
          <w:szCs w:val="24"/>
        </w:rPr>
        <w:t>Pepa</w:t>
      </w:r>
      <w:proofErr w:type="spellEnd"/>
      <w:r w:rsidRPr="003D5EA2">
        <w:rPr>
          <w:rFonts w:ascii="Times New Roman" w:hAnsi="Times New Roman" w:cs="Times New Roman"/>
          <w:sz w:val="24"/>
          <w:szCs w:val="24"/>
        </w:rPr>
        <w:t xml:space="preserve">, L. A., Huerta, M., &amp; Pickles, A. (2020). Work, living, and the pursuit of happiness: Vocational and psychosocial outcomes for young adults with autism. </w:t>
      </w:r>
      <w:r w:rsidRPr="003D5EA2">
        <w:rPr>
          <w:rFonts w:ascii="Times New Roman" w:hAnsi="Times New Roman" w:cs="Times New Roman"/>
          <w:i/>
          <w:iCs/>
          <w:sz w:val="24"/>
          <w:szCs w:val="24"/>
        </w:rPr>
        <w:t>Autism</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24</w:t>
      </w:r>
      <w:r w:rsidRPr="003D5EA2">
        <w:rPr>
          <w:rFonts w:ascii="Times New Roman" w:hAnsi="Times New Roman" w:cs="Times New Roman"/>
          <w:sz w:val="24"/>
          <w:szCs w:val="24"/>
        </w:rPr>
        <w:t xml:space="preserve">(7), 1691–1703. </w:t>
      </w:r>
      <w:hyperlink r:id="rId14" w:history="1">
        <w:r w:rsidRPr="003D5EA2">
          <w:rPr>
            <w:rStyle w:val="Hyperlink"/>
            <w:rFonts w:ascii="Times New Roman" w:hAnsi="Times New Roman" w:cs="Times New Roman"/>
            <w:color w:val="auto"/>
            <w:sz w:val="24"/>
            <w:szCs w:val="24"/>
            <w:u w:val="none"/>
          </w:rPr>
          <w:t>https://doi.org/10.1177/1362361320919246</w:t>
        </w:r>
      </w:hyperlink>
    </w:p>
    <w:p w14:paraId="523D47C3"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Maltman, N., DaWalt, L. S., Hong, J., &amp; </w:t>
      </w:r>
      <w:proofErr w:type="spellStart"/>
      <w:r w:rsidRPr="003D5EA2">
        <w:rPr>
          <w:rFonts w:ascii="Times New Roman" w:hAnsi="Times New Roman" w:cs="Times New Roman"/>
          <w:sz w:val="24"/>
          <w:szCs w:val="24"/>
        </w:rPr>
        <w:t>Mailick</w:t>
      </w:r>
      <w:proofErr w:type="spellEnd"/>
      <w:r w:rsidRPr="003D5EA2">
        <w:rPr>
          <w:rFonts w:ascii="Times New Roman" w:hAnsi="Times New Roman" w:cs="Times New Roman"/>
          <w:sz w:val="24"/>
          <w:szCs w:val="24"/>
        </w:rPr>
        <w:t xml:space="preserve">, M. (2021). Brief Report: Socioeconomic Factors Associated with Minimally Verbal Status in Individuals with ASD. </w:t>
      </w:r>
      <w:r w:rsidRPr="003D5EA2">
        <w:rPr>
          <w:rFonts w:ascii="Times New Roman" w:hAnsi="Times New Roman" w:cs="Times New Roman"/>
          <w:i/>
          <w:iCs/>
          <w:sz w:val="24"/>
          <w:szCs w:val="24"/>
        </w:rPr>
        <w:t>Journal of Autism and Developmental Disorders</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51</w:t>
      </w:r>
      <w:r w:rsidRPr="003D5EA2">
        <w:rPr>
          <w:rFonts w:ascii="Times New Roman" w:hAnsi="Times New Roman" w:cs="Times New Roman"/>
          <w:sz w:val="24"/>
          <w:szCs w:val="24"/>
        </w:rPr>
        <w:t xml:space="preserve">(6), 2139–2145. </w:t>
      </w:r>
      <w:hyperlink r:id="rId15" w:history="1">
        <w:r w:rsidRPr="003D5EA2">
          <w:rPr>
            <w:rStyle w:val="Hyperlink"/>
            <w:rFonts w:ascii="Times New Roman" w:hAnsi="Times New Roman" w:cs="Times New Roman"/>
            <w:color w:val="auto"/>
            <w:sz w:val="24"/>
            <w:szCs w:val="24"/>
            <w:u w:val="none"/>
          </w:rPr>
          <w:t>https://doi.org/10.1007/s10803-020-04646-6</w:t>
        </w:r>
      </w:hyperlink>
    </w:p>
    <w:p w14:paraId="13F6D6CA"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Pickles, A., McCauley, J. B., </w:t>
      </w:r>
      <w:proofErr w:type="spellStart"/>
      <w:r w:rsidRPr="003D5EA2">
        <w:rPr>
          <w:rFonts w:ascii="Times New Roman" w:hAnsi="Times New Roman" w:cs="Times New Roman"/>
          <w:sz w:val="24"/>
          <w:szCs w:val="24"/>
        </w:rPr>
        <w:t>Pepa</w:t>
      </w:r>
      <w:proofErr w:type="spellEnd"/>
      <w:r w:rsidRPr="003D5EA2">
        <w:rPr>
          <w:rFonts w:ascii="Times New Roman" w:hAnsi="Times New Roman" w:cs="Times New Roman"/>
          <w:sz w:val="24"/>
          <w:szCs w:val="24"/>
        </w:rPr>
        <w:t xml:space="preserve">, L. A., Huerta, M., &amp; Lord, C. (2020). The adult outcome of children referred for autism: Typology and prediction from childhood. </w:t>
      </w:r>
      <w:r w:rsidRPr="003D5EA2">
        <w:rPr>
          <w:rFonts w:ascii="Times New Roman" w:hAnsi="Times New Roman" w:cs="Times New Roman"/>
          <w:i/>
          <w:iCs/>
          <w:sz w:val="24"/>
          <w:szCs w:val="24"/>
        </w:rPr>
        <w:t>Journal of Child Psychology and Psychiatry</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61</w:t>
      </w:r>
      <w:r w:rsidRPr="003D5EA2">
        <w:rPr>
          <w:rFonts w:ascii="Times New Roman" w:hAnsi="Times New Roman" w:cs="Times New Roman"/>
          <w:sz w:val="24"/>
          <w:szCs w:val="24"/>
        </w:rPr>
        <w:t xml:space="preserve">(7), 760–767. </w:t>
      </w:r>
      <w:hyperlink r:id="rId16" w:history="1">
        <w:r w:rsidRPr="003D5EA2">
          <w:rPr>
            <w:rStyle w:val="Hyperlink"/>
            <w:rFonts w:ascii="Times New Roman" w:hAnsi="Times New Roman" w:cs="Times New Roman"/>
            <w:color w:val="auto"/>
            <w:sz w:val="24"/>
            <w:szCs w:val="24"/>
            <w:u w:val="none"/>
          </w:rPr>
          <w:t>https://doi.org/10.1111/jcpp.13180</w:t>
        </w:r>
      </w:hyperlink>
    </w:p>
    <w:p w14:paraId="7F9AB9C7"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Piven, J., Harper, J., Palmer, P., &amp; Arndt, S. (1996). Course of Behavioral Change in Autism: A Retrospective Study of High-IQ Adolescents and Adults. </w:t>
      </w:r>
      <w:r w:rsidRPr="003D5EA2">
        <w:rPr>
          <w:rFonts w:ascii="Times New Roman" w:hAnsi="Times New Roman" w:cs="Times New Roman"/>
          <w:i/>
          <w:iCs/>
          <w:sz w:val="24"/>
          <w:szCs w:val="24"/>
        </w:rPr>
        <w:t>Journal of the American Academy of Child &amp; Adolescent Psychiatry</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35</w:t>
      </w:r>
      <w:r w:rsidRPr="003D5EA2">
        <w:rPr>
          <w:rFonts w:ascii="Times New Roman" w:hAnsi="Times New Roman" w:cs="Times New Roman"/>
          <w:sz w:val="24"/>
          <w:szCs w:val="24"/>
        </w:rPr>
        <w:t xml:space="preserve">(4), 523–529. </w:t>
      </w:r>
      <w:hyperlink r:id="rId17" w:history="1">
        <w:r w:rsidRPr="003D5EA2">
          <w:rPr>
            <w:rStyle w:val="Hyperlink"/>
            <w:rFonts w:ascii="Times New Roman" w:hAnsi="Times New Roman" w:cs="Times New Roman"/>
            <w:color w:val="auto"/>
            <w:sz w:val="24"/>
            <w:szCs w:val="24"/>
            <w:u w:val="none"/>
          </w:rPr>
          <w:t>https://doi.org/10.1097/00004583-199604000-00019</w:t>
        </w:r>
      </w:hyperlink>
    </w:p>
    <w:p w14:paraId="6DD6028C"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Radler, B. T., &amp; Ryff, C. D. (2010). Who Participates? Accounting for Longitudinal Retention in the MIDUS National Study of Health and Well-Being. </w:t>
      </w:r>
      <w:r w:rsidRPr="003D5EA2">
        <w:rPr>
          <w:rFonts w:ascii="Times New Roman" w:hAnsi="Times New Roman" w:cs="Times New Roman"/>
          <w:i/>
          <w:iCs/>
          <w:sz w:val="24"/>
          <w:szCs w:val="24"/>
        </w:rPr>
        <w:t>Journal of Aging and Health</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22</w:t>
      </w:r>
      <w:r w:rsidRPr="003D5EA2">
        <w:rPr>
          <w:rFonts w:ascii="Times New Roman" w:hAnsi="Times New Roman" w:cs="Times New Roman"/>
          <w:sz w:val="24"/>
          <w:szCs w:val="24"/>
        </w:rPr>
        <w:t xml:space="preserve">(3), 307–331. </w:t>
      </w:r>
      <w:hyperlink r:id="rId18" w:history="1">
        <w:r w:rsidRPr="003D5EA2">
          <w:rPr>
            <w:rStyle w:val="Hyperlink"/>
            <w:rFonts w:ascii="Times New Roman" w:hAnsi="Times New Roman" w:cs="Times New Roman"/>
            <w:color w:val="auto"/>
            <w:sz w:val="24"/>
            <w:szCs w:val="24"/>
            <w:u w:val="none"/>
          </w:rPr>
          <w:t>https://doi.org/10.1177/0898264309358617</w:t>
        </w:r>
      </w:hyperlink>
    </w:p>
    <w:p w14:paraId="462CAD6B"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Smith, J., Chetcuti, L., Kennedy, L., </w:t>
      </w:r>
      <w:proofErr w:type="spellStart"/>
      <w:r w:rsidRPr="003D5EA2">
        <w:rPr>
          <w:rFonts w:ascii="Times New Roman" w:hAnsi="Times New Roman" w:cs="Times New Roman"/>
          <w:sz w:val="24"/>
          <w:szCs w:val="24"/>
        </w:rPr>
        <w:t>Varcin</w:t>
      </w:r>
      <w:proofErr w:type="spellEnd"/>
      <w:r w:rsidRPr="003D5EA2">
        <w:rPr>
          <w:rFonts w:ascii="Times New Roman" w:hAnsi="Times New Roman" w:cs="Times New Roman"/>
          <w:sz w:val="24"/>
          <w:szCs w:val="24"/>
        </w:rPr>
        <w:t xml:space="preserve">, K. J., </w:t>
      </w:r>
      <w:proofErr w:type="spellStart"/>
      <w:r w:rsidRPr="003D5EA2">
        <w:rPr>
          <w:rFonts w:ascii="Times New Roman" w:hAnsi="Times New Roman" w:cs="Times New Roman"/>
          <w:sz w:val="24"/>
          <w:szCs w:val="24"/>
        </w:rPr>
        <w:t>Slonims</w:t>
      </w:r>
      <w:proofErr w:type="spellEnd"/>
      <w:r w:rsidRPr="003D5EA2">
        <w:rPr>
          <w:rFonts w:ascii="Times New Roman" w:hAnsi="Times New Roman" w:cs="Times New Roman"/>
          <w:sz w:val="24"/>
          <w:szCs w:val="24"/>
        </w:rPr>
        <w:t xml:space="preserve">, V., Bent, C. A., Green, J., Iacono, T., Pillar, S., Taylor, C., Wan, M. W., Whitehouse, A. J. O., </w:t>
      </w:r>
      <w:proofErr w:type="spellStart"/>
      <w:r w:rsidRPr="003D5EA2">
        <w:rPr>
          <w:rFonts w:ascii="Times New Roman" w:hAnsi="Times New Roman" w:cs="Times New Roman"/>
          <w:sz w:val="24"/>
          <w:szCs w:val="24"/>
        </w:rPr>
        <w:t>Hudry</w:t>
      </w:r>
      <w:proofErr w:type="spellEnd"/>
      <w:r w:rsidRPr="003D5EA2">
        <w:rPr>
          <w:rFonts w:ascii="Times New Roman" w:hAnsi="Times New Roman" w:cs="Times New Roman"/>
          <w:sz w:val="24"/>
          <w:szCs w:val="24"/>
        </w:rPr>
        <w:t xml:space="preserve">, K., &amp; the AICES Team. (2023). Caregiver sensitivity predicts infant language use, and infant language complexity predicts caregiver language complexity, in the context of possible emerging autism. </w:t>
      </w:r>
      <w:r w:rsidRPr="003D5EA2">
        <w:rPr>
          <w:rFonts w:ascii="Times New Roman" w:hAnsi="Times New Roman" w:cs="Times New Roman"/>
          <w:i/>
          <w:iCs/>
          <w:sz w:val="24"/>
          <w:szCs w:val="24"/>
        </w:rPr>
        <w:t>Autism Research</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16</w:t>
      </w:r>
      <w:r w:rsidRPr="003D5EA2">
        <w:rPr>
          <w:rFonts w:ascii="Times New Roman" w:hAnsi="Times New Roman" w:cs="Times New Roman"/>
          <w:sz w:val="24"/>
          <w:szCs w:val="24"/>
        </w:rPr>
        <w:t xml:space="preserve">(4), 745–756. </w:t>
      </w:r>
      <w:hyperlink r:id="rId19" w:history="1">
        <w:r w:rsidRPr="003D5EA2">
          <w:rPr>
            <w:rStyle w:val="Hyperlink"/>
            <w:rFonts w:ascii="Times New Roman" w:hAnsi="Times New Roman" w:cs="Times New Roman"/>
            <w:color w:val="auto"/>
            <w:sz w:val="24"/>
            <w:szCs w:val="24"/>
            <w:u w:val="none"/>
          </w:rPr>
          <w:t>https://doi.org/10.1002/aur.2879</w:t>
        </w:r>
      </w:hyperlink>
    </w:p>
    <w:p w14:paraId="3B05C5C0"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lastRenderedPageBreak/>
        <w:t xml:space="preserve">Song, J., Dembo, R. S., Smith DaWalt, L., Ryff, C. D., &amp; </w:t>
      </w:r>
      <w:proofErr w:type="spellStart"/>
      <w:r w:rsidRPr="003D5EA2">
        <w:rPr>
          <w:rFonts w:ascii="Times New Roman" w:hAnsi="Times New Roman" w:cs="Times New Roman"/>
          <w:sz w:val="24"/>
          <w:szCs w:val="24"/>
        </w:rPr>
        <w:t>Mailick</w:t>
      </w:r>
      <w:proofErr w:type="spellEnd"/>
      <w:r w:rsidRPr="003D5EA2">
        <w:rPr>
          <w:rFonts w:ascii="Times New Roman" w:hAnsi="Times New Roman" w:cs="Times New Roman"/>
          <w:sz w:val="24"/>
          <w:szCs w:val="24"/>
        </w:rPr>
        <w:t xml:space="preserve">, M. R. (2023). Improving Retention of Diverse Samples in Longitudinal Research on Developmental Disabilities. </w:t>
      </w:r>
      <w:r w:rsidRPr="003D5EA2">
        <w:rPr>
          <w:rFonts w:ascii="Times New Roman" w:hAnsi="Times New Roman" w:cs="Times New Roman"/>
          <w:i/>
          <w:iCs/>
          <w:sz w:val="24"/>
          <w:szCs w:val="24"/>
        </w:rPr>
        <w:t>American Journal on Intellectual and Developmental Disabilities</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128</w:t>
      </w:r>
      <w:r w:rsidRPr="003D5EA2">
        <w:rPr>
          <w:rFonts w:ascii="Times New Roman" w:hAnsi="Times New Roman" w:cs="Times New Roman"/>
          <w:sz w:val="24"/>
          <w:szCs w:val="24"/>
        </w:rPr>
        <w:t xml:space="preserve">(2), 164–175. </w:t>
      </w:r>
      <w:hyperlink r:id="rId20" w:history="1">
        <w:r w:rsidRPr="003D5EA2">
          <w:rPr>
            <w:rStyle w:val="Hyperlink"/>
            <w:rFonts w:ascii="Times New Roman" w:hAnsi="Times New Roman" w:cs="Times New Roman"/>
            <w:color w:val="auto"/>
            <w:sz w:val="24"/>
            <w:szCs w:val="24"/>
            <w:u w:val="none"/>
          </w:rPr>
          <w:t>https://doi.org/10.1352/1944-7558-128.2.164</w:t>
        </w:r>
      </w:hyperlink>
    </w:p>
    <w:p w14:paraId="67803575"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Sturm, A., Williams, J., &amp; Kasari, C. (2021). Who gains and who loses? Sociodemographic disparities in access to special education services among autistic students. </w:t>
      </w:r>
      <w:r w:rsidRPr="003D5EA2">
        <w:rPr>
          <w:rFonts w:ascii="Times New Roman" w:hAnsi="Times New Roman" w:cs="Times New Roman"/>
          <w:i/>
          <w:iCs/>
          <w:sz w:val="24"/>
          <w:szCs w:val="24"/>
        </w:rPr>
        <w:t>Autism Research</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14</w:t>
      </w:r>
      <w:r w:rsidRPr="003D5EA2">
        <w:rPr>
          <w:rFonts w:ascii="Times New Roman" w:hAnsi="Times New Roman" w:cs="Times New Roman"/>
          <w:sz w:val="24"/>
          <w:szCs w:val="24"/>
        </w:rPr>
        <w:t xml:space="preserve">(8), 1621–1632. </w:t>
      </w:r>
      <w:hyperlink r:id="rId21" w:history="1">
        <w:r w:rsidRPr="003D5EA2">
          <w:rPr>
            <w:rStyle w:val="Hyperlink"/>
            <w:rFonts w:ascii="Times New Roman" w:hAnsi="Times New Roman" w:cs="Times New Roman"/>
            <w:color w:val="auto"/>
            <w:sz w:val="24"/>
            <w:szCs w:val="24"/>
            <w:u w:val="none"/>
          </w:rPr>
          <w:t>https://doi.org/10.1002/aur.2517</w:t>
        </w:r>
      </w:hyperlink>
    </w:p>
    <w:p w14:paraId="3C8FBA1F"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Taylor, J. L., Smith, L. E., &amp; </w:t>
      </w:r>
      <w:proofErr w:type="spellStart"/>
      <w:r w:rsidRPr="003D5EA2">
        <w:rPr>
          <w:rFonts w:ascii="Times New Roman" w:hAnsi="Times New Roman" w:cs="Times New Roman"/>
          <w:sz w:val="24"/>
          <w:szCs w:val="24"/>
        </w:rPr>
        <w:t>Mailick</w:t>
      </w:r>
      <w:proofErr w:type="spellEnd"/>
      <w:r w:rsidRPr="003D5EA2">
        <w:rPr>
          <w:rFonts w:ascii="Times New Roman" w:hAnsi="Times New Roman" w:cs="Times New Roman"/>
          <w:sz w:val="24"/>
          <w:szCs w:val="24"/>
        </w:rPr>
        <w:t xml:space="preserve">, M. R. (2014). Engagement in Vocational Activities Promotes Behavioral Development for Adults with Autism Spectrum Disorders. </w:t>
      </w:r>
      <w:r w:rsidRPr="003D5EA2">
        <w:rPr>
          <w:rFonts w:ascii="Times New Roman" w:hAnsi="Times New Roman" w:cs="Times New Roman"/>
          <w:i/>
          <w:iCs/>
          <w:sz w:val="24"/>
          <w:szCs w:val="24"/>
        </w:rPr>
        <w:t>Journal of Autism and Developmental Disorders</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44</w:t>
      </w:r>
      <w:r w:rsidRPr="003D5EA2">
        <w:rPr>
          <w:rFonts w:ascii="Times New Roman" w:hAnsi="Times New Roman" w:cs="Times New Roman"/>
          <w:sz w:val="24"/>
          <w:szCs w:val="24"/>
        </w:rPr>
        <w:t xml:space="preserve">(6), 1447–1460. </w:t>
      </w:r>
      <w:hyperlink r:id="rId22" w:history="1">
        <w:r w:rsidRPr="003D5EA2">
          <w:rPr>
            <w:rStyle w:val="Hyperlink"/>
            <w:rFonts w:ascii="Times New Roman" w:hAnsi="Times New Roman" w:cs="Times New Roman"/>
            <w:color w:val="auto"/>
            <w:sz w:val="24"/>
            <w:szCs w:val="24"/>
            <w:u w:val="none"/>
          </w:rPr>
          <w:t>https://doi.org/10.1007/s10803-013-2010-9</w:t>
        </w:r>
      </w:hyperlink>
    </w:p>
    <w:p w14:paraId="70E41153"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Tesfaye, R., Courchesne, V., Mirenda, P., Mitchell, W., Nicholas, D., Singh, I., Zwaigenbaum, L., &amp; </w:t>
      </w:r>
      <w:proofErr w:type="spellStart"/>
      <w:r w:rsidRPr="003D5EA2">
        <w:rPr>
          <w:rFonts w:ascii="Times New Roman" w:hAnsi="Times New Roman" w:cs="Times New Roman"/>
          <w:sz w:val="24"/>
          <w:szCs w:val="24"/>
        </w:rPr>
        <w:t>Elsabbagh</w:t>
      </w:r>
      <w:proofErr w:type="spellEnd"/>
      <w:r w:rsidRPr="003D5EA2">
        <w:rPr>
          <w:rFonts w:ascii="Times New Roman" w:hAnsi="Times New Roman" w:cs="Times New Roman"/>
          <w:sz w:val="24"/>
          <w:szCs w:val="24"/>
        </w:rPr>
        <w:t xml:space="preserve">, M. (2023). Autism voices: Perspectives of the needs, challenges, and hopes for the future of autistic youth. </w:t>
      </w:r>
      <w:r w:rsidRPr="003D5EA2">
        <w:rPr>
          <w:rFonts w:ascii="Times New Roman" w:hAnsi="Times New Roman" w:cs="Times New Roman"/>
          <w:i/>
          <w:iCs/>
          <w:sz w:val="24"/>
          <w:szCs w:val="24"/>
        </w:rPr>
        <w:t>Autism</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27</w:t>
      </w:r>
      <w:r w:rsidRPr="003D5EA2">
        <w:rPr>
          <w:rFonts w:ascii="Times New Roman" w:hAnsi="Times New Roman" w:cs="Times New Roman"/>
          <w:sz w:val="24"/>
          <w:szCs w:val="24"/>
        </w:rPr>
        <w:t xml:space="preserve">(4), 1142–1156. </w:t>
      </w:r>
      <w:hyperlink r:id="rId23" w:history="1">
        <w:r w:rsidRPr="003D5EA2">
          <w:rPr>
            <w:rStyle w:val="Hyperlink"/>
            <w:rFonts w:ascii="Times New Roman" w:hAnsi="Times New Roman" w:cs="Times New Roman"/>
            <w:color w:val="auto"/>
            <w:sz w:val="24"/>
            <w:szCs w:val="24"/>
            <w:u w:val="none"/>
          </w:rPr>
          <w:t>https://doi.org/10.1177/13623613221132108</w:t>
        </w:r>
      </w:hyperlink>
    </w:p>
    <w:p w14:paraId="787983BA"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West, E. A., Travers, J. C., Kemper, T. D., Liberty, L. M., Cote, D. L., </w:t>
      </w:r>
      <w:proofErr w:type="spellStart"/>
      <w:r w:rsidRPr="003D5EA2">
        <w:rPr>
          <w:rFonts w:ascii="Times New Roman" w:hAnsi="Times New Roman" w:cs="Times New Roman"/>
          <w:sz w:val="24"/>
          <w:szCs w:val="24"/>
        </w:rPr>
        <w:t>McCollow</w:t>
      </w:r>
      <w:proofErr w:type="spellEnd"/>
      <w:r w:rsidRPr="003D5EA2">
        <w:rPr>
          <w:rFonts w:ascii="Times New Roman" w:hAnsi="Times New Roman" w:cs="Times New Roman"/>
          <w:sz w:val="24"/>
          <w:szCs w:val="24"/>
        </w:rPr>
        <w:t xml:space="preserve">, M. M., &amp; </w:t>
      </w:r>
      <w:proofErr w:type="spellStart"/>
      <w:r w:rsidRPr="003D5EA2">
        <w:rPr>
          <w:rFonts w:ascii="Times New Roman" w:hAnsi="Times New Roman" w:cs="Times New Roman"/>
          <w:sz w:val="24"/>
          <w:szCs w:val="24"/>
        </w:rPr>
        <w:t>Stansberry</w:t>
      </w:r>
      <w:proofErr w:type="spellEnd"/>
      <w:r w:rsidRPr="003D5EA2">
        <w:rPr>
          <w:rFonts w:ascii="Times New Roman" w:hAnsi="Times New Roman" w:cs="Times New Roman"/>
          <w:sz w:val="24"/>
          <w:szCs w:val="24"/>
        </w:rPr>
        <w:t xml:space="preserve"> </w:t>
      </w:r>
      <w:proofErr w:type="spellStart"/>
      <w:r w:rsidRPr="003D5EA2">
        <w:rPr>
          <w:rFonts w:ascii="Times New Roman" w:hAnsi="Times New Roman" w:cs="Times New Roman"/>
          <w:sz w:val="24"/>
          <w:szCs w:val="24"/>
        </w:rPr>
        <w:t>Brusnahan</w:t>
      </w:r>
      <w:proofErr w:type="spellEnd"/>
      <w:r w:rsidRPr="003D5EA2">
        <w:rPr>
          <w:rFonts w:ascii="Times New Roman" w:hAnsi="Times New Roman" w:cs="Times New Roman"/>
          <w:sz w:val="24"/>
          <w:szCs w:val="24"/>
        </w:rPr>
        <w:t xml:space="preserve">, L. L. (2016). Racial and Ethnic Diversity of Participants in Research Supporting Evidence-Based Practices for Learners </w:t>
      </w:r>
      <w:proofErr w:type="gramStart"/>
      <w:r w:rsidRPr="003D5EA2">
        <w:rPr>
          <w:rFonts w:ascii="Times New Roman" w:hAnsi="Times New Roman" w:cs="Times New Roman"/>
          <w:sz w:val="24"/>
          <w:szCs w:val="24"/>
        </w:rPr>
        <w:t>With</w:t>
      </w:r>
      <w:proofErr w:type="gramEnd"/>
      <w:r w:rsidRPr="003D5EA2">
        <w:rPr>
          <w:rFonts w:ascii="Times New Roman" w:hAnsi="Times New Roman" w:cs="Times New Roman"/>
          <w:sz w:val="24"/>
          <w:szCs w:val="24"/>
        </w:rPr>
        <w:t xml:space="preserve"> Autism Spectrum Disorder. </w:t>
      </w:r>
      <w:r w:rsidRPr="003D5EA2">
        <w:rPr>
          <w:rFonts w:ascii="Times New Roman" w:hAnsi="Times New Roman" w:cs="Times New Roman"/>
          <w:i/>
          <w:iCs/>
          <w:sz w:val="24"/>
          <w:szCs w:val="24"/>
        </w:rPr>
        <w:t>The Journal of Special Education</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50</w:t>
      </w:r>
      <w:r w:rsidRPr="003D5EA2">
        <w:rPr>
          <w:rFonts w:ascii="Times New Roman" w:hAnsi="Times New Roman" w:cs="Times New Roman"/>
          <w:sz w:val="24"/>
          <w:szCs w:val="24"/>
        </w:rPr>
        <w:t xml:space="preserve">(3), 151–163. </w:t>
      </w:r>
      <w:hyperlink r:id="rId24" w:history="1">
        <w:r w:rsidRPr="003D5EA2">
          <w:rPr>
            <w:rStyle w:val="Hyperlink"/>
            <w:rFonts w:ascii="Times New Roman" w:hAnsi="Times New Roman" w:cs="Times New Roman"/>
            <w:color w:val="auto"/>
            <w:sz w:val="24"/>
            <w:szCs w:val="24"/>
            <w:u w:val="none"/>
          </w:rPr>
          <w:t>https://doi.org/10.1177/0022466916632495</w:t>
        </w:r>
      </w:hyperlink>
    </w:p>
    <w:p w14:paraId="68BF6A08"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Winter, A. S., Fountain, C., </w:t>
      </w:r>
      <w:proofErr w:type="spellStart"/>
      <w:r w:rsidRPr="003D5EA2">
        <w:rPr>
          <w:rFonts w:ascii="Times New Roman" w:hAnsi="Times New Roman" w:cs="Times New Roman"/>
          <w:sz w:val="24"/>
          <w:szCs w:val="24"/>
        </w:rPr>
        <w:t>Cheslack-Postava</w:t>
      </w:r>
      <w:proofErr w:type="spellEnd"/>
      <w:r w:rsidRPr="003D5EA2">
        <w:rPr>
          <w:rFonts w:ascii="Times New Roman" w:hAnsi="Times New Roman" w:cs="Times New Roman"/>
          <w:sz w:val="24"/>
          <w:szCs w:val="24"/>
        </w:rPr>
        <w:t xml:space="preserve">, K., &amp; Bearman, P. S. (2020). The social patterning of autism diagnoses reversed in California between 1992 and 2018. </w:t>
      </w:r>
      <w:r w:rsidRPr="003D5EA2">
        <w:rPr>
          <w:rFonts w:ascii="Times New Roman" w:hAnsi="Times New Roman" w:cs="Times New Roman"/>
          <w:i/>
          <w:iCs/>
          <w:sz w:val="24"/>
          <w:szCs w:val="24"/>
        </w:rPr>
        <w:lastRenderedPageBreak/>
        <w:t>Proceedings of the National Academy of Sciences</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117</w:t>
      </w:r>
      <w:r w:rsidRPr="003D5EA2">
        <w:rPr>
          <w:rFonts w:ascii="Times New Roman" w:hAnsi="Times New Roman" w:cs="Times New Roman"/>
          <w:sz w:val="24"/>
          <w:szCs w:val="24"/>
        </w:rPr>
        <w:t xml:space="preserve">(48), 30295–30302. </w:t>
      </w:r>
      <w:hyperlink r:id="rId25" w:history="1">
        <w:r w:rsidRPr="003D5EA2">
          <w:rPr>
            <w:rStyle w:val="Hyperlink"/>
            <w:rFonts w:ascii="Times New Roman" w:hAnsi="Times New Roman" w:cs="Times New Roman"/>
            <w:color w:val="auto"/>
            <w:sz w:val="24"/>
            <w:szCs w:val="24"/>
            <w:u w:val="none"/>
          </w:rPr>
          <w:t>https://doi.org/10.1073/pnas.2015762117</w:t>
        </w:r>
      </w:hyperlink>
    </w:p>
    <w:p w14:paraId="1253B1AA" w14:textId="77777777" w:rsidR="003D5EA2" w:rsidRPr="003D5EA2" w:rsidRDefault="003D5EA2" w:rsidP="003D5EA2">
      <w:pPr>
        <w:spacing w:line="480" w:lineRule="auto"/>
        <w:ind w:left="720" w:hanging="720"/>
        <w:rPr>
          <w:rFonts w:ascii="Times New Roman" w:hAnsi="Times New Roman" w:cs="Times New Roman"/>
          <w:sz w:val="24"/>
          <w:szCs w:val="24"/>
        </w:rPr>
      </w:pPr>
      <w:r w:rsidRPr="003D5EA2">
        <w:rPr>
          <w:rFonts w:ascii="Times New Roman" w:hAnsi="Times New Roman" w:cs="Times New Roman"/>
          <w:sz w:val="24"/>
          <w:szCs w:val="24"/>
        </w:rPr>
        <w:t xml:space="preserve">Woodman, A. C., Smith, L. E., Greenberg, J. S., &amp; </w:t>
      </w:r>
      <w:proofErr w:type="spellStart"/>
      <w:r w:rsidRPr="003D5EA2">
        <w:rPr>
          <w:rFonts w:ascii="Times New Roman" w:hAnsi="Times New Roman" w:cs="Times New Roman"/>
          <w:sz w:val="24"/>
          <w:szCs w:val="24"/>
        </w:rPr>
        <w:t>Mailick</w:t>
      </w:r>
      <w:proofErr w:type="spellEnd"/>
      <w:r w:rsidRPr="003D5EA2">
        <w:rPr>
          <w:rFonts w:ascii="Times New Roman" w:hAnsi="Times New Roman" w:cs="Times New Roman"/>
          <w:sz w:val="24"/>
          <w:szCs w:val="24"/>
        </w:rPr>
        <w:t xml:space="preserve">, M. R. (2015). Change in Autism Symptoms and Maladaptive Behaviors in Adolescence and Adulthood: The Role of Positive Family Processes. </w:t>
      </w:r>
      <w:r w:rsidRPr="003D5EA2">
        <w:rPr>
          <w:rFonts w:ascii="Times New Roman" w:hAnsi="Times New Roman" w:cs="Times New Roman"/>
          <w:i/>
          <w:iCs/>
          <w:sz w:val="24"/>
          <w:szCs w:val="24"/>
        </w:rPr>
        <w:t>Journal of Autism and Developmental Disorders</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45</w:t>
      </w:r>
      <w:r w:rsidRPr="003D5EA2">
        <w:rPr>
          <w:rFonts w:ascii="Times New Roman" w:hAnsi="Times New Roman" w:cs="Times New Roman"/>
          <w:sz w:val="24"/>
          <w:szCs w:val="24"/>
        </w:rPr>
        <w:t xml:space="preserve">(1), 111–126. </w:t>
      </w:r>
      <w:hyperlink r:id="rId26" w:history="1">
        <w:r w:rsidRPr="003D5EA2">
          <w:rPr>
            <w:rStyle w:val="Hyperlink"/>
            <w:rFonts w:ascii="Times New Roman" w:hAnsi="Times New Roman" w:cs="Times New Roman"/>
            <w:color w:val="auto"/>
            <w:sz w:val="24"/>
            <w:szCs w:val="24"/>
            <w:u w:val="none"/>
          </w:rPr>
          <w:t>https://doi.org/10.1007/s10803-014-2199-2</w:t>
        </w:r>
      </w:hyperlink>
    </w:p>
    <w:p w14:paraId="2FD38ACB" w14:textId="77777777" w:rsidR="003D5EA2" w:rsidRPr="003D5EA2" w:rsidRDefault="003D5EA2" w:rsidP="003D5EA2">
      <w:pPr>
        <w:spacing w:line="480" w:lineRule="auto"/>
        <w:ind w:left="720" w:hanging="720"/>
      </w:pPr>
      <w:proofErr w:type="spellStart"/>
      <w:r w:rsidRPr="003D5EA2">
        <w:rPr>
          <w:rFonts w:ascii="Times New Roman" w:hAnsi="Times New Roman" w:cs="Times New Roman"/>
          <w:sz w:val="24"/>
          <w:szCs w:val="24"/>
        </w:rPr>
        <w:t>Zaidman-Zait</w:t>
      </w:r>
      <w:proofErr w:type="spellEnd"/>
      <w:r w:rsidRPr="003D5EA2">
        <w:rPr>
          <w:rFonts w:ascii="Times New Roman" w:hAnsi="Times New Roman" w:cs="Times New Roman"/>
          <w:sz w:val="24"/>
          <w:szCs w:val="24"/>
        </w:rPr>
        <w:t xml:space="preserve">, A., Mirenda, P., Duku, E., Vaillancourt, T., Smith, I. M., Szatmari, P., Bryson, S., </w:t>
      </w:r>
      <w:proofErr w:type="spellStart"/>
      <w:r w:rsidRPr="003D5EA2">
        <w:rPr>
          <w:rFonts w:ascii="Times New Roman" w:hAnsi="Times New Roman" w:cs="Times New Roman"/>
          <w:sz w:val="24"/>
          <w:szCs w:val="24"/>
        </w:rPr>
        <w:t>Fombonne</w:t>
      </w:r>
      <w:proofErr w:type="spellEnd"/>
      <w:r w:rsidRPr="003D5EA2">
        <w:rPr>
          <w:rFonts w:ascii="Times New Roman" w:hAnsi="Times New Roman" w:cs="Times New Roman"/>
          <w:sz w:val="24"/>
          <w:szCs w:val="24"/>
        </w:rPr>
        <w:t xml:space="preserve">, E., Volden, J., Waddell, C., Zwaigenbaum, L., Georgiades, S., Bennett, T., </w:t>
      </w:r>
      <w:proofErr w:type="spellStart"/>
      <w:r w:rsidRPr="003D5EA2">
        <w:rPr>
          <w:rFonts w:ascii="Times New Roman" w:hAnsi="Times New Roman" w:cs="Times New Roman"/>
          <w:sz w:val="24"/>
          <w:szCs w:val="24"/>
        </w:rPr>
        <w:t>Elsabaggh</w:t>
      </w:r>
      <w:proofErr w:type="spellEnd"/>
      <w:r w:rsidRPr="003D5EA2">
        <w:rPr>
          <w:rFonts w:ascii="Times New Roman" w:hAnsi="Times New Roman" w:cs="Times New Roman"/>
          <w:sz w:val="24"/>
          <w:szCs w:val="24"/>
        </w:rPr>
        <w:t xml:space="preserve">, M., &amp; Thompson, A. (2017). Impact of personal and social resources on parenting stress in mothers of children with autism spectrum disorder. </w:t>
      </w:r>
      <w:r w:rsidRPr="003D5EA2">
        <w:rPr>
          <w:rFonts w:ascii="Times New Roman" w:hAnsi="Times New Roman" w:cs="Times New Roman"/>
          <w:i/>
          <w:iCs/>
          <w:sz w:val="24"/>
          <w:szCs w:val="24"/>
        </w:rPr>
        <w:t>Autism</w:t>
      </w:r>
      <w:r w:rsidRPr="003D5EA2">
        <w:rPr>
          <w:rFonts w:ascii="Times New Roman" w:hAnsi="Times New Roman" w:cs="Times New Roman"/>
          <w:sz w:val="24"/>
          <w:szCs w:val="24"/>
        </w:rPr>
        <w:t xml:space="preserve">, </w:t>
      </w:r>
      <w:r w:rsidRPr="003D5EA2">
        <w:rPr>
          <w:rFonts w:ascii="Times New Roman" w:hAnsi="Times New Roman" w:cs="Times New Roman"/>
          <w:i/>
          <w:iCs/>
          <w:sz w:val="24"/>
          <w:szCs w:val="24"/>
        </w:rPr>
        <w:t>21</w:t>
      </w:r>
      <w:r w:rsidRPr="003D5EA2">
        <w:rPr>
          <w:rFonts w:ascii="Times New Roman" w:hAnsi="Times New Roman" w:cs="Times New Roman"/>
          <w:sz w:val="24"/>
          <w:szCs w:val="24"/>
        </w:rPr>
        <w:t xml:space="preserve">(2), 155–166. </w:t>
      </w:r>
      <w:hyperlink r:id="rId27" w:history="1">
        <w:r w:rsidRPr="003D5EA2">
          <w:rPr>
            <w:rStyle w:val="Hyperlink"/>
            <w:rFonts w:ascii="Times New Roman" w:hAnsi="Times New Roman" w:cs="Times New Roman"/>
            <w:color w:val="auto"/>
            <w:sz w:val="24"/>
            <w:szCs w:val="24"/>
            <w:u w:val="none"/>
          </w:rPr>
          <w:t>https://doi.org/10.1177/1362361316633033</w:t>
        </w:r>
      </w:hyperlink>
    </w:p>
    <w:p w14:paraId="0A060F79" w14:textId="77777777" w:rsidR="00B725CE" w:rsidRDefault="00B725CE" w:rsidP="003D5EA2">
      <w:pPr>
        <w:ind w:left="720" w:hanging="720"/>
      </w:pPr>
    </w:p>
    <w:sectPr w:rsidR="00B725CE" w:rsidSect="003D5EA2">
      <w:pgSz w:w="12240" w:h="15840"/>
      <w:pgMar w:top="1440" w:right="1440" w:bottom="144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EA2"/>
    <w:rsid w:val="003869AD"/>
    <w:rsid w:val="003D5EA2"/>
    <w:rsid w:val="0049034D"/>
    <w:rsid w:val="007C33A8"/>
    <w:rsid w:val="008B63E5"/>
    <w:rsid w:val="00A079AE"/>
    <w:rsid w:val="00B725CE"/>
    <w:rsid w:val="00CE3183"/>
    <w:rsid w:val="00D91B7B"/>
    <w:rsid w:val="00DC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71A7"/>
  <w15:chartTrackingRefBased/>
  <w15:docId w15:val="{FF06F88F-C311-40DC-A13C-13784BF0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B63E5"/>
    <w:rPr>
      <w:b/>
      <w:bCs/>
    </w:rPr>
  </w:style>
  <w:style w:type="character" w:styleId="Hyperlink">
    <w:name w:val="Hyperlink"/>
    <w:basedOn w:val="DefaultParagraphFont"/>
    <w:uiPriority w:val="99"/>
    <w:unhideWhenUsed/>
    <w:rsid w:val="003D5EA2"/>
    <w:rPr>
      <w:color w:val="0563C1" w:themeColor="hyperlink"/>
      <w:u w:val="single"/>
    </w:rPr>
  </w:style>
  <w:style w:type="character" w:styleId="UnresolvedMention">
    <w:name w:val="Unresolved Mention"/>
    <w:basedOn w:val="DefaultParagraphFont"/>
    <w:uiPriority w:val="99"/>
    <w:semiHidden/>
    <w:unhideWhenUsed/>
    <w:rsid w:val="003D5EA2"/>
    <w:rPr>
      <w:color w:val="605E5C"/>
      <w:shd w:val="clear" w:color="auto" w:fill="E1DFDD"/>
    </w:rPr>
  </w:style>
  <w:style w:type="paragraph" w:styleId="Bibliography">
    <w:name w:val="Bibliography"/>
    <w:basedOn w:val="Normal"/>
    <w:next w:val="Normal"/>
    <w:uiPriority w:val="37"/>
    <w:semiHidden/>
    <w:unhideWhenUsed/>
    <w:rsid w:val="003D5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0032670">
      <w:bodyDiv w:val="1"/>
      <w:marLeft w:val="0"/>
      <w:marRight w:val="0"/>
      <w:marTop w:val="0"/>
      <w:marBottom w:val="0"/>
      <w:divBdr>
        <w:top w:val="none" w:sz="0" w:space="0" w:color="auto"/>
        <w:left w:val="none" w:sz="0" w:space="0" w:color="auto"/>
        <w:bottom w:val="none" w:sz="0" w:space="0" w:color="auto"/>
        <w:right w:val="none" w:sz="0" w:space="0" w:color="auto"/>
      </w:divBdr>
      <w:divsChild>
        <w:div w:id="1352145744">
          <w:marLeft w:val="480"/>
          <w:marRight w:val="0"/>
          <w:marTop w:val="0"/>
          <w:marBottom w:val="0"/>
          <w:divBdr>
            <w:top w:val="none" w:sz="0" w:space="0" w:color="auto"/>
            <w:left w:val="none" w:sz="0" w:space="0" w:color="auto"/>
            <w:bottom w:val="none" w:sz="0" w:space="0" w:color="auto"/>
            <w:right w:val="none" w:sz="0" w:space="0" w:color="auto"/>
          </w:divBdr>
          <w:divsChild>
            <w:div w:id="1179082009">
              <w:marLeft w:val="0"/>
              <w:marRight w:val="0"/>
              <w:marTop w:val="0"/>
              <w:marBottom w:val="0"/>
              <w:divBdr>
                <w:top w:val="none" w:sz="0" w:space="0" w:color="auto"/>
                <w:left w:val="none" w:sz="0" w:space="0" w:color="auto"/>
                <w:bottom w:val="none" w:sz="0" w:space="0" w:color="auto"/>
                <w:right w:val="none" w:sz="0" w:space="0" w:color="auto"/>
              </w:divBdr>
            </w:div>
            <w:div w:id="768819011">
              <w:marLeft w:val="0"/>
              <w:marRight w:val="0"/>
              <w:marTop w:val="0"/>
              <w:marBottom w:val="0"/>
              <w:divBdr>
                <w:top w:val="none" w:sz="0" w:space="0" w:color="auto"/>
                <w:left w:val="none" w:sz="0" w:space="0" w:color="auto"/>
                <w:bottom w:val="none" w:sz="0" w:space="0" w:color="auto"/>
                <w:right w:val="none" w:sz="0" w:space="0" w:color="auto"/>
              </w:divBdr>
            </w:div>
            <w:div w:id="420026886">
              <w:marLeft w:val="0"/>
              <w:marRight w:val="0"/>
              <w:marTop w:val="0"/>
              <w:marBottom w:val="0"/>
              <w:divBdr>
                <w:top w:val="none" w:sz="0" w:space="0" w:color="auto"/>
                <w:left w:val="none" w:sz="0" w:space="0" w:color="auto"/>
                <w:bottom w:val="none" w:sz="0" w:space="0" w:color="auto"/>
                <w:right w:val="none" w:sz="0" w:space="0" w:color="auto"/>
              </w:divBdr>
            </w:div>
            <w:div w:id="1946300687">
              <w:marLeft w:val="0"/>
              <w:marRight w:val="0"/>
              <w:marTop w:val="0"/>
              <w:marBottom w:val="0"/>
              <w:divBdr>
                <w:top w:val="none" w:sz="0" w:space="0" w:color="auto"/>
                <w:left w:val="none" w:sz="0" w:space="0" w:color="auto"/>
                <w:bottom w:val="none" w:sz="0" w:space="0" w:color="auto"/>
                <w:right w:val="none" w:sz="0" w:space="0" w:color="auto"/>
              </w:divBdr>
            </w:div>
            <w:div w:id="558128055">
              <w:marLeft w:val="0"/>
              <w:marRight w:val="0"/>
              <w:marTop w:val="0"/>
              <w:marBottom w:val="0"/>
              <w:divBdr>
                <w:top w:val="none" w:sz="0" w:space="0" w:color="auto"/>
                <w:left w:val="none" w:sz="0" w:space="0" w:color="auto"/>
                <w:bottom w:val="none" w:sz="0" w:space="0" w:color="auto"/>
                <w:right w:val="none" w:sz="0" w:space="0" w:color="auto"/>
              </w:divBdr>
            </w:div>
            <w:div w:id="666515494">
              <w:marLeft w:val="0"/>
              <w:marRight w:val="0"/>
              <w:marTop w:val="0"/>
              <w:marBottom w:val="0"/>
              <w:divBdr>
                <w:top w:val="none" w:sz="0" w:space="0" w:color="auto"/>
                <w:left w:val="none" w:sz="0" w:space="0" w:color="auto"/>
                <w:bottom w:val="none" w:sz="0" w:space="0" w:color="auto"/>
                <w:right w:val="none" w:sz="0" w:space="0" w:color="auto"/>
              </w:divBdr>
            </w:div>
            <w:div w:id="423889784">
              <w:marLeft w:val="0"/>
              <w:marRight w:val="0"/>
              <w:marTop w:val="0"/>
              <w:marBottom w:val="0"/>
              <w:divBdr>
                <w:top w:val="none" w:sz="0" w:space="0" w:color="auto"/>
                <w:left w:val="none" w:sz="0" w:space="0" w:color="auto"/>
                <w:bottom w:val="none" w:sz="0" w:space="0" w:color="auto"/>
                <w:right w:val="none" w:sz="0" w:space="0" w:color="auto"/>
              </w:divBdr>
            </w:div>
            <w:div w:id="2008092478">
              <w:marLeft w:val="0"/>
              <w:marRight w:val="0"/>
              <w:marTop w:val="0"/>
              <w:marBottom w:val="0"/>
              <w:divBdr>
                <w:top w:val="none" w:sz="0" w:space="0" w:color="auto"/>
                <w:left w:val="none" w:sz="0" w:space="0" w:color="auto"/>
                <w:bottom w:val="none" w:sz="0" w:space="0" w:color="auto"/>
                <w:right w:val="none" w:sz="0" w:space="0" w:color="auto"/>
              </w:divBdr>
            </w:div>
            <w:div w:id="1167672027">
              <w:marLeft w:val="0"/>
              <w:marRight w:val="0"/>
              <w:marTop w:val="0"/>
              <w:marBottom w:val="0"/>
              <w:divBdr>
                <w:top w:val="none" w:sz="0" w:space="0" w:color="auto"/>
                <w:left w:val="none" w:sz="0" w:space="0" w:color="auto"/>
                <w:bottom w:val="none" w:sz="0" w:space="0" w:color="auto"/>
                <w:right w:val="none" w:sz="0" w:space="0" w:color="auto"/>
              </w:divBdr>
            </w:div>
            <w:div w:id="1492022313">
              <w:marLeft w:val="0"/>
              <w:marRight w:val="0"/>
              <w:marTop w:val="0"/>
              <w:marBottom w:val="0"/>
              <w:divBdr>
                <w:top w:val="none" w:sz="0" w:space="0" w:color="auto"/>
                <w:left w:val="none" w:sz="0" w:space="0" w:color="auto"/>
                <w:bottom w:val="none" w:sz="0" w:space="0" w:color="auto"/>
                <w:right w:val="none" w:sz="0" w:space="0" w:color="auto"/>
              </w:divBdr>
            </w:div>
            <w:div w:id="1895390659">
              <w:marLeft w:val="0"/>
              <w:marRight w:val="0"/>
              <w:marTop w:val="0"/>
              <w:marBottom w:val="0"/>
              <w:divBdr>
                <w:top w:val="none" w:sz="0" w:space="0" w:color="auto"/>
                <w:left w:val="none" w:sz="0" w:space="0" w:color="auto"/>
                <w:bottom w:val="none" w:sz="0" w:space="0" w:color="auto"/>
                <w:right w:val="none" w:sz="0" w:space="0" w:color="auto"/>
              </w:divBdr>
            </w:div>
            <w:div w:id="444740352">
              <w:marLeft w:val="0"/>
              <w:marRight w:val="0"/>
              <w:marTop w:val="0"/>
              <w:marBottom w:val="0"/>
              <w:divBdr>
                <w:top w:val="none" w:sz="0" w:space="0" w:color="auto"/>
                <w:left w:val="none" w:sz="0" w:space="0" w:color="auto"/>
                <w:bottom w:val="none" w:sz="0" w:space="0" w:color="auto"/>
                <w:right w:val="none" w:sz="0" w:space="0" w:color="auto"/>
              </w:divBdr>
            </w:div>
            <w:div w:id="602105745">
              <w:marLeft w:val="0"/>
              <w:marRight w:val="0"/>
              <w:marTop w:val="0"/>
              <w:marBottom w:val="0"/>
              <w:divBdr>
                <w:top w:val="none" w:sz="0" w:space="0" w:color="auto"/>
                <w:left w:val="none" w:sz="0" w:space="0" w:color="auto"/>
                <w:bottom w:val="none" w:sz="0" w:space="0" w:color="auto"/>
                <w:right w:val="none" w:sz="0" w:space="0" w:color="auto"/>
              </w:divBdr>
            </w:div>
            <w:div w:id="1007364355">
              <w:marLeft w:val="0"/>
              <w:marRight w:val="0"/>
              <w:marTop w:val="0"/>
              <w:marBottom w:val="0"/>
              <w:divBdr>
                <w:top w:val="none" w:sz="0" w:space="0" w:color="auto"/>
                <w:left w:val="none" w:sz="0" w:space="0" w:color="auto"/>
                <w:bottom w:val="none" w:sz="0" w:space="0" w:color="auto"/>
                <w:right w:val="none" w:sz="0" w:space="0" w:color="auto"/>
              </w:divBdr>
            </w:div>
            <w:div w:id="1817870229">
              <w:marLeft w:val="0"/>
              <w:marRight w:val="0"/>
              <w:marTop w:val="0"/>
              <w:marBottom w:val="0"/>
              <w:divBdr>
                <w:top w:val="none" w:sz="0" w:space="0" w:color="auto"/>
                <w:left w:val="none" w:sz="0" w:space="0" w:color="auto"/>
                <w:bottom w:val="none" w:sz="0" w:space="0" w:color="auto"/>
                <w:right w:val="none" w:sz="0" w:space="0" w:color="auto"/>
              </w:divBdr>
            </w:div>
            <w:div w:id="414743531">
              <w:marLeft w:val="0"/>
              <w:marRight w:val="0"/>
              <w:marTop w:val="0"/>
              <w:marBottom w:val="0"/>
              <w:divBdr>
                <w:top w:val="none" w:sz="0" w:space="0" w:color="auto"/>
                <w:left w:val="none" w:sz="0" w:space="0" w:color="auto"/>
                <w:bottom w:val="none" w:sz="0" w:space="0" w:color="auto"/>
                <w:right w:val="none" w:sz="0" w:space="0" w:color="auto"/>
              </w:divBdr>
            </w:div>
            <w:div w:id="542600531">
              <w:marLeft w:val="0"/>
              <w:marRight w:val="0"/>
              <w:marTop w:val="0"/>
              <w:marBottom w:val="0"/>
              <w:divBdr>
                <w:top w:val="none" w:sz="0" w:space="0" w:color="auto"/>
                <w:left w:val="none" w:sz="0" w:space="0" w:color="auto"/>
                <w:bottom w:val="none" w:sz="0" w:space="0" w:color="auto"/>
                <w:right w:val="none" w:sz="0" w:space="0" w:color="auto"/>
              </w:divBdr>
            </w:div>
            <w:div w:id="707679539">
              <w:marLeft w:val="0"/>
              <w:marRight w:val="0"/>
              <w:marTop w:val="0"/>
              <w:marBottom w:val="0"/>
              <w:divBdr>
                <w:top w:val="none" w:sz="0" w:space="0" w:color="auto"/>
                <w:left w:val="none" w:sz="0" w:space="0" w:color="auto"/>
                <w:bottom w:val="none" w:sz="0" w:space="0" w:color="auto"/>
                <w:right w:val="none" w:sz="0" w:space="0" w:color="auto"/>
              </w:divBdr>
            </w:div>
            <w:div w:id="605160507">
              <w:marLeft w:val="0"/>
              <w:marRight w:val="0"/>
              <w:marTop w:val="0"/>
              <w:marBottom w:val="0"/>
              <w:divBdr>
                <w:top w:val="none" w:sz="0" w:space="0" w:color="auto"/>
                <w:left w:val="none" w:sz="0" w:space="0" w:color="auto"/>
                <w:bottom w:val="none" w:sz="0" w:space="0" w:color="auto"/>
                <w:right w:val="none" w:sz="0" w:space="0" w:color="auto"/>
              </w:divBdr>
            </w:div>
            <w:div w:id="1487429891">
              <w:marLeft w:val="0"/>
              <w:marRight w:val="0"/>
              <w:marTop w:val="0"/>
              <w:marBottom w:val="0"/>
              <w:divBdr>
                <w:top w:val="none" w:sz="0" w:space="0" w:color="auto"/>
                <w:left w:val="none" w:sz="0" w:space="0" w:color="auto"/>
                <w:bottom w:val="none" w:sz="0" w:space="0" w:color="auto"/>
                <w:right w:val="none" w:sz="0" w:space="0" w:color="auto"/>
              </w:divBdr>
            </w:div>
            <w:div w:id="1601523494">
              <w:marLeft w:val="0"/>
              <w:marRight w:val="0"/>
              <w:marTop w:val="0"/>
              <w:marBottom w:val="0"/>
              <w:divBdr>
                <w:top w:val="none" w:sz="0" w:space="0" w:color="auto"/>
                <w:left w:val="none" w:sz="0" w:space="0" w:color="auto"/>
                <w:bottom w:val="none" w:sz="0" w:space="0" w:color="auto"/>
                <w:right w:val="none" w:sz="0" w:space="0" w:color="auto"/>
              </w:divBdr>
            </w:div>
            <w:div w:id="3941492">
              <w:marLeft w:val="0"/>
              <w:marRight w:val="0"/>
              <w:marTop w:val="0"/>
              <w:marBottom w:val="0"/>
              <w:divBdr>
                <w:top w:val="none" w:sz="0" w:space="0" w:color="auto"/>
                <w:left w:val="none" w:sz="0" w:space="0" w:color="auto"/>
                <w:bottom w:val="none" w:sz="0" w:space="0" w:color="auto"/>
                <w:right w:val="none" w:sz="0" w:space="0" w:color="auto"/>
              </w:divBdr>
            </w:div>
            <w:div w:id="2142531516">
              <w:marLeft w:val="0"/>
              <w:marRight w:val="0"/>
              <w:marTop w:val="0"/>
              <w:marBottom w:val="0"/>
              <w:divBdr>
                <w:top w:val="none" w:sz="0" w:space="0" w:color="auto"/>
                <w:left w:val="none" w:sz="0" w:space="0" w:color="auto"/>
                <w:bottom w:val="none" w:sz="0" w:space="0" w:color="auto"/>
                <w:right w:val="none" w:sz="0" w:space="0" w:color="auto"/>
              </w:divBdr>
            </w:div>
            <w:div w:id="46932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95214">
      <w:bodyDiv w:val="1"/>
      <w:marLeft w:val="0"/>
      <w:marRight w:val="0"/>
      <w:marTop w:val="0"/>
      <w:marBottom w:val="0"/>
      <w:divBdr>
        <w:top w:val="none" w:sz="0" w:space="0" w:color="auto"/>
        <w:left w:val="none" w:sz="0" w:space="0" w:color="auto"/>
        <w:bottom w:val="none" w:sz="0" w:space="0" w:color="auto"/>
        <w:right w:val="none" w:sz="0" w:space="0" w:color="auto"/>
      </w:divBdr>
      <w:divsChild>
        <w:div w:id="1290163776">
          <w:marLeft w:val="480"/>
          <w:marRight w:val="0"/>
          <w:marTop w:val="0"/>
          <w:marBottom w:val="0"/>
          <w:divBdr>
            <w:top w:val="none" w:sz="0" w:space="0" w:color="auto"/>
            <w:left w:val="none" w:sz="0" w:space="0" w:color="auto"/>
            <w:bottom w:val="none" w:sz="0" w:space="0" w:color="auto"/>
            <w:right w:val="none" w:sz="0" w:space="0" w:color="auto"/>
          </w:divBdr>
          <w:divsChild>
            <w:div w:id="282350573">
              <w:marLeft w:val="0"/>
              <w:marRight w:val="0"/>
              <w:marTop w:val="0"/>
              <w:marBottom w:val="0"/>
              <w:divBdr>
                <w:top w:val="none" w:sz="0" w:space="0" w:color="auto"/>
                <w:left w:val="none" w:sz="0" w:space="0" w:color="auto"/>
                <w:bottom w:val="none" w:sz="0" w:space="0" w:color="auto"/>
                <w:right w:val="none" w:sz="0" w:space="0" w:color="auto"/>
              </w:divBdr>
            </w:div>
            <w:div w:id="1040743886">
              <w:marLeft w:val="0"/>
              <w:marRight w:val="0"/>
              <w:marTop w:val="0"/>
              <w:marBottom w:val="0"/>
              <w:divBdr>
                <w:top w:val="none" w:sz="0" w:space="0" w:color="auto"/>
                <w:left w:val="none" w:sz="0" w:space="0" w:color="auto"/>
                <w:bottom w:val="none" w:sz="0" w:space="0" w:color="auto"/>
                <w:right w:val="none" w:sz="0" w:space="0" w:color="auto"/>
              </w:divBdr>
            </w:div>
            <w:div w:id="2124493445">
              <w:marLeft w:val="0"/>
              <w:marRight w:val="0"/>
              <w:marTop w:val="0"/>
              <w:marBottom w:val="0"/>
              <w:divBdr>
                <w:top w:val="none" w:sz="0" w:space="0" w:color="auto"/>
                <w:left w:val="none" w:sz="0" w:space="0" w:color="auto"/>
                <w:bottom w:val="none" w:sz="0" w:space="0" w:color="auto"/>
                <w:right w:val="none" w:sz="0" w:space="0" w:color="auto"/>
              </w:divBdr>
            </w:div>
            <w:div w:id="550314315">
              <w:marLeft w:val="0"/>
              <w:marRight w:val="0"/>
              <w:marTop w:val="0"/>
              <w:marBottom w:val="0"/>
              <w:divBdr>
                <w:top w:val="none" w:sz="0" w:space="0" w:color="auto"/>
                <w:left w:val="none" w:sz="0" w:space="0" w:color="auto"/>
                <w:bottom w:val="none" w:sz="0" w:space="0" w:color="auto"/>
                <w:right w:val="none" w:sz="0" w:space="0" w:color="auto"/>
              </w:divBdr>
            </w:div>
            <w:div w:id="1244023734">
              <w:marLeft w:val="0"/>
              <w:marRight w:val="0"/>
              <w:marTop w:val="0"/>
              <w:marBottom w:val="0"/>
              <w:divBdr>
                <w:top w:val="none" w:sz="0" w:space="0" w:color="auto"/>
                <w:left w:val="none" w:sz="0" w:space="0" w:color="auto"/>
                <w:bottom w:val="none" w:sz="0" w:space="0" w:color="auto"/>
                <w:right w:val="none" w:sz="0" w:space="0" w:color="auto"/>
              </w:divBdr>
            </w:div>
            <w:div w:id="897009762">
              <w:marLeft w:val="0"/>
              <w:marRight w:val="0"/>
              <w:marTop w:val="0"/>
              <w:marBottom w:val="0"/>
              <w:divBdr>
                <w:top w:val="none" w:sz="0" w:space="0" w:color="auto"/>
                <w:left w:val="none" w:sz="0" w:space="0" w:color="auto"/>
                <w:bottom w:val="none" w:sz="0" w:space="0" w:color="auto"/>
                <w:right w:val="none" w:sz="0" w:space="0" w:color="auto"/>
              </w:divBdr>
            </w:div>
            <w:div w:id="63727575">
              <w:marLeft w:val="0"/>
              <w:marRight w:val="0"/>
              <w:marTop w:val="0"/>
              <w:marBottom w:val="0"/>
              <w:divBdr>
                <w:top w:val="none" w:sz="0" w:space="0" w:color="auto"/>
                <w:left w:val="none" w:sz="0" w:space="0" w:color="auto"/>
                <w:bottom w:val="none" w:sz="0" w:space="0" w:color="auto"/>
                <w:right w:val="none" w:sz="0" w:space="0" w:color="auto"/>
              </w:divBdr>
            </w:div>
            <w:div w:id="1277101878">
              <w:marLeft w:val="0"/>
              <w:marRight w:val="0"/>
              <w:marTop w:val="0"/>
              <w:marBottom w:val="0"/>
              <w:divBdr>
                <w:top w:val="none" w:sz="0" w:space="0" w:color="auto"/>
                <w:left w:val="none" w:sz="0" w:space="0" w:color="auto"/>
                <w:bottom w:val="none" w:sz="0" w:space="0" w:color="auto"/>
                <w:right w:val="none" w:sz="0" w:space="0" w:color="auto"/>
              </w:divBdr>
            </w:div>
            <w:div w:id="873426935">
              <w:marLeft w:val="0"/>
              <w:marRight w:val="0"/>
              <w:marTop w:val="0"/>
              <w:marBottom w:val="0"/>
              <w:divBdr>
                <w:top w:val="none" w:sz="0" w:space="0" w:color="auto"/>
                <w:left w:val="none" w:sz="0" w:space="0" w:color="auto"/>
                <w:bottom w:val="none" w:sz="0" w:space="0" w:color="auto"/>
                <w:right w:val="none" w:sz="0" w:space="0" w:color="auto"/>
              </w:divBdr>
            </w:div>
            <w:div w:id="138496068">
              <w:marLeft w:val="0"/>
              <w:marRight w:val="0"/>
              <w:marTop w:val="0"/>
              <w:marBottom w:val="0"/>
              <w:divBdr>
                <w:top w:val="none" w:sz="0" w:space="0" w:color="auto"/>
                <w:left w:val="none" w:sz="0" w:space="0" w:color="auto"/>
                <w:bottom w:val="none" w:sz="0" w:space="0" w:color="auto"/>
                <w:right w:val="none" w:sz="0" w:space="0" w:color="auto"/>
              </w:divBdr>
            </w:div>
            <w:div w:id="1697535595">
              <w:marLeft w:val="0"/>
              <w:marRight w:val="0"/>
              <w:marTop w:val="0"/>
              <w:marBottom w:val="0"/>
              <w:divBdr>
                <w:top w:val="none" w:sz="0" w:space="0" w:color="auto"/>
                <w:left w:val="none" w:sz="0" w:space="0" w:color="auto"/>
                <w:bottom w:val="none" w:sz="0" w:space="0" w:color="auto"/>
                <w:right w:val="none" w:sz="0" w:space="0" w:color="auto"/>
              </w:divBdr>
            </w:div>
            <w:div w:id="1470509662">
              <w:marLeft w:val="0"/>
              <w:marRight w:val="0"/>
              <w:marTop w:val="0"/>
              <w:marBottom w:val="0"/>
              <w:divBdr>
                <w:top w:val="none" w:sz="0" w:space="0" w:color="auto"/>
                <w:left w:val="none" w:sz="0" w:space="0" w:color="auto"/>
                <w:bottom w:val="none" w:sz="0" w:space="0" w:color="auto"/>
                <w:right w:val="none" w:sz="0" w:space="0" w:color="auto"/>
              </w:divBdr>
            </w:div>
            <w:div w:id="1269583495">
              <w:marLeft w:val="0"/>
              <w:marRight w:val="0"/>
              <w:marTop w:val="0"/>
              <w:marBottom w:val="0"/>
              <w:divBdr>
                <w:top w:val="none" w:sz="0" w:space="0" w:color="auto"/>
                <w:left w:val="none" w:sz="0" w:space="0" w:color="auto"/>
                <w:bottom w:val="none" w:sz="0" w:space="0" w:color="auto"/>
                <w:right w:val="none" w:sz="0" w:space="0" w:color="auto"/>
              </w:divBdr>
            </w:div>
            <w:div w:id="739787448">
              <w:marLeft w:val="0"/>
              <w:marRight w:val="0"/>
              <w:marTop w:val="0"/>
              <w:marBottom w:val="0"/>
              <w:divBdr>
                <w:top w:val="none" w:sz="0" w:space="0" w:color="auto"/>
                <w:left w:val="none" w:sz="0" w:space="0" w:color="auto"/>
                <w:bottom w:val="none" w:sz="0" w:space="0" w:color="auto"/>
                <w:right w:val="none" w:sz="0" w:space="0" w:color="auto"/>
              </w:divBdr>
            </w:div>
            <w:div w:id="756368118">
              <w:marLeft w:val="0"/>
              <w:marRight w:val="0"/>
              <w:marTop w:val="0"/>
              <w:marBottom w:val="0"/>
              <w:divBdr>
                <w:top w:val="none" w:sz="0" w:space="0" w:color="auto"/>
                <w:left w:val="none" w:sz="0" w:space="0" w:color="auto"/>
                <w:bottom w:val="none" w:sz="0" w:space="0" w:color="auto"/>
                <w:right w:val="none" w:sz="0" w:space="0" w:color="auto"/>
              </w:divBdr>
            </w:div>
            <w:div w:id="1764372521">
              <w:marLeft w:val="0"/>
              <w:marRight w:val="0"/>
              <w:marTop w:val="0"/>
              <w:marBottom w:val="0"/>
              <w:divBdr>
                <w:top w:val="none" w:sz="0" w:space="0" w:color="auto"/>
                <w:left w:val="none" w:sz="0" w:space="0" w:color="auto"/>
                <w:bottom w:val="none" w:sz="0" w:space="0" w:color="auto"/>
                <w:right w:val="none" w:sz="0" w:space="0" w:color="auto"/>
              </w:divBdr>
            </w:div>
            <w:div w:id="619535397">
              <w:marLeft w:val="0"/>
              <w:marRight w:val="0"/>
              <w:marTop w:val="0"/>
              <w:marBottom w:val="0"/>
              <w:divBdr>
                <w:top w:val="none" w:sz="0" w:space="0" w:color="auto"/>
                <w:left w:val="none" w:sz="0" w:space="0" w:color="auto"/>
                <w:bottom w:val="none" w:sz="0" w:space="0" w:color="auto"/>
                <w:right w:val="none" w:sz="0" w:space="0" w:color="auto"/>
              </w:divBdr>
            </w:div>
            <w:div w:id="584530154">
              <w:marLeft w:val="0"/>
              <w:marRight w:val="0"/>
              <w:marTop w:val="0"/>
              <w:marBottom w:val="0"/>
              <w:divBdr>
                <w:top w:val="none" w:sz="0" w:space="0" w:color="auto"/>
                <w:left w:val="none" w:sz="0" w:space="0" w:color="auto"/>
                <w:bottom w:val="none" w:sz="0" w:space="0" w:color="auto"/>
                <w:right w:val="none" w:sz="0" w:space="0" w:color="auto"/>
              </w:divBdr>
            </w:div>
            <w:div w:id="176505209">
              <w:marLeft w:val="0"/>
              <w:marRight w:val="0"/>
              <w:marTop w:val="0"/>
              <w:marBottom w:val="0"/>
              <w:divBdr>
                <w:top w:val="none" w:sz="0" w:space="0" w:color="auto"/>
                <w:left w:val="none" w:sz="0" w:space="0" w:color="auto"/>
                <w:bottom w:val="none" w:sz="0" w:space="0" w:color="auto"/>
                <w:right w:val="none" w:sz="0" w:space="0" w:color="auto"/>
              </w:divBdr>
            </w:div>
            <w:div w:id="1475953112">
              <w:marLeft w:val="0"/>
              <w:marRight w:val="0"/>
              <w:marTop w:val="0"/>
              <w:marBottom w:val="0"/>
              <w:divBdr>
                <w:top w:val="none" w:sz="0" w:space="0" w:color="auto"/>
                <w:left w:val="none" w:sz="0" w:space="0" w:color="auto"/>
                <w:bottom w:val="none" w:sz="0" w:space="0" w:color="auto"/>
                <w:right w:val="none" w:sz="0" w:space="0" w:color="auto"/>
              </w:divBdr>
            </w:div>
            <w:div w:id="417601108">
              <w:marLeft w:val="0"/>
              <w:marRight w:val="0"/>
              <w:marTop w:val="0"/>
              <w:marBottom w:val="0"/>
              <w:divBdr>
                <w:top w:val="none" w:sz="0" w:space="0" w:color="auto"/>
                <w:left w:val="none" w:sz="0" w:space="0" w:color="auto"/>
                <w:bottom w:val="none" w:sz="0" w:space="0" w:color="auto"/>
                <w:right w:val="none" w:sz="0" w:space="0" w:color="auto"/>
              </w:divBdr>
            </w:div>
            <w:div w:id="449738521">
              <w:marLeft w:val="0"/>
              <w:marRight w:val="0"/>
              <w:marTop w:val="0"/>
              <w:marBottom w:val="0"/>
              <w:divBdr>
                <w:top w:val="none" w:sz="0" w:space="0" w:color="auto"/>
                <w:left w:val="none" w:sz="0" w:space="0" w:color="auto"/>
                <w:bottom w:val="none" w:sz="0" w:space="0" w:color="auto"/>
                <w:right w:val="none" w:sz="0" w:space="0" w:color="auto"/>
              </w:divBdr>
            </w:div>
            <w:div w:id="450167301">
              <w:marLeft w:val="0"/>
              <w:marRight w:val="0"/>
              <w:marTop w:val="0"/>
              <w:marBottom w:val="0"/>
              <w:divBdr>
                <w:top w:val="none" w:sz="0" w:space="0" w:color="auto"/>
                <w:left w:val="none" w:sz="0" w:space="0" w:color="auto"/>
                <w:bottom w:val="none" w:sz="0" w:space="0" w:color="auto"/>
                <w:right w:val="none" w:sz="0" w:space="0" w:color="auto"/>
              </w:divBdr>
            </w:div>
            <w:div w:id="190533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cpp.13551" TargetMode="External"/><Relationship Id="rId13" Type="http://schemas.openxmlformats.org/officeDocument/2006/relationships/hyperlink" Target="https://doi.org/10.1016/S0140-6736(21)01541-5" TargetMode="External"/><Relationship Id="rId18" Type="http://schemas.openxmlformats.org/officeDocument/2006/relationships/hyperlink" Target="https://doi.org/10.1177/0898264309358617" TargetMode="External"/><Relationship Id="rId26" Type="http://schemas.openxmlformats.org/officeDocument/2006/relationships/hyperlink" Target="https://doi.org/10.1007/s10803-014-2199-2" TargetMode="External"/><Relationship Id="rId3" Type="http://schemas.openxmlformats.org/officeDocument/2006/relationships/webSettings" Target="webSettings.xml"/><Relationship Id="rId21" Type="http://schemas.openxmlformats.org/officeDocument/2006/relationships/hyperlink" Target="https://doi.org/10.1002/aur.2517" TargetMode="External"/><Relationship Id="rId7" Type="http://schemas.openxmlformats.org/officeDocument/2006/relationships/hyperlink" Target="https://doi.org/10.1177/13623613231200297" TargetMode="External"/><Relationship Id="rId12" Type="http://schemas.openxmlformats.org/officeDocument/2006/relationships/hyperlink" Target="https://doi.org/10.1016/S1474-4422(20)30034-X" TargetMode="External"/><Relationship Id="rId17" Type="http://schemas.openxmlformats.org/officeDocument/2006/relationships/hyperlink" Target="https://doi.org/10.1097/00004583-199604000-00019" TargetMode="External"/><Relationship Id="rId25" Type="http://schemas.openxmlformats.org/officeDocument/2006/relationships/hyperlink" Target="https://doi.org/10.1073/pnas.2015762117" TargetMode="External"/><Relationship Id="rId2" Type="http://schemas.openxmlformats.org/officeDocument/2006/relationships/settings" Target="settings.xml"/><Relationship Id="rId16" Type="http://schemas.openxmlformats.org/officeDocument/2006/relationships/hyperlink" Target="https://doi.org/10.1111/jcpp.13180" TargetMode="External"/><Relationship Id="rId20" Type="http://schemas.openxmlformats.org/officeDocument/2006/relationships/hyperlink" Target="https://doi.org/10.1352/1944-7558-128.2.164"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177/1362361311435155" TargetMode="External"/><Relationship Id="rId11" Type="http://schemas.openxmlformats.org/officeDocument/2006/relationships/hyperlink" Target="https://doi.org/10.1093/ije/dyp261" TargetMode="External"/><Relationship Id="rId24" Type="http://schemas.openxmlformats.org/officeDocument/2006/relationships/hyperlink" Target="https://doi.org/10.1177/0022466916632495" TargetMode="External"/><Relationship Id="rId5" Type="http://schemas.openxmlformats.org/officeDocument/2006/relationships/hyperlink" Target="https://doi.org/10.1002/dev.22095" TargetMode="External"/><Relationship Id="rId15" Type="http://schemas.openxmlformats.org/officeDocument/2006/relationships/hyperlink" Target="https://doi.org/10.1007/s10803-020-04646-6" TargetMode="External"/><Relationship Id="rId23" Type="http://schemas.openxmlformats.org/officeDocument/2006/relationships/hyperlink" Target="https://doi.org/10.1177/13623613221132108" TargetMode="External"/><Relationship Id="rId28" Type="http://schemas.openxmlformats.org/officeDocument/2006/relationships/fontTable" Target="fontTable.xml"/><Relationship Id="rId10" Type="http://schemas.openxmlformats.org/officeDocument/2006/relationships/hyperlink" Target="https://doi.org/10.1177/00144029211062589" TargetMode="External"/><Relationship Id="rId19" Type="http://schemas.openxmlformats.org/officeDocument/2006/relationships/hyperlink" Target="https://doi.org/10.1002/aur.2879" TargetMode="External"/><Relationship Id="rId4" Type="http://schemas.openxmlformats.org/officeDocument/2006/relationships/hyperlink" Target="https://doi.org/10.2105/AJPH.2012.300750" TargetMode="External"/><Relationship Id="rId9" Type="http://schemas.openxmlformats.org/officeDocument/2006/relationships/hyperlink" Target="https://doi.org/10.1007/s10802-020-00628-5" TargetMode="External"/><Relationship Id="rId14" Type="http://schemas.openxmlformats.org/officeDocument/2006/relationships/hyperlink" Target="https://doi.org/10.1177/1362361320919246" TargetMode="External"/><Relationship Id="rId22" Type="http://schemas.openxmlformats.org/officeDocument/2006/relationships/hyperlink" Target="https://doi.org/10.1007/s10803-013-2010-9" TargetMode="External"/><Relationship Id="rId27" Type="http://schemas.openxmlformats.org/officeDocument/2006/relationships/hyperlink" Target="https://doi.org/10.1177/1362361316633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o">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7247</Characters>
  <Application>Microsoft Office Word</Application>
  <DocSecurity>0</DocSecurity>
  <Lines>60</Lines>
  <Paragraphs>17</Paragraphs>
  <ScaleCrop>false</ScaleCrop>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M</dc:creator>
  <cp:keywords/>
  <dc:description/>
  <cp:lastModifiedBy>Alycia Halladay</cp:lastModifiedBy>
  <cp:revision>2</cp:revision>
  <dcterms:created xsi:type="dcterms:W3CDTF">2024-10-24T13:30:00Z</dcterms:created>
  <dcterms:modified xsi:type="dcterms:W3CDTF">2024-10-24T13:30:00Z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id="3xcou7dP"/&gt;&lt;style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