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11E6" w14:textId="729BC76B" w:rsidR="00914DB9" w:rsidRPr="00F07A46" w:rsidRDefault="00FD4672" w:rsidP="0014734A">
      <w:pPr>
        <w:pStyle w:val="115linespacing"/>
        <w:spacing w:after="240" w:line="240" w:lineRule="auto"/>
        <w:rPr>
          <w:rFonts w:ascii="Times New Roman" w:eastAsiaTheme="majorEastAsia" w:hAnsi="Times New Roman" w:cs="Times New Roman"/>
          <w:b/>
          <w:bCs/>
          <w:color w:val="000000" w:themeColor="text1"/>
          <w:sz w:val="24"/>
          <w:szCs w:val="24"/>
        </w:rPr>
      </w:pPr>
      <w:r>
        <w:rPr>
          <w:rFonts w:ascii="Times New Roman" w:eastAsiaTheme="majorEastAsia" w:hAnsi="Times New Roman" w:cs="Times New Roman"/>
          <w:b/>
          <w:bCs/>
          <w:color w:val="000000" w:themeColor="text1"/>
          <w:sz w:val="24"/>
          <w:szCs w:val="24"/>
        </w:rPr>
        <w:t>Supplement to “</w:t>
      </w:r>
      <w:r w:rsidR="00914DB9" w:rsidRPr="00F07A46">
        <w:rPr>
          <w:rFonts w:ascii="Times New Roman" w:eastAsiaTheme="majorEastAsia" w:hAnsi="Times New Roman" w:cs="Times New Roman"/>
          <w:b/>
          <w:bCs/>
          <w:color w:val="000000" w:themeColor="text1"/>
          <w:sz w:val="24"/>
          <w:szCs w:val="24"/>
        </w:rPr>
        <w:t>Effect</w:t>
      </w:r>
      <w:r w:rsidR="005435BA" w:rsidRPr="00F07A46">
        <w:rPr>
          <w:rFonts w:ascii="Times New Roman" w:eastAsiaTheme="majorEastAsia" w:hAnsi="Times New Roman" w:cs="Times New Roman"/>
          <w:b/>
          <w:bCs/>
          <w:color w:val="000000" w:themeColor="text1"/>
          <w:sz w:val="24"/>
          <w:szCs w:val="24"/>
        </w:rPr>
        <w:t>s</w:t>
      </w:r>
      <w:r w:rsidR="00914DB9" w:rsidRPr="00F07A46">
        <w:rPr>
          <w:rFonts w:ascii="Times New Roman" w:eastAsiaTheme="majorEastAsia" w:hAnsi="Times New Roman" w:cs="Times New Roman"/>
          <w:b/>
          <w:bCs/>
          <w:color w:val="000000" w:themeColor="text1"/>
          <w:sz w:val="24"/>
          <w:szCs w:val="24"/>
        </w:rPr>
        <w:t xml:space="preserve"> of the COVID-19 </w:t>
      </w:r>
      <w:r w:rsidR="00CA4701">
        <w:rPr>
          <w:rFonts w:ascii="Times New Roman" w:eastAsiaTheme="majorEastAsia" w:hAnsi="Times New Roman" w:cs="Times New Roman"/>
          <w:b/>
          <w:bCs/>
          <w:color w:val="000000" w:themeColor="text1"/>
          <w:sz w:val="24"/>
          <w:szCs w:val="24"/>
        </w:rPr>
        <w:t>pan</w:t>
      </w:r>
      <w:r w:rsidR="00914DB9" w:rsidRPr="00F07A46">
        <w:rPr>
          <w:rFonts w:ascii="Times New Roman" w:eastAsiaTheme="majorEastAsia" w:hAnsi="Times New Roman" w:cs="Times New Roman"/>
          <w:b/>
          <w:bCs/>
          <w:color w:val="000000" w:themeColor="text1"/>
          <w:sz w:val="24"/>
          <w:szCs w:val="24"/>
        </w:rPr>
        <w:t xml:space="preserve">demic on TB </w:t>
      </w:r>
      <w:r w:rsidR="009E40D0">
        <w:rPr>
          <w:rFonts w:ascii="Times New Roman" w:eastAsiaTheme="majorEastAsia" w:hAnsi="Times New Roman" w:cs="Times New Roman"/>
          <w:b/>
          <w:bCs/>
          <w:color w:val="000000" w:themeColor="text1"/>
          <w:sz w:val="24"/>
          <w:szCs w:val="24"/>
        </w:rPr>
        <w:t>outcomes</w:t>
      </w:r>
      <w:r w:rsidR="009E40D0" w:rsidRPr="00F07A46">
        <w:rPr>
          <w:rFonts w:ascii="Times New Roman" w:eastAsiaTheme="majorEastAsia" w:hAnsi="Times New Roman" w:cs="Times New Roman"/>
          <w:b/>
          <w:bCs/>
          <w:color w:val="000000" w:themeColor="text1"/>
          <w:sz w:val="24"/>
          <w:szCs w:val="24"/>
        </w:rPr>
        <w:t xml:space="preserve"> </w:t>
      </w:r>
      <w:r w:rsidR="00914DB9" w:rsidRPr="00F07A46">
        <w:rPr>
          <w:rFonts w:ascii="Times New Roman" w:eastAsiaTheme="majorEastAsia" w:hAnsi="Times New Roman" w:cs="Times New Roman"/>
          <w:b/>
          <w:bCs/>
          <w:color w:val="000000" w:themeColor="text1"/>
          <w:sz w:val="24"/>
          <w:szCs w:val="24"/>
        </w:rPr>
        <w:t>in the United States: a Bayesian analysis</w:t>
      </w:r>
      <w:r>
        <w:rPr>
          <w:rFonts w:ascii="Times New Roman" w:eastAsiaTheme="majorEastAsia" w:hAnsi="Times New Roman" w:cs="Times New Roman"/>
          <w:b/>
          <w:bCs/>
          <w:color w:val="000000" w:themeColor="text1"/>
          <w:sz w:val="24"/>
          <w:szCs w:val="24"/>
        </w:rPr>
        <w:t>”</w:t>
      </w:r>
    </w:p>
    <w:p w14:paraId="174636AB" w14:textId="77777777" w:rsidR="00FD4672" w:rsidRPr="00DB24D3" w:rsidRDefault="00FD4672" w:rsidP="00FD4672">
      <w:pPr>
        <w:pStyle w:val="Bibliography"/>
        <w:spacing w:beforeLines="40" w:before="96" w:afterLines="40" w:after="96" w:line="276" w:lineRule="auto"/>
        <w:rPr>
          <w:rFonts w:ascii="Times New Roman" w:hAnsi="Times New Roman" w:cs="Times New Roman"/>
          <w:b/>
          <w:bCs/>
          <w:sz w:val="24"/>
          <w:szCs w:val="24"/>
          <w:u w:val="single"/>
        </w:rPr>
      </w:pPr>
      <w:r w:rsidRPr="00DB24D3">
        <w:rPr>
          <w:rFonts w:ascii="Times New Roman" w:hAnsi="Times New Roman" w:cs="Times New Roman"/>
          <w:b/>
          <w:bCs/>
          <w:sz w:val="24"/>
          <w:szCs w:val="24"/>
          <w:u w:val="single"/>
        </w:rPr>
        <w:t xml:space="preserve">Contents </w:t>
      </w:r>
    </w:p>
    <w:p w14:paraId="41704901" w14:textId="4E643BC5" w:rsidR="000C5158" w:rsidRDefault="000C5158" w:rsidP="000C5158">
      <w:pPr>
        <w:pStyle w:val="ListParagraph"/>
        <w:numPr>
          <w:ilvl w:val="0"/>
          <w:numId w:val="6"/>
        </w:numPr>
        <w:spacing w:before="240" w:after="240" w:line="360" w:lineRule="auto"/>
        <w:rPr>
          <w:rFonts w:ascii="Times New Roman" w:hAnsi="Times New Roman" w:cs="Times New Roman"/>
          <w:bCs/>
        </w:rPr>
      </w:pPr>
      <w:r>
        <w:rPr>
          <w:rFonts w:ascii="Times New Roman" w:hAnsi="Times New Roman" w:cs="Times New Roman"/>
          <w:bCs/>
        </w:rPr>
        <w:t>MITUS model description</w:t>
      </w:r>
    </w:p>
    <w:p w14:paraId="57492185" w14:textId="0E57A24D" w:rsidR="000C5158" w:rsidRDefault="000C5158" w:rsidP="000C5158">
      <w:pPr>
        <w:pStyle w:val="ListParagraph"/>
        <w:numPr>
          <w:ilvl w:val="1"/>
          <w:numId w:val="6"/>
        </w:numPr>
        <w:spacing w:before="240" w:after="240" w:line="360" w:lineRule="auto"/>
        <w:rPr>
          <w:rFonts w:ascii="Times New Roman" w:hAnsi="Times New Roman" w:cs="Times New Roman"/>
          <w:bCs/>
        </w:rPr>
      </w:pPr>
      <w:r>
        <w:rPr>
          <w:rFonts w:ascii="Times New Roman" w:hAnsi="Times New Roman" w:cs="Times New Roman"/>
          <w:bCs/>
        </w:rPr>
        <w:t>Model structure</w:t>
      </w:r>
    </w:p>
    <w:p w14:paraId="39F9E769" w14:textId="05BBA7AB" w:rsidR="000C5158" w:rsidRPr="000C5158" w:rsidRDefault="000C5158" w:rsidP="000C5158">
      <w:pPr>
        <w:pStyle w:val="ListParagraph"/>
        <w:numPr>
          <w:ilvl w:val="2"/>
          <w:numId w:val="6"/>
        </w:numPr>
        <w:spacing w:line="360" w:lineRule="auto"/>
        <w:rPr>
          <w:rFonts w:ascii="Times New Roman" w:eastAsia="Times New Roman" w:hAnsi="Times New Roman" w:cs="Times New Roman"/>
        </w:rPr>
      </w:pPr>
      <w:r w:rsidRPr="000C5158">
        <w:rPr>
          <w:rFonts w:ascii="Times New Roman" w:eastAsia="Times New Roman" w:hAnsi="Times New Roman" w:cs="Times New Roman"/>
        </w:rPr>
        <w:t xml:space="preserve">Figure </w:t>
      </w:r>
      <w:r>
        <w:rPr>
          <w:rFonts w:ascii="Times New Roman" w:eastAsia="Times New Roman" w:hAnsi="Times New Roman" w:cs="Times New Roman"/>
        </w:rPr>
        <w:t>S</w:t>
      </w:r>
      <w:r w:rsidRPr="000C5158">
        <w:rPr>
          <w:rFonts w:ascii="Times New Roman" w:eastAsia="Times New Roman" w:hAnsi="Times New Roman" w:cs="Times New Roman"/>
        </w:rPr>
        <w:t xml:space="preserve">1: Structural schematic of the MITUS model, showing model compartments and transitions. </w:t>
      </w:r>
    </w:p>
    <w:p w14:paraId="5EFDCCF9" w14:textId="471EC529" w:rsidR="000C5158" w:rsidRDefault="000C5158" w:rsidP="000C5158">
      <w:pPr>
        <w:pStyle w:val="ListParagraph"/>
        <w:numPr>
          <w:ilvl w:val="1"/>
          <w:numId w:val="6"/>
        </w:numPr>
        <w:spacing w:before="240" w:after="240" w:line="360" w:lineRule="auto"/>
        <w:rPr>
          <w:rFonts w:ascii="Times New Roman" w:hAnsi="Times New Roman" w:cs="Times New Roman"/>
          <w:bCs/>
        </w:rPr>
      </w:pPr>
      <w:r>
        <w:rPr>
          <w:rFonts w:ascii="Times New Roman" w:hAnsi="Times New Roman" w:cs="Times New Roman"/>
          <w:bCs/>
        </w:rPr>
        <w:t>Key model assumptions</w:t>
      </w:r>
    </w:p>
    <w:p w14:paraId="0342049D" w14:textId="77777777" w:rsidR="000C5158" w:rsidRDefault="000C5158" w:rsidP="000C5158">
      <w:pPr>
        <w:pStyle w:val="ListParagraph"/>
        <w:numPr>
          <w:ilvl w:val="1"/>
          <w:numId w:val="6"/>
        </w:numPr>
        <w:spacing w:before="240" w:after="240" w:line="360" w:lineRule="auto"/>
        <w:rPr>
          <w:rFonts w:ascii="Times New Roman" w:hAnsi="Times New Roman" w:cs="Times New Roman"/>
          <w:bCs/>
        </w:rPr>
      </w:pPr>
      <w:r>
        <w:rPr>
          <w:rFonts w:ascii="Times New Roman" w:hAnsi="Times New Roman" w:cs="Times New Roman"/>
          <w:bCs/>
        </w:rPr>
        <w:t>Initial model calibration</w:t>
      </w:r>
    </w:p>
    <w:p w14:paraId="0DFDC2B9" w14:textId="77777777" w:rsidR="000C5158" w:rsidRPr="000C5158" w:rsidRDefault="000C5158" w:rsidP="000C5158">
      <w:pPr>
        <w:pStyle w:val="ListParagraph"/>
        <w:numPr>
          <w:ilvl w:val="1"/>
          <w:numId w:val="6"/>
        </w:numPr>
        <w:spacing w:before="240" w:after="240" w:line="360" w:lineRule="auto"/>
        <w:rPr>
          <w:rFonts w:ascii="Times New Roman" w:hAnsi="Times New Roman" w:cs="Times New Roman"/>
        </w:rPr>
      </w:pPr>
      <w:r w:rsidRPr="000C5158">
        <w:rPr>
          <w:rFonts w:ascii="Times New Roman" w:eastAsia="Times New Roman" w:hAnsi="Times New Roman" w:cs="Times New Roman"/>
        </w:rPr>
        <w:t>Secondary model calibration to include COVID-19 changes</w:t>
      </w:r>
    </w:p>
    <w:p w14:paraId="579E9234" w14:textId="588BA0D2" w:rsidR="000C5158" w:rsidRPr="00CA42F9" w:rsidRDefault="000C5158" w:rsidP="000C5158">
      <w:pPr>
        <w:pStyle w:val="ListParagraph"/>
        <w:numPr>
          <w:ilvl w:val="2"/>
          <w:numId w:val="6"/>
        </w:numPr>
        <w:spacing w:before="240" w:after="240" w:line="360" w:lineRule="auto"/>
        <w:rPr>
          <w:rFonts w:ascii="Times New Roman" w:hAnsi="Times New Roman" w:cs="Times New Roman"/>
        </w:rPr>
      </w:pPr>
      <w:r w:rsidRPr="000C5158">
        <w:rPr>
          <w:rFonts w:ascii="Times New Roman" w:hAnsi="Times New Roman" w:cs="Times New Roman"/>
          <w:bCs/>
        </w:rPr>
        <w:t xml:space="preserve">Table </w:t>
      </w:r>
      <w:r w:rsidR="008B6EED">
        <w:rPr>
          <w:rFonts w:ascii="Times New Roman" w:hAnsi="Times New Roman" w:cs="Times New Roman"/>
          <w:bCs/>
        </w:rPr>
        <w:t>S</w:t>
      </w:r>
      <w:r w:rsidRPr="000C5158">
        <w:rPr>
          <w:rFonts w:ascii="Times New Roman" w:hAnsi="Times New Roman" w:cs="Times New Roman"/>
          <w:bCs/>
        </w:rPr>
        <w:t>1: Calibrated baseline and COVID-19 mechanism adjustment parameters used in the MITUS transmission model.</w:t>
      </w:r>
    </w:p>
    <w:p w14:paraId="419DFD0F" w14:textId="2549DD46" w:rsidR="00CA42F9" w:rsidRDefault="00CA42F9" w:rsidP="00CA42F9">
      <w:pPr>
        <w:pStyle w:val="ListParagraph"/>
        <w:numPr>
          <w:ilvl w:val="2"/>
          <w:numId w:val="6"/>
        </w:numPr>
        <w:spacing w:line="276" w:lineRule="auto"/>
        <w:rPr>
          <w:rFonts w:ascii="Times New Roman" w:eastAsia="Times New Roman" w:hAnsi="Times New Roman" w:cs="Times New Roman"/>
        </w:rPr>
      </w:pPr>
      <w:r w:rsidRPr="00CA42F9">
        <w:rPr>
          <w:rFonts w:ascii="Times New Roman" w:eastAsia="Times New Roman" w:hAnsi="Times New Roman" w:cs="Times New Roman"/>
        </w:rPr>
        <w:t xml:space="preserve">Figure S2: Schematic describing the incorporation of the COVID-19 adjustment parameters for the time trend in immigration. </w:t>
      </w:r>
    </w:p>
    <w:p w14:paraId="3214D942" w14:textId="77777777" w:rsidR="00CA42F9" w:rsidRPr="00CA42F9" w:rsidRDefault="00CA42F9" w:rsidP="00CA42F9">
      <w:pPr>
        <w:spacing w:line="276" w:lineRule="auto"/>
        <w:ind w:left="1980"/>
        <w:rPr>
          <w:rFonts w:ascii="Times New Roman" w:eastAsia="Times New Roman" w:hAnsi="Times New Roman" w:cs="Times New Roman"/>
        </w:rPr>
      </w:pPr>
    </w:p>
    <w:p w14:paraId="3BD251F0" w14:textId="3D462337" w:rsidR="004C20AC" w:rsidRDefault="004C20AC" w:rsidP="000C5158">
      <w:pPr>
        <w:pStyle w:val="ListParagraph"/>
        <w:numPr>
          <w:ilvl w:val="0"/>
          <w:numId w:val="6"/>
        </w:numPr>
        <w:spacing w:before="240" w:after="240" w:line="360" w:lineRule="auto"/>
        <w:rPr>
          <w:rFonts w:ascii="Times New Roman" w:hAnsi="Times New Roman" w:cs="Times New Roman"/>
          <w:bCs/>
        </w:rPr>
      </w:pPr>
      <w:r>
        <w:rPr>
          <w:rFonts w:ascii="Times New Roman" w:hAnsi="Times New Roman" w:cs="Times New Roman"/>
          <w:bCs/>
        </w:rPr>
        <w:t>Additional results</w:t>
      </w:r>
    </w:p>
    <w:p w14:paraId="471C9160" w14:textId="55EAD5CA" w:rsidR="003E3043" w:rsidRPr="000978B7" w:rsidRDefault="00FD4672" w:rsidP="004C20AC">
      <w:pPr>
        <w:pStyle w:val="ListParagraph"/>
        <w:numPr>
          <w:ilvl w:val="1"/>
          <w:numId w:val="6"/>
        </w:numPr>
        <w:spacing w:before="240" w:after="240" w:line="360" w:lineRule="auto"/>
        <w:rPr>
          <w:rFonts w:ascii="Times New Roman" w:hAnsi="Times New Roman" w:cs="Times New Roman"/>
          <w:bCs/>
        </w:rPr>
      </w:pPr>
      <w:r w:rsidRPr="003E3043">
        <w:rPr>
          <w:rFonts w:ascii="Times New Roman" w:hAnsi="Times New Roman" w:cs="Times New Roman"/>
          <w:bCs/>
        </w:rPr>
        <w:t>Figure S</w:t>
      </w:r>
      <w:r w:rsidR="00CA42F9">
        <w:rPr>
          <w:rFonts w:ascii="Times New Roman" w:hAnsi="Times New Roman" w:cs="Times New Roman"/>
          <w:bCs/>
        </w:rPr>
        <w:t>3</w:t>
      </w:r>
      <w:r w:rsidRPr="003E3043">
        <w:rPr>
          <w:rFonts w:ascii="Times New Roman" w:hAnsi="Times New Roman" w:cs="Times New Roman"/>
          <w:bCs/>
        </w:rPr>
        <w:t xml:space="preserve">: Comparison of calibration targets and model estimates for the fitted pandemic scenario and no-pandemic counterfactual during 2019–2023. Shaded </w:t>
      </w:r>
      <w:r w:rsidRPr="000978B7">
        <w:rPr>
          <w:rFonts w:ascii="Times New Roman" w:hAnsi="Times New Roman" w:cs="Times New Roman"/>
          <w:bCs/>
        </w:rPr>
        <w:t>areas represent 95% uncertainty intervals.</w:t>
      </w:r>
    </w:p>
    <w:p w14:paraId="0E530F24" w14:textId="21F005E1" w:rsidR="000978B7" w:rsidRDefault="000C5158" w:rsidP="000978B7">
      <w:pPr>
        <w:pStyle w:val="ListParagraph"/>
        <w:numPr>
          <w:ilvl w:val="1"/>
          <w:numId w:val="6"/>
        </w:numPr>
        <w:spacing w:before="240" w:after="240" w:line="360" w:lineRule="auto"/>
        <w:rPr>
          <w:rFonts w:ascii="Times New Roman" w:hAnsi="Times New Roman" w:cs="Times New Roman"/>
          <w:bCs/>
        </w:rPr>
      </w:pPr>
      <w:r w:rsidRPr="000978B7">
        <w:rPr>
          <w:rFonts w:ascii="Times New Roman" w:hAnsi="Times New Roman" w:cs="Times New Roman"/>
          <w:bCs/>
        </w:rPr>
        <w:t>Figure S</w:t>
      </w:r>
      <w:r w:rsidR="00CA42F9">
        <w:rPr>
          <w:rFonts w:ascii="Times New Roman" w:hAnsi="Times New Roman" w:cs="Times New Roman"/>
          <w:bCs/>
        </w:rPr>
        <w:t>4</w:t>
      </w:r>
      <w:r w:rsidRPr="000978B7">
        <w:rPr>
          <w:rFonts w:ascii="Times New Roman" w:hAnsi="Times New Roman" w:cs="Times New Roman"/>
          <w:bCs/>
        </w:rPr>
        <w:t xml:space="preserve">: </w:t>
      </w:r>
      <w:r w:rsidR="004C20AC" w:rsidRPr="000978B7">
        <w:rPr>
          <w:rFonts w:ascii="Times New Roman" w:hAnsi="Times New Roman" w:cs="Times New Roman"/>
          <w:bCs/>
        </w:rPr>
        <w:t>Estimated impact of each examined COVID-19 related mechanism on incident TB infections during 2020–2035.</w:t>
      </w:r>
    </w:p>
    <w:p w14:paraId="3ACF7E04" w14:textId="74ADC7FE" w:rsidR="00E24793" w:rsidRPr="000978B7" w:rsidRDefault="00FD4672" w:rsidP="000978B7">
      <w:pPr>
        <w:pStyle w:val="ListParagraph"/>
        <w:numPr>
          <w:ilvl w:val="1"/>
          <w:numId w:val="6"/>
        </w:numPr>
        <w:spacing w:before="240" w:after="240" w:line="360" w:lineRule="auto"/>
        <w:rPr>
          <w:rFonts w:ascii="Times New Roman" w:hAnsi="Times New Roman" w:cs="Times New Roman"/>
          <w:bCs/>
        </w:rPr>
      </w:pPr>
      <w:r w:rsidRPr="000978B7">
        <w:rPr>
          <w:rFonts w:ascii="Times New Roman" w:hAnsi="Times New Roman" w:cs="Times New Roman"/>
          <w:bCs/>
        </w:rPr>
        <w:t>Figure S</w:t>
      </w:r>
      <w:r w:rsidR="00CA42F9">
        <w:rPr>
          <w:rFonts w:ascii="Times New Roman" w:hAnsi="Times New Roman" w:cs="Times New Roman"/>
          <w:bCs/>
        </w:rPr>
        <w:t>5</w:t>
      </w:r>
      <w:r w:rsidRPr="000978B7">
        <w:rPr>
          <w:rFonts w:ascii="Times New Roman" w:hAnsi="Times New Roman" w:cs="Times New Roman"/>
          <w:bCs/>
        </w:rPr>
        <w:t xml:space="preserve">: Model estimated annual difference in TB outcomes under the fitted pandemic scenario compared with each counterfactual immigration scenario during 2015–2035. </w:t>
      </w:r>
      <w:r w:rsidR="00E24793" w:rsidRPr="000978B7">
        <w:rPr>
          <w:rFonts w:ascii="Times New Roman" w:hAnsi="Times New Roman" w:cs="Times New Roman"/>
          <w:bCs/>
          <w:sz w:val="20"/>
          <w:szCs w:val="20"/>
        </w:rPr>
        <w:br w:type="page"/>
      </w:r>
    </w:p>
    <w:p w14:paraId="232BE9F0" w14:textId="7CCB1B22" w:rsidR="004C20AC" w:rsidRPr="004C20AC" w:rsidRDefault="004C20AC" w:rsidP="004C20AC">
      <w:pPr>
        <w:pStyle w:val="ListParagraph"/>
        <w:numPr>
          <w:ilvl w:val="0"/>
          <w:numId w:val="7"/>
        </w:numPr>
        <w:spacing w:before="100" w:beforeAutospacing="1" w:after="100" w:afterAutospacing="1" w:line="480" w:lineRule="auto"/>
        <w:rPr>
          <w:rFonts w:ascii="Times New Roman" w:eastAsia="Times New Roman" w:hAnsi="Times New Roman" w:cs="Times New Roman"/>
          <w:b/>
          <w:bCs/>
        </w:rPr>
      </w:pPr>
      <w:r w:rsidRPr="004C20AC">
        <w:rPr>
          <w:rFonts w:ascii="Times New Roman" w:eastAsia="Times New Roman" w:hAnsi="Times New Roman" w:cs="Times New Roman"/>
          <w:b/>
          <w:bCs/>
        </w:rPr>
        <w:lastRenderedPageBreak/>
        <w:t>MITUS model description</w:t>
      </w:r>
    </w:p>
    <w:p w14:paraId="66BA52F5" w14:textId="77777777" w:rsidR="004C20AC" w:rsidRPr="006B473E" w:rsidRDefault="004C20AC" w:rsidP="004C20AC">
      <w:pPr>
        <w:spacing w:before="100" w:beforeAutospacing="1" w:after="100" w:afterAutospacing="1" w:line="480" w:lineRule="auto"/>
        <w:rPr>
          <w:rFonts w:ascii="Times New Roman" w:eastAsia="Times New Roman" w:hAnsi="Times New Roman" w:cs="Times New Roman"/>
          <w:b/>
          <w:bCs/>
        </w:rPr>
      </w:pPr>
      <w:r>
        <w:rPr>
          <w:rFonts w:ascii="Times New Roman" w:eastAsia="Times New Roman" w:hAnsi="Times New Roman" w:cs="Times New Roman"/>
          <w:b/>
          <w:bCs/>
        </w:rPr>
        <w:t>Model structure</w:t>
      </w:r>
    </w:p>
    <w:p w14:paraId="150D78BE" w14:textId="77777777" w:rsidR="004C20AC" w:rsidRDefault="004C20AC" w:rsidP="004C20AC">
      <w:pPr>
        <w:spacing w:before="100" w:beforeAutospacing="1" w:after="100" w:afterAutospacing="1" w:line="480" w:lineRule="auto"/>
        <w:rPr>
          <w:rFonts w:ascii="Times New Roman" w:hAnsi="Times New Roman" w:cs="Times New Roman"/>
          <w:color w:val="000000" w:themeColor="text1"/>
        </w:rPr>
      </w:pPr>
      <w:r w:rsidRPr="0070425C">
        <w:rPr>
          <w:rFonts w:ascii="Times New Roman" w:eastAsia="Times New Roman" w:hAnsi="Times New Roman" w:cs="Times New Roman"/>
        </w:rPr>
        <w:t xml:space="preserve">The </w:t>
      </w:r>
      <w:r>
        <w:rPr>
          <w:rFonts w:ascii="Times New Roman" w:eastAsia="Times New Roman" w:hAnsi="Times New Roman" w:cs="Times New Roman"/>
        </w:rPr>
        <w:t>Modeling Interventions for Tuberculosis in the United States (MITUS)</w:t>
      </w:r>
      <w:r w:rsidRPr="0070425C">
        <w:rPr>
          <w:rFonts w:ascii="Times New Roman" w:eastAsia="Times New Roman" w:hAnsi="Times New Roman" w:cs="Times New Roman"/>
        </w:rPr>
        <w:t xml:space="preserve"> model is a deterministic compartmental model of TB. </w:t>
      </w:r>
      <w:r>
        <w:rPr>
          <w:rFonts w:ascii="Times New Roman" w:eastAsia="Times New Roman" w:hAnsi="Times New Roman" w:cs="Times New Roman"/>
        </w:rPr>
        <w:t xml:space="preserve">Figure 1 presents the schematic of the MITUS model structure. </w:t>
      </w:r>
      <w:r w:rsidRPr="0070425C">
        <w:rPr>
          <w:rFonts w:ascii="Times New Roman" w:eastAsia="Times New Roman" w:hAnsi="Times New Roman" w:cs="Times New Roman"/>
        </w:rPr>
        <w:t xml:space="preserve">The model subdivides the </w:t>
      </w:r>
      <w:r>
        <w:rPr>
          <w:rFonts w:ascii="Times New Roman" w:eastAsia="Times New Roman" w:hAnsi="Times New Roman" w:cs="Times New Roman"/>
        </w:rPr>
        <w:t xml:space="preserve">US </w:t>
      </w:r>
      <w:r w:rsidRPr="0070425C">
        <w:rPr>
          <w:rFonts w:ascii="Times New Roman" w:eastAsia="Times New Roman" w:hAnsi="Times New Roman" w:cs="Times New Roman"/>
        </w:rPr>
        <w:t>population into discrete strata describing important mechanisms of TB transmission, natural history, and treatment. The model is further stratified into additional dimensions describing (</w:t>
      </w:r>
      <w:proofErr w:type="spellStart"/>
      <w:r>
        <w:rPr>
          <w:rFonts w:ascii="Times New Roman" w:eastAsia="Times New Roman" w:hAnsi="Times New Roman" w:cs="Times New Roman"/>
        </w:rPr>
        <w:t>i</w:t>
      </w:r>
      <w:proofErr w:type="spellEnd"/>
      <w:r w:rsidRPr="0070425C">
        <w:rPr>
          <w:rFonts w:ascii="Times New Roman" w:eastAsia="Times New Roman" w:hAnsi="Times New Roman" w:cs="Times New Roman"/>
        </w:rPr>
        <w:t xml:space="preserve">) prior TB </w:t>
      </w:r>
      <w:r>
        <w:rPr>
          <w:rFonts w:ascii="Times New Roman" w:eastAsia="Times New Roman" w:hAnsi="Times New Roman" w:cs="Times New Roman"/>
        </w:rPr>
        <w:t xml:space="preserve">disease </w:t>
      </w:r>
      <w:r w:rsidRPr="0070425C">
        <w:rPr>
          <w:rFonts w:ascii="Times New Roman" w:eastAsia="Times New Roman" w:hAnsi="Times New Roman" w:cs="Times New Roman"/>
        </w:rPr>
        <w:t xml:space="preserve">and </w:t>
      </w:r>
      <w:r w:rsidRPr="00A66ABB">
        <w:rPr>
          <w:rFonts w:ascii="Times New Roman" w:hAnsi="Times New Roman" w:cs="Times New Roman"/>
          <w:i/>
          <w:iCs/>
          <w:color w:val="000000" w:themeColor="text1"/>
        </w:rPr>
        <w:t>mycobacterium tuberculosis</w:t>
      </w:r>
      <w:r>
        <w:rPr>
          <w:rFonts w:ascii="Times New Roman" w:hAnsi="Times New Roman" w:cs="Times New Roman"/>
          <w:color w:val="000000" w:themeColor="text1"/>
        </w:rPr>
        <w:t xml:space="preserve"> (</w:t>
      </w:r>
      <w:proofErr w:type="spellStart"/>
      <w:r w:rsidRPr="00A66ABB">
        <w:rPr>
          <w:rFonts w:ascii="Times New Roman" w:hAnsi="Times New Roman" w:cs="Times New Roman"/>
          <w:i/>
          <w:iCs/>
          <w:color w:val="000000" w:themeColor="text1"/>
        </w:rPr>
        <w:t>Mtb</w:t>
      </w:r>
      <w:proofErr w:type="spellEnd"/>
      <w:r>
        <w:rPr>
          <w:rFonts w:ascii="Times New Roman" w:hAnsi="Times New Roman" w:cs="Times New Roman"/>
          <w:color w:val="000000" w:themeColor="text1"/>
        </w:rPr>
        <w:t>) infection</w:t>
      </w:r>
      <w:r w:rsidRPr="0070425C">
        <w:rPr>
          <w:rFonts w:ascii="Times New Roman" w:eastAsia="Times New Roman" w:hAnsi="Times New Roman" w:cs="Times New Roman"/>
        </w:rPr>
        <w:t xml:space="preserve"> treatment</w:t>
      </w:r>
      <w:r>
        <w:rPr>
          <w:rFonts w:ascii="Times New Roman" w:eastAsia="Times New Roman" w:hAnsi="Times New Roman" w:cs="Times New Roman"/>
        </w:rPr>
        <w:t xml:space="preserve">, </w:t>
      </w:r>
      <w:r w:rsidRPr="0070425C">
        <w:rPr>
          <w:rFonts w:ascii="Times New Roman" w:eastAsia="Times New Roman" w:hAnsi="Times New Roman" w:cs="Times New Roman"/>
        </w:rPr>
        <w:t>(i</w:t>
      </w:r>
      <w:r>
        <w:rPr>
          <w:rFonts w:ascii="Times New Roman" w:eastAsia="Times New Roman" w:hAnsi="Times New Roman" w:cs="Times New Roman"/>
        </w:rPr>
        <w:t>i</w:t>
      </w:r>
      <w:r w:rsidRPr="0070425C">
        <w:rPr>
          <w:rFonts w:ascii="Times New Roman" w:eastAsia="Times New Roman" w:hAnsi="Times New Roman" w:cs="Times New Roman"/>
        </w:rPr>
        <w:t>) heterogeneity in TB risks between US-born and non-US-born populations, (</w:t>
      </w:r>
      <w:r>
        <w:rPr>
          <w:rFonts w:ascii="Times New Roman" w:eastAsia="Times New Roman" w:hAnsi="Times New Roman" w:cs="Times New Roman"/>
        </w:rPr>
        <w:t>iii</w:t>
      </w:r>
      <w:r w:rsidRPr="0070425C">
        <w:rPr>
          <w:rFonts w:ascii="Times New Roman" w:eastAsia="Times New Roman" w:hAnsi="Times New Roman" w:cs="Times New Roman"/>
        </w:rPr>
        <w:t>) age-based differences in disease mechanisms and risk factor prevalence</w:t>
      </w:r>
      <w:r>
        <w:rPr>
          <w:rFonts w:ascii="Times New Roman" w:eastAsia="Times New Roman" w:hAnsi="Times New Roman" w:cs="Times New Roman"/>
        </w:rPr>
        <w:t>, and (iv) disparity in TB risks among marginalized populations</w:t>
      </w:r>
      <w:r w:rsidRPr="0070425C">
        <w:rPr>
          <w:rFonts w:ascii="Times New Roman" w:eastAsia="Times New Roman" w:hAnsi="Times New Roman" w:cs="Times New Roman"/>
        </w:rPr>
        <w:t xml:space="preserve">. </w:t>
      </w:r>
      <w:r w:rsidRPr="00946907">
        <w:rPr>
          <w:rFonts w:ascii="Times New Roman" w:hAnsi="Times New Roman" w:cs="Times New Roman"/>
          <w:color w:val="000000" w:themeColor="text1"/>
        </w:rPr>
        <w:t xml:space="preserve">This model was based on </w:t>
      </w:r>
      <w:r>
        <w:rPr>
          <w:rFonts w:ascii="Times New Roman" w:hAnsi="Times New Roman" w:cs="Times New Roman"/>
          <w:color w:val="000000" w:themeColor="text1"/>
        </w:rPr>
        <w:t xml:space="preserve">an </w:t>
      </w:r>
      <w:r w:rsidRPr="00946907">
        <w:rPr>
          <w:rFonts w:ascii="Times New Roman" w:hAnsi="Times New Roman" w:cs="Times New Roman"/>
          <w:color w:val="000000" w:themeColor="text1"/>
        </w:rPr>
        <w:t xml:space="preserve">earlier TB </w:t>
      </w:r>
      <w:r>
        <w:rPr>
          <w:rFonts w:ascii="Times New Roman" w:hAnsi="Times New Roman" w:cs="Times New Roman"/>
          <w:color w:val="000000" w:themeColor="text1"/>
        </w:rPr>
        <w:t xml:space="preserve">simulation </w:t>
      </w:r>
      <w:r w:rsidRPr="00946907">
        <w:rPr>
          <w:rFonts w:ascii="Times New Roman" w:hAnsi="Times New Roman" w:cs="Times New Roman"/>
          <w:color w:val="000000" w:themeColor="text1"/>
        </w:rPr>
        <w:t xml:space="preserve">models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&lt;EndNote&gt;&lt;Cite&gt;&lt;Author&gt;Menzies&lt;/Author&gt;&lt;Year&gt;2018&lt;/Year&gt;&lt;RecNum&gt;59&lt;/RecNum&gt;&lt;DisplayText&gt;[1]&lt;/DisplayText&gt;&lt;record&gt;&lt;rec-number&gt;59&lt;/rec-number&gt;&lt;foreign-keys&gt;&lt;key app="EN" db-id="v0saxw5dcdwazbeftrjx2tdhx0fxwz05xwt2" timestamp="1738049926"&gt;59&lt;/key&gt;&lt;/foreign-keys&gt;&lt;ref-type name="Journal Article"&gt;17&lt;/ref-type&gt;&lt;contributors&gt;&lt;authors&gt;&lt;author&gt;Menzies, Nicolas A&lt;/author&gt;&lt;author&gt;Cohen, Ted&lt;/author&gt;&lt;author&gt;Hill, Andrew N&lt;/author&gt;&lt;author&gt;Yaesoubi, Reza&lt;/author&gt;&lt;author&gt;Galer, Kara&lt;/author&gt;&lt;author&gt;Wolf, Emory&lt;/author&gt;&lt;author&gt;Marks, Suzanne M&lt;/author&gt;&lt;author&gt;Salomon, Joshua A&lt;/author&gt;&lt;/authors&gt;&lt;/contributors&gt;&lt;titles&gt;&lt;title&gt;Prospects for tuberculosis elimination in the United States: results of a transmission dynamic model&lt;/title&gt;&lt;secondary-title&gt;American journal of epidemiology&lt;/secondary-title&gt;&lt;/titles&gt;&lt;periodical&gt;&lt;full-title&gt;American journal of epidemiology&lt;/full-title&gt;&lt;/periodical&gt;&lt;pages&gt;2011-2020&lt;/pages&gt;&lt;volume&gt;187&lt;/volume&gt;&lt;number&gt;9&lt;/number&gt;&lt;dates&gt;&lt;year&gt;2018&lt;/year&gt;&lt;/dates&gt;&lt;isbn&gt;0002-9262&lt;/isbn&gt;&lt;urls&gt;&lt;/urls&gt;&lt;/record&gt;&lt;/Cite&gt;&lt;/EndNote&gt;</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[1]</w:t>
      </w:r>
      <w:r>
        <w:rPr>
          <w:rFonts w:ascii="Times New Roman" w:hAnsi="Times New Roman" w:cs="Times New Roman"/>
          <w:color w:val="000000" w:themeColor="text1"/>
        </w:rPr>
        <w:fldChar w:fldCharType="end"/>
      </w:r>
      <w:r w:rsidRPr="00946907">
        <w:rPr>
          <w:rFonts w:ascii="Times New Roman" w:hAnsi="Times New Roman" w:cs="Times New Roman"/>
          <w:color w:val="000000" w:themeColor="text1"/>
        </w:rPr>
        <w:t xml:space="preserve">, with the addition of </w:t>
      </w:r>
      <w:r>
        <w:rPr>
          <w:rFonts w:ascii="Times New Roman" w:hAnsi="Times New Roman" w:cs="Times New Roman"/>
          <w:color w:val="000000" w:themeColor="text1"/>
        </w:rPr>
        <w:t xml:space="preserve">two </w:t>
      </w:r>
      <w:r w:rsidRPr="00946907">
        <w:rPr>
          <w:rFonts w:ascii="Times New Roman" w:hAnsi="Times New Roman" w:cs="Times New Roman"/>
          <w:color w:val="000000" w:themeColor="text1"/>
        </w:rPr>
        <w:t xml:space="preserve">generic risk </w:t>
      </w:r>
      <w:r>
        <w:rPr>
          <w:rFonts w:ascii="Times New Roman" w:hAnsi="Times New Roman" w:cs="Times New Roman"/>
          <w:color w:val="000000" w:themeColor="text1"/>
        </w:rPr>
        <w:t>dimensions</w:t>
      </w:r>
      <w:r w:rsidRPr="00946907">
        <w:rPr>
          <w:rFonts w:ascii="Times New Roman" w:hAnsi="Times New Roman" w:cs="Times New Roman"/>
          <w:color w:val="000000" w:themeColor="text1"/>
        </w:rPr>
        <w:t xml:space="preserve"> to allow flexibility in simulating the impact of preventive treatment in different populations.</w:t>
      </w:r>
      <w:r>
        <w:rPr>
          <w:rFonts w:ascii="Times New Roman" w:hAnsi="Times New Roman" w:cs="Times New Roman"/>
          <w:color w:val="000000" w:themeColor="text1"/>
        </w:rPr>
        <w:t xml:space="preserve"> The first of these dimensions represents variation in the risk of developing TB disease after </w:t>
      </w:r>
      <w:proofErr w:type="spellStart"/>
      <w:r w:rsidRPr="00A66ABB">
        <w:rPr>
          <w:rFonts w:ascii="Times New Roman" w:hAnsi="Times New Roman" w:cs="Times New Roman"/>
          <w:i/>
          <w:iCs/>
          <w:color w:val="000000" w:themeColor="text1"/>
        </w:rPr>
        <w:t>Mtb</w:t>
      </w:r>
      <w:proofErr w:type="spellEnd"/>
      <w:r>
        <w:rPr>
          <w:rFonts w:ascii="Times New Roman" w:hAnsi="Times New Roman" w:cs="Times New Roman"/>
          <w:color w:val="000000" w:themeColor="text1"/>
        </w:rPr>
        <w:t xml:space="preserve"> infection. The second of these dimensions represents variation in all-cause mortality risks not captured in other dimensions. Together, these dimensions are used to represent the additional risks of TB progression and mortality associated with a given risk factor. Additional details of the MITUS model are described in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&lt;EndNote&gt;&lt;Cite&gt;&lt;Author&gt;Swartwood&lt;/Author&gt;&lt;Year&gt;2023&lt;/Year&gt;&lt;RecNum&gt;53&lt;/RecNum&gt;&lt;DisplayText&gt;[2]&lt;/DisplayText&gt;&lt;record&gt;&lt;rec-number&gt;53&lt;/rec-number&gt;&lt;foreign-keys&gt;&lt;key app="EN" db-id="v0saxw5dcdwazbeftrjx2tdhx0fxwz05xwt2" timestamp="1714408923"&gt;53&lt;/key&gt;&lt;/foreign-keys&gt;&lt;ref-type name="Journal Article"&gt;17&lt;/ref-type&gt;&lt;contributors&gt;&lt;authors&gt;&lt;author&gt;Swartwood, Nicole A&lt;/author&gt;&lt;author&gt;Testa, Christian&lt;/author&gt;&lt;author&gt;Cohen, Ted&lt;/author&gt;&lt;author&gt;Marks, Suzanne M&lt;/author&gt;&lt;author&gt;Hill, Andrew N&lt;/author&gt;&lt;author&gt;Beeler Asay, Garrett&lt;/author&gt;&lt;author&gt;Cochran, Jennifer&lt;/author&gt;&lt;author&gt;Cranston, Kevin&lt;/author&gt;&lt;author&gt;Randall, Liisa M&lt;/author&gt;&lt;author&gt;Tibbs, Andrew&lt;/author&gt;&lt;/authors&gt;&lt;/contributors&gt;&lt;titles&gt;&lt;title&gt;Tabby2: a user-friendly web tool for forecasting state-level TB outcomes in the United States&lt;/title&gt;&lt;secondary-title&gt;BMC medicine&lt;/secondary-title&gt;&lt;/titles&gt;&lt;periodical&gt;&lt;full-title&gt;BMC medicine&lt;/full-title&gt;&lt;/periodical&gt;&lt;pages&gt;331&lt;/pages&gt;&lt;volume&gt;21&lt;/volume&gt;&lt;number&gt;1&lt;/number&gt;&lt;dates&gt;&lt;year&gt;2023&lt;/year&gt;&lt;/dates&gt;&lt;isbn&gt;1741-7015&lt;/isbn&gt;&lt;urls&gt;&lt;/urls&gt;&lt;/record&gt;&lt;/Cite&gt;&lt;/EndNote&gt;</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[2]</w:t>
      </w:r>
      <w:r>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A summary of key modelling assumptions is provided below. </w:t>
      </w:r>
    </w:p>
    <w:p w14:paraId="40DDCE8A" w14:textId="77777777" w:rsidR="004C20AC" w:rsidRDefault="004C20AC" w:rsidP="004C20AC">
      <w:pPr>
        <w:spacing w:before="100" w:beforeAutospacing="1" w:after="100" w:afterAutospacing="1" w:line="480" w:lineRule="auto"/>
        <w:rPr>
          <w:rFonts w:ascii="Times New Roman" w:eastAsia="Times New Roman" w:hAnsi="Times New Roman" w:cs="Times New Roman"/>
        </w:rPr>
      </w:pPr>
    </w:p>
    <w:p w14:paraId="184962D8" w14:textId="77777777" w:rsidR="004C20AC" w:rsidRDefault="004C20AC" w:rsidP="004C20AC">
      <w:pPr>
        <w:spacing w:before="100" w:beforeAutospacing="1" w:after="100" w:afterAutospacing="1" w:line="276"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0414FFF" wp14:editId="34A6B2D8">
            <wp:extent cx="5943600" cy="5891530"/>
            <wp:effectExtent l="0" t="0" r="0" b="1270"/>
            <wp:docPr id="1284455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55230" name="Picture 1284455230"/>
                    <pic:cNvPicPr/>
                  </pic:nvPicPr>
                  <pic:blipFill>
                    <a:blip r:embed="rId8"/>
                    <a:stretch>
                      <a:fillRect/>
                    </a:stretch>
                  </pic:blipFill>
                  <pic:spPr>
                    <a:xfrm>
                      <a:off x="0" y="0"/>
                      <a:ext cx="5943600" cy="5891530"/>
                    </a:xfrm>
                    <a:prstGeom prst="rect">
                      <a:avLst/>
                    </a:prstGeom>
                  </pic:spPr>
                </pic:pic>
              </a:graphicData>
            </a:graphic>
          </wp:inline>
        </w:drawing>
      </w:r>
    </w:p>
    <w:p w14:paraId="5261C2B9" w14:textId="7FA58E4C" w:rsidR="004C20AC" w:rsidRPr="00806B3B" w:rsidRDefault="004C20AC" w:rsidP="004C20AC">
      <w:pPr>
        <w:spacing w:line="276" w:lineRule="auto"/>
        <w:rPr>
          <w:rFonts w:ascii="Times New Roman" w:eastAsia="Times New Roman" w:hAnsi="Times New Roman" w:cs="Times New Roman"/>
          <w:b/>
          <w:bCs/>
        </w:rPr>
      </w:pPr>
      <w:r w:rsidRPr="00806B3B">
        <w:rPr>
          <w:rFonts w:ascii="Times New Roman" w:eastAsia="Times New Roman" w:hAnsi="Times New Roman" w:cs="Times New Roman"/>
          <w:b/>
          <w:bCs/>
        </w:rPr>
        <w:t xml:space="preserve">Figure </w:t>
      </w:r>
      <w:r w:rsidR="008B6EED" w:rsidRPr="00806B3B">
        <w:rPr>
          <w:rFonts w:ascii="Times New Roman" w:eastAsia="Times New Roman" w:hAnsi="Times New Roman" w:cs="Times New Roman"/>
          <w:b/>
          <w:bCs/>
        </w:rPr>
        <w:t>S</w:t>
      </w:r>
      <w:r w:rsidRPr="00806B3B">
        <w:rPr>
          <w:rFonts w:ascii="Times New Roman" w:eastAsia="Times New Roman" w:hAnsi="Times New Roman" w:cs="Times New Roman"/>
          <w:b/>
          <w:bCs/>
        </w:rPr>
        <w:t xml:space="preserve">1: Structural schematic of the MITUS model, showing model compartments and transitions. </w:t>
      </w:r>
    </w:p>
    <w:p w14:paraId="0B780D46" w14:textId="77777777" w:rsidR="004C20AC" w:rsidRPr="000D0809" w:rsidRDefault="004C20AC" w:rsidP="004C20AC">
      <w:pPr>
        <w:spacing w:before="120" w:line="276" w:lineRule="auto"/>
        <w:rPr>
          <w:rFonts w:ascii="Times New Roman" w:eastAsia="Times New Roman" w:hAnsi="Times New Roman" w:cs="Times New Roman"/>
          <w:sz w:val="20"/>
          <w:szCs w:val="20"/>
        </w:rPr>
      </w:pPr>
      <w:proofErr w:type="spellStart"/>
      <w:r w:rsidRPr="000D0809">
        <w:rPr>
          <w:rFonts w:ascii="Times New Roman" w:eastAsia="Times New Roman" w:hAnsi="Times New Roman" w:cs="Times New Roman"/>
          <w:sz w:val="20"/>
          <w:szCs w:val="20"/>
        </w:rPr>
        <w:t>i</w:t>
      </w:r>
      <w:proofErr w:type="spellEnd"/>
      <w:r w:rsidRPr="000D0809">
        <w:rPr>
          <w:rFonts w:ascii="Times New Roman" w:eastAsia="Times New Roman" w:hAnsi="Times New Roman" w:cs="Times New Roman"/>
          <w:sz w:val="20"/>
          <w:szCs w:val="20"/>
        </w:rPr>
        <w:t>) The TB progression risk dimension represents the differential risk of latent tuberculosis infection progressing to TB disease associated with differential immune activity. ii) The mortality risk dimension represents the differential all-cause mortality risk associated with an individual’s immune activity.</w:t>
      </w:r>
      <w:r>
        <w:rPr>
          <w:rFonts w:ascii="Times New Roman" w:eastAsia="Times New Roman" w:hAnsi="Times New Roman" w:cs="Times New Roman"/>
          <w:sz w:val="20"/>
          <w:szCs w:val="20"/>
        </w:rPr>
        <w:t xml:space="preserve"> </w:t>
      </w:r>
      <w:r w:rsidRPr="000D0809">
        <w:rPr>
          <w:rFonts w:ascii="Times New Roman" w:eastAsia="Times New Roman" w:hAnsi="Times New Roman" w:cs="Times New Roman"/>
          <w:sz w:val="20"/>
          <w:szCs w:val="20"/>
        </w:rPr>
        <w:t xml:space="preserve">iii) Socio-economic disadvantage dimension includes assortative mixing within the population, higher TB contact rates, an elevated mortality rate, higher LTBI screening rates, and higher active TB treatment default. iv) Assortative mixing was included in both nativity and socioeconomic disadvantage dimensions. A fraction of contacts is withheld for “with-like” interactions; this value is calibrated and applied to future model runs. Each nativity and socio-economic disadvantage stratum </w:t>
      </w:r>
      <w:proofErr w:type="gramStart"/>
      <w:r w:rsidRPr="000D0809">
        <w:rPr>
          <w:rFonts w:ascii="Times New Roman" w:eastAsia="Times New Roman" w:hAnsi="Times New Roman" w:cs="Times New Roman"/>
          <w:sz w:val="20"/>
          <w:szCs w:val="20"/>
        </w:rPr>
        <w:t>has</w:t>
      </w:r>
      <w:proofErr w:type="gramEnd"/>
      <w:r w:rsidRPr="000D0809">
        <w:rPr>
          <w:rFonts w:ascii="Times New Roman" w:eastAsia="Times New Roman" w:hAnsi="Times New Roman" w:cs="Times New Roman"/>
          <w:sz w:val="20"/>
          <w:szCs w:val="20"/>
        </w:rPr>
        <w:t xml:space="preserve"> a unique contact rate and probability of transmission per effective contact.</w:t>
      </w:r>
    </w:p>
    <w:p w14:paraId="17A1F6A5" w14:textId="77777777" w:rsidR="004C20AC" w:rsidRDefault="004C20AC" w:rsidP="004C20AC">
      <w:pPr>
        <w:spacing w:line="480" w:lineRule="auto"/>
        <w:rPr>
          <w:rFonts w:ascii="Times New Roman" w:eastAsia="Times New Roman" w:hAnsi="Times New Roman" w:cs="Times New Roman"/>
          <w:b/>
          <w:bCs/>
        </w:rPr>
      </w:pPr>
    </w:p>
    <w:p w14:paraId="3B7FE4F8" w14:textId="77777777" w:rsidR="004C20AC" w:rsidRDefault="004C20AC" w:rsidP="004C20AC">
      <w:pPr>
        <w:spacing w:line="480" w:lineRule="auto"/>
        <w:rPr>
          <w:rFonts w:ascii="Times New Roman" w:eastAsia="Times New Roman" w:hAnsi="Times New Roman" w:cs="Times New Roman"/>
          <w:b/>
          <w:bCs/>
        </w:rPr>
      </w:pPr>
      <w:r>
        <w:rPr>
          <w:rFonts w:ascii="Times New Roman" w:eastAsia="Times New Roman" w:hAnsi="Times New Roman" w:cs="Times New Roman"/>
          <w:b/>
          <w:bCs/>
        </w:rPr>
        <w:lastRenderedPageBreak/>
        <w:t>Key model assumptions</w:t>
      </w:r>
    </w:p>
    <w:p w14:paraId="347FCD72" w14:textId="77777777" w:rsidR="004C20AC" w:rsidRDefault="004C20AC" w:rsidP="004C20AC">
      <w:pPr>
        <w:spacing w:line="480" w:lineRule="auto"/>
        <w:rPr>
          <w:rFonts w:ascii="Times New Roman" w:eastAsia="Times New Roman" w:hAnsi="Times New Roman" w:cs="Times New Roman"/>
        </w:rPr>
      </w:pPr>
      <w:r>
        <w:rPr>
          <w:rFonts w:ascii="Times New Roman" w:eastAsia="Times New Roman" w:hAnsi="Times New Roman" w:cs="Times New Roman"/>
        </w:rPr>
        <w:t xml:space="preserve">Upon </w:t>
      </w:r>
      <w:proofErr w:type="spellStart"/>
      <w:r>
        <w:rPr>
          <w:rFonts w:ascii="Times New Roman" w:eastAsia="Times New Roman" w:hAnsi="Times New Roman" w:cs="Times New Roman"/>
          <w:i/>
          <w:iCs/>
        </w:rPr>
        <w:t>Mtb</w:t>
      </w:r>
      <w:proofErr w:type="spellEnd"/>
      <w:r>
        <w:rPr>
          <w:rFonts w:ascii="Times New Roman" w:eastAsia="Times New Roman" w:hAnsi="Times New Roman" w:cs="Times New Roman"/>
        </w:rPr>
        <w:t xml:space="preserve"> infection, a small fraction of individuals </w:t>
      </w:r>
      <w:proofErr w:type="gramStart"/>
      <w:r>
        <w:rPr>
          <w:rFonts w:ascii="Times New Roman" w:eastAsia="Times New Roman" w:hAnsi="Times New Roman" w:cs="Times New Roman"/>
        </w:rPr>
        <w:t>are</w:t>
      </w:r>
      <w:proofErr w:type="gramEnd"/>
      <w:r>
        <w:rPr>
          <w:rFonts w:ascii="Times New Roman" w:eastAsia="Times New Roman" w:hAnsi="Times New Roman" w:cs="Times New Roman"/>
        </w:rPr>
        <w:t xml:space="preserve"> assumed to progress directly to TB disease. All remaining infected individuals enter a set of latent tuberculosis infection (LTBI) states and experience a declining reactivation risk over time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&lt;EndNote&gt;&lt;Cite&gt;&lt;Author&gt;Ferebee&lt;/Author&gt;&lt;Year&gt;1962&lt;/Year&gt;&lt;RecNum&gt;60&lt;/RecNum&gt;&lt;DisplayText&gt;[3, 4]&lt;/DisplayText&gt;&lt;record&gt;&lt;rec-number&gt;60&lt;/rec-number&gt;&lt;foreign-keys&gt;&lt;key app="EN" db-id="v0saxw5dcdwazbeftrjx2tdhx0fxwz05xwt2" timestamp="1738050002"&gt;60&lt;/key&gt;&lt;/foreign-keys&gt;&lt;ref-type name="Journal Article"&gt;17&lt;/ref-type&gt;&lt;contributors&gt;&lt;authors&gt;&lt;author&gt;Ferebee, Shirley H&lt;/author&gt;&lt;author&gt;Mount, Frank W&lt;/author&gt;&lt;/authors&gt;&lt;/contributors&gt;&lt;titles&gt;&lt;title&gt;Tuberculosis morbidity in a controlled trial of the prophylactic use of isoniazid among household contacts&lt;/title&gt;&lt;secondary-title&gt;American Review of Respiratory Disease&lt;/secondary-title&gt;&lt;/titles&gt;&lt;periodical&gt;&lt;full-title&gt;American Review of Respiratory Disease&lt;/full-title&gt;&lt;/periodical&gt;&lt;pages&gt;490-510&lt;/pages&gt;&lt;volume&gt;85&lt;/volume&gt;&lt;number&gt;4&lt;/number&gt;&lt;dates&gt;&lt;year&gt;1962&lt;/year&gt;&lt;/dates&gt;&lt;isbn&gt;0003-0805&lt;/isbn&gt;&lt;urls&gt;&lt;/urls&gt;&lt;/record&gt;&lt;/Cite&gt;&lt;Cite&gt;&lt;Author&gt;Sutherland&lt;/Author&gt;&lt;Year&gt;1968&lt;/Year&gt;&lt;RecNum&gt;61&lt;/RecNum&gt;&lt;record&gt;&lt;rec-number&gt;61&lt;/rec-number&gt;&lt;foreign-keys&gt;&lt;key app="EN" db-id="v0saxw5dcdwazbeftrjx2tdhx0fxwz05xwt2" timestamp="1738050027"&gt;61&lt;/key&gt;&lt;/foreign-keys&gt;&lt;ref-type name="Journal Article"&gt;17&lt;/ref-type&gt;&lt;contributors&gt;&lt;authors&gt;&lt;author&gt;Sutherland, I&lt;/author&gt;&lt;/authors&gt;&lt;/contributors&gt;&lt;titles&gt;&lt;title&gt;The ten-year incidence of clinical tuberculosis following “conversion” in 2550 individuals aged 14 to 19 years&lt;/title&gt;&lt;secondary-title&gt;TSRU Progress Report&lt;/secondary-title&gt;&lt;/titles&gt;&lt;periodical&gt;&lt;full-title&gt;TSRU Progress Report&lt;/full-title&gt;&lt;/periodical&gt;&lt;pages&gt;1781-1783&lt;/pages&gt;&lt;volume&gt;13&lt;/volume&gt;&lt;dates&gt;&lt;year&gt;1968&lt;/year&gt;&lt;/dates&gt;&lt;urls&gt;&lt;/urls&gt;&lt;/record&gt;&lt;/Cite&gt;&lt;/EndNote&gt;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[3, 4]</w:t>
      </w:r>
      <w:r>
        <w:rPr>
          <w:rFonts w:ascii="Times New Roman" w:eastAsia="Times New Roman" w:hAnsi="Times New Roman" w:cs="Times New Roman"/>
        </w:rPr>
        <w:fldChar w:fldCharType="end"/>
      </w:r>
      <w:r>
        <w:rPr>
          <w:rFonts w:ascii="Times New Roman" w:eastAsia="Times New Roman" w:hAnsi="Times New Roman" w:cs="Times New Roman"/>
        </w:rPr>
        <w:t xml:space="preserve">. Individuals with distant infection are also assumed to have reduced LTBI test positivity. </w:t>
      </w:r>
      <w:proofErr w:type="spellStart"/>
      <w:r w:rsidRPr="0070425C">
        <w:rPr>
          <w:rFonts w:ascii="Times New Roman" w:eastAsia="Times New Roman" w:hAnsi="Times New Roman" w:cs="Times New Roman"/>
          <w:i/>
          <w:iCs/>
        </w:rPr>
        <w:t>Mtb</w:t>
      </w:r>
      <w:proofErr w:type="spellEnd"/>
      <w:r w:rsidRPr="0070425C">
        <w:rPr>
          <w:rFonts w:ascii="Times New Roman" w:eastAsia="Times New Roman" w:hAnsi="Times New Roman" w:cs="Times New Roman"/>
          <w:i/>
          <w:iCs/>
        </w:rPr>
        <w:t xml:space="preserve"> </w:t>
      </w:r>
      <w:r w:rsidRPr="0070425C">
        <w:rPr>
          <w:rFonts w:ascii="Times New Roman" w:eastAsia="Times New Roman" w:hAnsi="Times New Roman" w:cs="Times New Roman"/>
        </w:rPr>
        <w:t xml:space="preserve">infection </w:t>
      </w:r>
      <w:r>
        <w:rPr>
          <w:rFonts w:ascii="Times New Roman" w:eastAsia="Times New Roman" w:hAnsi="Times New Roman" w:cs="Times New Roman"/>
        </w:rPr>
        <w:t xml:space="preserve">treatment </w:t>
      </w:r>
      <w:r w:rsidRPr="0070425C">
        <w:rPr>
          <w:rFonts w:ascii="Times New Roman" w:eastAsia="Times New Roman" w:hAnsi="Times New Roman" w:cs="Times New Roman"/>
        </w:rPr>
        <w:t xml:space="preserve">is assumed to reduce but not eliminate </w:t>
      </w:r>
      <w:r>
        <w:rPr>
          <w:rFonts w:ascii="Times New Roman" w:eastAsia="Times New Roman" w:hAnsi="Times New Roman" w:cs="Times New Roman"/>
        </w:rPr>
        <w:t>TB progression</w:t>
      </w:r>
      <w:r w:rsidRPr="0070425C">
        <w:rPr>
          <w:rFonts w:ascii="Times New Roman" w:eastAsia="Times New Roman" w:hAnsi="Times New Roman" w:cs="Times New Roman"/>
        </w:rPr>
        <w:t xml:space="preserve"> risk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&lt;EndNote&gt;&lt;Cite&gt;&lt;Author&gt;Prophylaxis&lt;/Author&gt;&lt;Year&gt;1982&lt;/Year&gt;&lt;RecNum&gt;63&lt;/RecNum&gt;&lt;DisplayText&gt;[5, 6]&lt;/DisplayText&gt;&lt;record&gt;&lt;rec-number&gt;63&lt;/rec-number&gt;&lt;foreign-keys&gt;&lt;key app="EN" db-id="v0saxw5dcdwazbeftrjx2tdhx0fxwz05xwt2" timestamp="1738050078"&gt;63&lt;/key&gt;&lt;/foreign-keys&gt;&lt;ref-type name="Journal Article"&gt;17&lt;/ref-type&gt;&lt;contributors&gt;&lt;authors&gt;&lt;author&gt;International Union Against Tuberculosis Committee on Prophylaxis&lt;/author&gt;&lt;/authors&gt;&lt;/contributors&gt;&lt;titles&gt;&lt;title&gt;Efficacy of various durations of isoniazid preventive therapy for tuberculosis: five years of follow-up in the IUAT trial&lt;/title&gt;&lt;secondary-title&gt;Bulletin of the World Health Organization&lt;/secondary-title&gt;&lt;/titles&gt;&lt;periodical&gt;&lt;full-title&gt;Bulletin of the World Health Organization&lt;/full-title&gt;&lt;/periodical&gt;&lt;pages&gt;555&lt;/pages&gt;&lt;volume&gt;60&lt;/volume&gt;&lt;number&gt;4&lt;/number&gt;&lt;dates&gt;&lt;year&gt;1982&lt;/year&gt;&lt;/dates&gt;&lt;urls&gt;&lt;/urls&gt;&lt;/record&gt;&lt;/Cite&gt;&lt;Cite&gt;&lt;Author&gt;Comstock&lt;/Author&gt;&lt;Year&gt;1999&lt;/Year&gt;&lt;RecNum&gt;62&lt;/RecNum&gt;&lt;record&gt;&lt;rec-number&gt;62&lt;/rec-number&gt;&lt;foreign-keys&gt;&lt;key app="EN" db-id="v0saxw5dcdwazbeftrjx2tdhx0fxwz05xwt2" timestamp="1738050049"&gt;62&lt;/key&gt;&lt;/foreign-keys&gt;&lt;ref-type name="Journal Article"&gt;17&lt;/ref-type&gt;&lt;contributors&gt;&lt;authors&gt;&lt;author&gt;Comstock, GW&lt;/author&gt;&lt;/authors&gt;&lt;/contributors&gt;&lt;titles&gt;&lt;title&gt;How much isoniazid is needed for prevention of tuberculosis among immunocompetent adults?[Counterpoint]&lt;/title&gt;&lt;secondary-title&gt;The International Journal of Tuberculosis and Lung Disease&lt;/secondary-title&gt;&lt;/titles&gt;&lt;periodical&gt;&lt;full-title&gt;The International Journal of Tuberculosis and Lung Disease&lt;/full-title&gt;&lt;/periodical&gt;&lt;pages&gt;847-850&lt;/pages&gt;&lt;volume&gt;3&lt;/volume&gt;&lt;number&gt;10&lt;/number&gt;&lt;dates&gt;&lt;year&gt;1999&lt;/year&gt;&lt;/dates&gt;&lt;isbn&gt;1027-3719&lt;/isbn&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[5, 6]</w:t>
      </w:r>
      <w:r>
        <w:rPr>
          <w:rFonts w:ascii="Times New Roman" w:eastAsia="Times New Roman" w:hAnsi="Times New Roman" w:cs="Times New Roman"/>
        </w:rPr>
        <w:fldChar w:fldCharType="end"/>
      </w:r>
      <w:r w:rsidRPr="0070425C">
        <w:rPr>
          <w:rFonts w:ascii="Times New Roman" w:eastAsia="Times New Roman" w:hAnsi="Times New Roman" w:cs="Times New Roman"/>
        </w:rPr>
        <w:t xml:space="preserve">, and treated individuals </w:t>
      </w:r>
      <w:r>
        <w:rPr>
          <w:rFonts w:ascii="Times New Roman" w:eastAsia="Times New Roman" w:hAnsi="Times New Roman" w:cs="Times New Roman"/>
        </w:rPr>
        <w:t xml:space="preserve">could experience a future </w:t>
      </w:r>
      <w:proofErr w:type="spellStart"/>
      <w:r>
        <w:rPr>
          <w:rFonts w:ascii="Times New Roman" w:eastAsia="Times New Roman" w:hAnsi="Times New Roman" w:cs="Times New Roman"/>
          <w:i/>
          <w:iCs/>
        </w:rPr>
        <w:t>Mtb</w:t>
      </w:r>
      <w:proofErr w:type="spellEnd"/>
      <w:r>
        <w:rPr>
          <w:rFonts w:ascii="Times New Roman" w:eastAsia="Times New Roman" w:hAnsi="Times New Roman" w:cs="Times New Roman"/>
        </w:rPr>
        <w:t xml:space="preserve"> reinfection. </w:t>
      </w:r>
    </w:p>
    <w:p w14:paraId="25F94F9B" w14:textId="77777777" w:rsidR="004C20AC" w:rsidRDefault="004C20AC" w:rsidP="004C20AC">
      <w:pPr>
        <w:spacing w:line="480" w:lineRule="auto"/>
        <w:rPr>
          <w:rFonts w:ascii="Times New Roman" w:eastAsia="Times New Roman" w:hAnsi="Times New Roman" w:cs="Times New Roman"/>
        </w:rPr>
      </w:pPr>
      <w:r>
        <w:rPr>
          <w:rFonts w:ascii="Times New Roman" w:eastAsia="Times New Roman" w:hAnsi="Times New Roman" w:cs="Times New Roman"/>
        </w:rPr>
        <w:t xml:space="preserve">The model includes international immigration, emigration of </w:t>
      </w:r>
      <w:r w:rsidRPr="0070425C">
        <w:rPr>
          <w:rFonts w:ascii="Times New Roman" w:eastAsia="Times New Roman" w:hAnsi="Times New Roman" w:cs="Times New Roman"/>
        </w:rPr>
        <w:t>non-US-born residents, and interstate net migration</w:t>
      </w:r>
      <w:r>
        <w:rPr>
          <w:rFonts w:ascii="Times New Roman" w:eastAsia="Times New Roman" w:hAnsi="Times New Roman" w:cs="Times New Roman"/>
        </w:rPr>
        <w:t xml:space="preserve"> of both US-born and non-US-born residents. International migrants are assumed to have higher rates of </w:t>
      </w:r>
      <w:proofErr w:type="spellStart"/>
      <w:r w:rsidRPr="00BC2142">
        <w:rPr>
          <w:rFonts w:ascii="Times New Roman" w:eastAsia="Times New Roman" w:hAnsi="Times New Roman" w:cs="Times New Roman"/>
          <w:i/>
          <w:iCs/>
        </w:rPr>
        <w:t>Mtb</w:t>
      </w:r>
      <w:proofErr w:type="spellEnd"/>
      <w:r>
        <w:rPr>
          <w:rFonts w:ascii="Times New Roman" w:eastAsia="Times New Roman" w:hAnsi="Times New Roman" w:cs="Times New Roman"/>
        </w:rPr>
        <w:t xml:space="preserve"> infection than current US residents. Future international immigration volume is assumed to increase at an annual rate of 0.4% from 2019 levels, based on net immigration projections from the US Census Bureau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&lt;EndNote&gt;&lt;Cite&gt;&lt;Author&gt;U.S. Census Bureau&lt;/Author&gt;&lt;Year&gt;2023&lt;/Year&gt;&lt;RecNum&gt;66&lt;/RecNum&gt;&lt;DisplayText&gt;[7]&lt;/DisplayText&gt;&lt;record&gt;&lt;rec-number&gt;66&lt;/rec-number&gt;&lt;foreign-keys&gt;&lt;key app="EN" db-id="v0saxw5dcdwazbeftrjx2tdhx0fxwz05xwt2" timestamp="1738050627"&gt;66&lt;/key&gt;&lt;/foreign-keys&gt;&lt;ref-type name="Dataset"&gt;59&lt;/ref-type&gt;&lt;contributors&gt;&lt;authors&gt;&lt;author&gt;U.S. Census Bureau,&lt;/author&gt;&lt;/authors&gt;&lt;secondary-authors&gt;&lt;author&gt;U.S. Census Bureau, &lt;/author&gt;&lt;/secondary-authors&gt;&lt;/contributors&gt;&lt;titles&gt;&lt;title&gt;2023 National Population Projections Tables: Main Series (NP2023-T13)&lt;/title&gt;&lt;/titles&gt;&lt;section&gt;31 Oct 2023&lt;/section&gt;&lt;dates&gt;&lt;year&gt;2023&lt;/year&gt;&lt;/dates&gt;&lt;pub-location&gt;Washington D.C. &lt;/pub-location&gt;&lt;publisher&gt;U.S. Census Bureau, Population Division&lt;/publisher&gt;&lt;urls&gt;&lt;related-urls&gt;&lt;url&gt;https://www.census.gov/data/tables/2023/demo/popproj/2023-summary-tables.html&lt;/url&gt;&lt;/related-urls&gt;&lt;/urls&gt;&lt;access-date&gt;24 May 2024&lt;/access-date&gt;&lt;/record&gt;&lt;/Cite&gt;&lt;/EndNote&gt;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[7]</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rsidRPr="0070425C">
        <w:rPr>
          <w:rFonts w:ascii="Times New Roman" w:eastAsia="Times New Roman" w:hAnsi="Times New Roman" w:cs="Times New Roman"/>
        </w:rPr>
        <w:t xml:space="preserve">TB burden among </w:t>
      </w:r>
      <w:r>
        <w:rPr>
          <w:rFonts w:ascii="Times New Roman" w:eastAsia="Times New Roman" w:hAnsi="Times New Roman" w:cs="Times New Roman"/>
        </w:rPr>
        <w:t>persons entering the United States</w:t>
      </w:r>
      <w:r w:rsidRPr="0070425C">
        <w:rPr>
          <w:rFonts w:ascii="Times New Roman" w:eastAsia="Times New Roman" w:hAnsi="Times New Roman" w:cs="Times New Roman"/>
        </w:rPr>
        <w:t xml:space="preserve"> is assumed to decline at 1.5% per year. Future rates of interstate migration and international emigration are </w:t>
      </w:r>
      <w:r>
        <w:rPr>
          <w:rFonts w:ascii="Times New Roman" w:eastAsia="Times New Roman" w:hAnsi="Times New Roman" w:cs="Times New Roman"/>
        </w:rPr>
        <w:t>fixed</w:t>
      </w:r>
      <w:r w:rsidRPr="0070425C">
        <w:rPr>
          <w:rFonts w:ascii="Times New Roman" w:eastAsia="Times New Roman" w:hAnsi="Times New Roman" w:cs="Times New Roman"/>
        </w:rPr>
        <w:t xml:space="preserve"> at 201</w:t>
      </w:r>
      <w:r>
        <w:rPr>
          <w:rFonts w:ascii="Times New Roman" w:eastAsia="Times New Roman" w:hAnsi="Times New Roman" w:cs="Times New Roman"/>
        </w:rPr>
        <w:t>9</w:t>
      </w:r>
      <w:r w:rsidRPr="0070425C">
        <w:rPr>
          <w:rFonts w:ascii="Times New Roman" w:eastAsia="Times New Roman" w:hAnsi="Times New Roman" w:cs="Times New Roman"/>
        </w:rPr>
        <w:t xml:space="preserve"> levels. TB transmission risks are calculated dynamically based on</w:t>
      </w:r>
      <w:r>
        <w:rPr>
          <w:rFonts w:ascii="Times New Roman" w:eastAsia="Times New Roman" w:hAnsi="Times New Roman" w:cs="Times New Roman"/>
        </w:rPr>
        <w:t xml:space="preserve"> TB</w:t>
      </w:r>
      <w:r w:rsidRPr="0070425C">
        <w:rPr>
          <w:rFonts w:ascii="Times New Roman" w:eastAsia="Times New Roman" w:hAnsi="Times New Roman" w:cs="Times New Roman"/>
        </w:rPr>
        <w:t xml:space="preserve"> disease prevalence and </w:t>
      </w:r>
      <w:r>
        <w:rPr>
          <w:rFonts w:ascii="Times New Roman" w:eastAsia="Times New Roman" w:hAnsi="Times New Roman" w:cs="Times New Roman"/>
        </w:rPr>
        <w:t xml:space="preserve">population </w:t>
      </w:r>
      <w:r w:rsidRPr="0070425C">
        <w:rPr>
          <w:rFonts w:ascii="Times New Roman" w:eastAsia="Times New Roman" w:hAnsi="Times New Roman" w:cs="Times New Roman"/>
        </w:rPr>
        <w:t>mixing patterns.</w:t>
      </w:r>
      <w:r>
        <w:rPr>
          <w:rFonts w:ascii="Times New Roman" w:eastAsia="Times New Roman" w:hAnsi="Times New Roman" w:cs="Times New Roman"/>
        </w:rPr>
        <w:t xml:space="preserve"> </w:t>
      </w:r>
    </w:p>
    <w:p w14:paraId="686FA1D5" w14:textId="77777777" w:rsidR="004C20AC" w:rsidRDefault="004C20AC" w:rsidP="004C20AC">
      <w:pPr>
        <w:spacing w:before="100" w:beforeAutospacing="1" w:after="100" w:afterAutospacing="1" w:line="480" w:lineRule="auto"/>
        <w:rPr>
          <w:rFonts w:ascii="Times New Roman" w:eastAsia="Times New Roman" w:hAnsi="Times New Roman" w:cs="Times New Roman"/>
          <w:b/>
          <w:bCs/>
        </w:rPr>
      </w:pPr>
      <w:r w:rsidRPr="00F40B24">
        <w:rPr>
          <w:rFonts w:ascii="Times New Roman" w:eastAsia="Times New Roman" w:hAnsi="Times New Roman" w:cs="Times New Roman"/>
          <w:b/>
          <w:bCs/>
        </w:rPr>
        <w:t>Initial model calibration</w:t>
      </w:r>
    </w:p>
    <w:p w14:paraId="1DA04EE2" w14:textId="77777777" w:rsidR="004C20AC" w:rsidRPr="00F60FC8" w:rsidRDefault="004C20AC" w:rsidP="004C20AC">
      <w:pPr>
        <w:spacing w:after="240" w:line="480" w:lineRule="auto"/>
        <w:rPr>
          <w:rFonts w:ascii="Times New Roman" w:hAnsi="Times New Roman" w:cs="Times New Roman"/>
          <w:highlight w:val="yellow"/>
        </w:rPr>
      </w:pPr>
      <w:r>
        <w:rPr>
          <w:rFonts w:ascii="Times New Roman" w:eastAsia="Times New Roman" w:hAnsi="Times New Roman" w:cs="Times New Roman"/>
        </w:rPr>
        <w:t xml:space="preserve">The MITUS model was originally developed to project future TB trends and outcomes in the United States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&lt;EndNote&gt;&lt;Cite&gt;&lt;Author&gt;Swartwood&lt;/Author&gt;&lt;Year&gt;2023&lt;/Year&gt;&lt;RecNum&gt;53&lt;/RecNum&gt;&lt;DisplayText&gt;[2]&lt;/DisplayText&gt;&lt;record&gt;&lt;rec-number&gt;53&lt;/rec-number&gt;&lt;foreign-keys&gt;&lt;key app="EN" db-id="v0saxw5dcdwazbeftrjx2tdhx0fxwz05xwt2" timestamp="1714408923"&gt;53&lt;/key&gt;&lt;/foreign-keys&gt;&lt;ref-type name="Journal Article"&gt;17&lt;/ref-type&gt;&lt;contributors&gt;&lt;authors&gt;&lt;author&gt;Swartwood, Nicole A&lt;/author&gt;&lt;author&gt;Testa, Christian&lt;/author&gt;&lt;author&gt;Cohen, Ted&lt;/author&gt;&lt;author&gt;Marks, Suzanne M&lt;/author&gt;&lt;author&gt;Hill, Andrew N&lt;/author&gt;&lt;author&gt;Beeler Asay, Garrett&lt;/author&gt;&lt;author&gt;Cochran, Jennifer&lt;/author&gt;&lt;author&gt;Cranston, Kevin&lt;/author&gt;&lt;author&gt;Randall, Liisa M&lt;/author&gt;&lt;author&gt;Tibbs, Andrew&lt;/author&gt;&lt;/authors&gt;&lt;/contributors&gt;&lt;titles&gt;&lt;title&gt;Tabby2: a user-friendly web tool for forecasting state-level TB outcomes in the United States&lt;/title&gt;&lt;secondary-title&gt;BMC medicine&lt;/secondary-title&gt;&lt;/titles&gt;&lt;periodical&gt;&lt;full-title&gt;BMC medicine&lt;/full-title&gt;&lt;/periodical&gt;&lt;pages&gt;331&lt;/pages&gt;&lt;volume&gt;21&lt;/volume&gt;&lt;number&gt;1&lt;/number&gt;&lt;dates&gt;&lt;year&gt;2023&lt;/year&gt;&lt;/dates&gt;&lt;isbn&gt;1741-7015&lt;/isbn&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[2]</w:t>
      </w:r>
      <w:r>
        <w:rPr>
          <w:rFonts w:ascii="Times New Roman" w:eastAsia="Times New Roman" w:hAnsi="Times New Roman" w:cs="Times New Roman"/>
        </w:rPr>
        <w:fldChar w:fldCharType="end"/>
      </w:r>
      <w:r>
        <w:rPr>
          <w:rFonts w:ascii="Times New Roman" w:eastAsia="Times New Roman" w:hAnsi="Times New Roman" w:cs="Times New Roman"/>
        </w:rPr>
        <w:t>. A Bayesian calibration approach</w:t>
      </w:r>
      <w:r w:rsidRPr="0070425C">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&lt;EndNote&gt;&lt;Cite&gt;&lt;Author&gt;Menzies&lt;/Author&gt;&lt;Year&gt;2017&lt;/Year&gt;&lt;RecNum&gt;22&lt;/RecNum&gt;&lt;DisplayText&gt;[8, 9]&lt;/DisplayText&gt;&lt;record&gt;&lt;rec-number&gt;22&lt;/rec-number&gt;&lt;foreign-keys&gt;&lt;key app="EN" db-id="v0saxw5dcdwazbeftrjx2tdhx0fxwz05xwt2" timestamp="1699396283"&gt;22&lt;/key&gt;&lt;/foreign-keys&gt;&lt;ref-type name="Journal Article"&gt;17&lt;/ref-type&gt;&lt;contributors&gt;&lt;authors&gt;&lt;author&gt;Menzies, Nicolas A&lt;/author&gt;&lt;author&gt;Soeteman, Djøra I&lt;/author&gt;&lt;author&gt;Pandya, Ankur&lt;/author&gt;&lt;author&gt;Kim, Jane J&lt;/author&gt;&lt;/authors&gt;&lt;/contributors&gt;&lt;titles&gt;&lt;title&gt;Bayesian methods for calibrating health policy models: a tutorial&lt;/title&gt;&lt;secondary-title&gt;Pharmacoeconomics&lt;/secondary-title&gt;&lt;/titles&gt;&lt;periodical&gt;&lt;full-title&gt;Pharmacoeconomics&lt;/full-title&gt;&lt;/periodical&gt;&lt;pages&gt;613-624&lt;/pages&gt;&lt;volume&gt;35&lt;/volume&gt;&lt;number&gt;6&lt;/number&gt;&lt;dates&gt;&lt;year&gt;2017&lt;/year&gt;&lt;/dates&gt;&lt;isbn&gt;1170-7690&lt;/isbn&gt;&lt;urls&gt;&lt;related-urls&gt;&lt;url&gt;https://www.ncbi.nlm.nih.gov/pmc/articles/PMC5448142/pdf/nihms856339.pdf&lt;/url&gt;&lt;/related-urls&gt;&lt;/urls&gt;&lt;/record&gt;&lt;/Cite&gt;&lt;Cite&gt;&lt;Author&gt;Jackson&lt;/Author&gt;&lt;Year&gt;2015&lt;/Year&gt;&lt;RecNum&gt;23&lt;/RecNum&gt;&lt;record&gt;&lt;rec-number&gt;23&lt;/rec-number&gt;&lt;foreign-keys&gt;&lt;key app="EN" db-id="v0saxw5dcdwazbeftrjx2tdhx0fxwz05xwt2" timestamp="1699396309"&gt;23&lt;/key&gt;&lt;/foreign-keys&gt;&lt;ref-type name="Journal Article"&gt;17&lt;/ref-type&gt;&lt;contributors&gt;&lt;authors&gt;&lt;author&gt;Jackson, Christopher H&lt;/author&gt;&lt;author&gt;Jit, Mark&lt;/author&gt;&lt;author&gt;Sharples, Linda D&lt;/author&gt;&lt;author&gt;De Angelis, Daniela&lt;/author&gt;&lt;/authors&gt;&lt;/contributors&gt;&lt;titles&gt;&lt;title&gt;Calibration of complex models through Bayesian evidence synthesis: a demonstration and tutorial&lt;/title&gt;&lt;secondary-title&gt;Medical decision making&lt;/secondary-title&gt;&lt;/titles&gt;&lt;periodical&gt;&lt;full-title&gt;Medical decision making&lt;/full-title&gt;&lt;/periodical&gt;&lt;pages&gt;148-161&lt;/pages&gt;&lt;volume&gt;35&lt;/volume&gt;&lt;number&gt;2&lt;/number&gt;&lt;dates&gt;&lt;year&gt;2015&lt;/year&gt;&lt;/dates&gt;&lt;isbn&gt;0272-989X&lt;/isbn&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[8, 9]</w:t>
      </w:r>
      <w:r>
        <w:rPr>
          <w:rFonts w:ascii="Times New Roman" w:eastAsia="Times New Roman" w:hAnsi="Times New Roman" w:cs="Times New Roman"/>
        </w:rPr>
        <w:fldChar w:fldCharType="end"/>
      </w:r>
      <w:r>
        <w:rPr>
          <w:rFonts w:ascii="Times New Roman" w:eastAsia="Times New Roman" w:hAnsi="Times New Roman" w:cs="Times New Roman"/>
        </w:rPr>
        <w:t xml:space="preserve"> was</w:t>
      </w:r>
      <w:r w:rsidRPr="0070425C">
        <w:rPr>
          <w:rFonts w:ascii="Times New Roman" w:eastAsia="Times New Roman" w:hAnsi="Times New Roman" w:cs="Times New Roman"/>
        </w:rPr>
        <w:t xml:space="preserve"> used to combine data sources and calibrate the model </w:t>
      </w:r>
      <w:r>
        <w:rPr>
          <w:rFonts w:ascii="Times New Roman" w:hAnsi="Times New Roman" w:cs="Times New Roman"/>
        </w:rPr>
        <w:t>to</w:t>
      </w:r>
      <w:r w:rsidRPr="0014734A">
        <w:rPr>
          <w:rFonts w:ascii="Times New Roman" w:hAnsi="Times New Roman" w:cs="Times New Roman"/>
        </w:rPr>
        <w:t xml:space="preserve"> data on US demography</w:t>
      </w:r>
      <w:r>
        <w:rPr>
          <w:rFonts w:ascii="Times New Roman" w:hAnsi="Times New Roman" w:cs="Times New Roman"/>
        </w:rPr>
        <w:t xml:space="preserve">, reported </w:t>
      </w:r>
      <w:r w:rsidRPr="0014734A">
        <w:rPr>
          <w:rFonts w:ascii="Times New Roman" w:hAnsi="Times New Roman" w:cs="Times New Roman"/>
        </w:rPr>
        <w:t>TB epidemiolog</w:t>
      </w:r>
      <w:r>
        <w:rPr>
          <w:rFonts w:ascii="Times New Roman" w:hAnsi="Times New Roman" w:cs="Times New Roman"/>
        </w:rPr>
        <w:t xml:space="preserve">ical data, </w:t>
      </w:r>
      <w:r w:rsidRPr="0014734A">
        <w:rPr>
          <w:rFonts w:ascii="Times New Roman" w:hAnsi="Times New Roman" w:cs="Times New Roman"/>
        </w:rPr>
        <w:t>natural history</w:t>
      </w:r>
      <w:r>
        <w:rPr>
          <w:rFonts w:ascii="Times New Roman" w:hAnsi="Times New Roman" w:cs="Times New Roman"/>
        </w:rPr>
        <w:t xml:space="preserve"> evidence</w:t>
      </w:r>
      <w:r w:rsidRPr="0014734A">
        <w:rPr>
          <w:rFonts w:ascii="Times New Roman" w:hAnsi="Times New Roman" w:cs="Times New Roman"/>
        </w:rPr>
        <w:t>, and health services</w:t>
      </w:r>
      <w:r>
        <w:rPr>
          <w:rFonts w:ascii="Times New Roman" w:hAnsi="Times New Roman" w:cs="Times New Roman"/>
        </w:rPr>
        <w:t xml:space="preserve"> data spanning 1950–2019.</w:t>
      </w:r>
      <w:r w:rsidRPr="00F07A46">
        <w:rPr>
          <w:rFonts w:ascii="Times New Roman" w:hAnsi="Times New Roman" w:cs="Times New Roman"/>
        </w:rPr>
        <w:t xml:space="preserve"> </w:t>
      </w:r>
      <w:r>
        <w:rPr>
          <w:rFonts w:ascii="Times New Roman" w:hAnsi="Times New Roman" w:cs="Times New Roman"/>
        </w:rPr>
        <w:t xml:space="preserve">Log-likelihood functions were used to compare model estimates to reported data for each of the calibration data targets. </w:t>
      </w:r>
      <w:r w:rsidRPr="00F07A46">
        <w:rPr>
          <w:rFonts w:ascii="Times New Roman" w:hAnsi="Times New Roman" w:cs="Times New Roman"/>
        </w:rPr>
        <w:t xml:space="preserve">We used incremental mixture importance sampling to </w:t>
      </w:r>
      <w:r>
        <w:rPr>
          <w:rFonts w:ascii="Times New Roman" w:hAnsi="Times New Roman" w:cs="Times New Roman"/>
        </w:rPr>
        <w:t xml:space="preserve">sample the posterior distribution each of calibrated </w:t>
      </w:r>
      <w:r>
        <w:rPr>
          <w:rFonts w:ascii="Times New Roman" w:hAnsi="Times New Roman" w:cs="Times New Roman"/>
        </w:rPr>
        <w:lastRenderedPageBreak/>
        <w:t>parameters.</w:t>
      </w:r>
      <w:r w:rsidRPr="00F07A46">
        <w:rPr>
          <w:rFonts w:ascii="Times New Roman" w:hAnsi="Times New Roman" w:cs="Times New Roman"/>
        </w:rPr>
        <w:t xml:space="preserve"> </w:t>
      </w:r>
      <w:r>
        <w:rPr>
          <w:rFonts w:ascii="Times New Roman" w:hAnsi="Times New Roman" w:cs="Times New Roman"/>
        </w:rPr>
        <w:t>This procedure yielded</w:t>
      </w:r>
      <w:r w:rsidRPr="0014734A">
        <w:rPr>
          <w:rFonts w:ascii="Times New Roman" w:hAnsi="Times New Roman" w:cs="Times New Roman"/>
        </w:rPr>
        <w:t xml:space="preserve"> </w:t>
      </w:r>
      <w:r w:rsidRPr="00F07A46">
        <w:rPr>
          <w:rFonts w:ascii="Times New Roman" w:hAnsi="Times New Roman" w:cs="Times New Roman"/>
        </w:rPr>
        <w:t xml:space="preserve">1,000 parameter sets consistent with </w:t>
      </w:r>
      <w:r>
        <w:rPr>
          <w:rFonts w:ascii="Times New Roman" w:hAnsi="Times New Roman" w:cs="Times New Roman"/>
        </w:rPr>
        <w:t>the reported</w:t>
      </w:r>
      <w:r w:rsidRPr="0014734A">
        <w:rPr>
          <w:rFonts w:ascii="Times New Roman" w:hAnsi="Times New Roman" w:cs="Times New Roman"/>
        </w:rPr>
        <w:t xml:space="preserve"> TB data</w:t>
      </w:r>
      <w:r>
        <w:rPr>
          <w:rFonts w:ascii="Times New Roman" w:hAnsi="Times New Roman" w:cs="Times New Roman"/>
        </w:rPr>
        <w:t xml:space="preserve"> while representing the joint uncertainty in the calibrated parameters. </w:t>
      </w:r>
      <w:r>
        <w:rPr>
          <w:rFonts w:ascii="Times New Roman" w:eastAsia="Times New Roman" w:hAnsi="Times New Roman" w:cs="Times New Roman"/>
        </w:rPr>
        <w:t xml:space="preserve">The result of this calibration is referred to as the “pre-COVID-19” calibration. </w:t>
      </w:r>
    </w:p>
    <w:p w14:paraId="29FEFA29" w14:textId="77777777" w:rsidR="004C20AC" w:rsidRPr="0070425C" w:rsidRDefault="004C20AC" w:rsidP="004C20AC">
      <w:pPr>
        <w:spacing w:before="100" w:beforeAutospacing="1" w:after="100" w:afterAutospacing="1" w:line="480" w:lineRule="auto"/>
        <w:rPr>
          <w:rFonts w:ascii="Times New Roman" w:eastAsia="Times New Roman" w:hAnsi="Times New Roman" w:cs="Times New Roman"/>
          <w:b/>
          <w:bCs/>
        </w:rPr>
      </w:pPr>
      <w:r w:rsidRPr="00F40B24">
        <w:rPr>
          <w:rFonts w:ascii="Times New Roman" w:eastAsia="Times New Roman" w:hAnsi="Times New Roman" w:cs="Times New Roman"/>
          <w:b/>
          <w:bCs/>
        </w:rPr>
        <w:t xml:space="preserve">Secondary model calibration to include COVID-19 </w:t>
      </w:r>
      <w:r>
        <w:rPr>
          <w:rFonts w:ascii="Times New Roman" w:eastAsia="Times New Roman" w:hAnsi="Times New Roman" w:cs="Times New Roman"/>
          <w:b/>
          <w:bCs/>
        </w:rPr>
        <w:t>changes</w:t>
      </w:r>
    </w:p>
    <w:p w14:paraId="35CFCA5E" w14:textId="5C098383" w:rsidR="004C20AC" w:rsidRDefault="004C20AC" w:rsidP="004C20AC">
      <w:pPr>
        <w:spacing w:line="480" w:lineRule="auto"/>
        <w:rPr>
          <w:rFonts w:ascii="Times New Roman" w:hAnsi="Times New Roman" w:cs="Times New Roman"/>
        </w:rPr>
      </w:pPr>
      <w:r>
        <w:rPr>
          <w:rFonts w:ascii="Times New Roman" w:hAnsi="Times New Roman" w:cs="Times New Roman"/>
        </w:rPr>
        <w:t>To</w:t>
      </w:r>
      <w:r w:rsidRPr="00BF5553">
        <w:rPr>
          <w:rFonts w:ascii="Times New Roman" w:hAnsi="Times New Roman" w:cs="Times New Roman"/>
        </w:rPr>
        <w:t xml:space="preserve"> estimate the potential impact of COVID-19 on tuberculosis in the United States </w:t>
      </w:r>
      <w:r>
        <w:rPr>
          <w:rFonts w:ascii="Times New Roman" w:hAnsi="Times New Roman" w:cs="Times New Roman"/>
        </w:rPr>
        <w:t xml:space="preserve">we performed a secondary calibration of the model to data collected during the pandemic period. </w:t>
      </w:r>
      <w:r w:rsidRPr="00620B0E">
        <w:rPr>
          <w:rFonts w:ascii="Times New Roman" w:hAnsi="Times New Roman" w:cs="Times New Roman"/>
        </w:rPr>
        <w:t xml:space="preserve">We mapped each of the </w:t>
      </w:r>
      <w:r>
        <w:rPr>
          <w:rFonts w:ascii="Times New Roman" w:hAnsi="Times New Roman" w:cs="Times New Roman"/>
        </w:rPr>
        <w:t>four explored mechanisms (changes in immigration, accurate diagnosis and treatment initiation rates, interpersonal contact rates, and mortality among persons with TB disease)</w:t>
      </w:r>
      <w:r w:rsidRPr="00620B0E">
        <w:rPr>
          <w:rFonts w:ascii="Times New Roman" w:hAnsi="Times New Roman" w:cs="Times New Roman"/>
        </w:rPr>
        <w:t xml:space="preserve"> to their corresponding </w:t>
      </w:r>
      <w:r>
        <w:rPr>
          <w:rFonts w:ascii="Times New Roman" w:hAnsi="Times New Roman" w:cs="Times New Roman"/>
        </w:rPr>
        <w:t>model</w:t>
      </w:r>
      <w:r w:rsidRPr="00620B0E">
        <w:rPr>
          <w:rFonts w:ascii="Times New Roman" w:hAnsi="Times New Roman" w:cs="Times New Roman"/>
        </w:rPr>
        <w:t xml:space="preserve"> input</w:t>
      </w:r>
      <w:r>
        <w:rPr>
          <w:rFonts w:ascii="Times New Roman" w:hAnsi="Times New Roman" w:cs="Times New Roman"/>
        </w:rPr>
        <w:t>s</w:t>
      </w:r>
      <w:r w:rsidRPr="00620B0E">
        <w:rPr>
          <w:rFonts w:ascii="Times New Roman" w:hAnsi="Times New Roman" w:cs="Times New Roman"/>
        </w:rPr>
        <w:t xml:space="preserve">. </w:t>
      </w:r>
      <w:r>
        <w:rPr>
          <w:rFonts w:ascii="Times New Roman" w:hAnsi="Times New Roman" w:cs="Times New Roman"/>
        </w:rPr>
        <w:t xml:space="preserve">Table </w:t>
      </w:r>
      <w:r w:rsidR="003720A7">
        <w:rPr>
          <w:rFonts w:ascii="Times New Roman" w:hAnsi="Times New Roman" w:cs="Times New Roman"/>
        </w:rPr>
        <w:t>S</w:t>
      </w:r>
      <w:r>
        <w:rPr>
          <w:rFonts w:ascii="Times New Roman" w:hAnsi="Times New Roman" w:cs="Times New Roman"/>
        </w:rPr>
        <w:t xml:space="preserve">1 presents these parameters, their pre-COVID-19 levels, their prior distributions, the fitted parameter means and uncertainty intervals. </w:t>
      </w:r>
      <w:r w:rsidRPr="00620B0E">
        <w:rPr>
          <w:rFonts w:ascii="Times New Roman" w:hAnsi="Times New Roman" w:cs="Times New Roman"/>
        </w:rPr>
        <w:t>We held all the other parameters fixed to the</w:t>
      </w:r>
      <w:r>
        <w:rPr>
          <w:rFonts w:ascii="Times New Roman" w:hAnsi="Times New Roman" w:cs="Times New Roman"/>
        </w:rPr>
        <w:t xml:space="preserve"> calibrated</w:t>
      </w:r>
      <w:r w:rsidRPr="00620B0E">
        <w:rPr>
          <w:rFonts w:ascii="Times New Roman" w:hAnsi="Times New Roman" w:cs="Times New Roman"/>
        </w:rPr>
        <w:t xml:space="preserve"> </w:t>
      </w:r>
      <w:r>
        <w:rPr>
          <w:rFonts w:ascii="Times New Roman" w:hAnsi="Times New Roman" w:cs="Times New Roman"/>
        </w:rPr>
        <w:t xml:space="preserve">mean </w:t>
      </w:r>
      <w:r w:rsidRPr="00620B0E">
        <w:rPr>
          <w:rFonts w:ascii="Times New Roman" w:hAnsi="Times New Roman" w:cs="Times New Roman"/>
        </w:rPr>
        <w:t>pre</w:t>
      </w:r>
      <w:r>
        <w:rPr>
          <w:rFonts w:ascii="Times New Roman" w:hAnsi="Times New Roman" w:cs="Times New Roman"/>
        </w:rPr>
        <w:t>-</w:t>
      </w:r>
      <w:r w:rsidRPr="00620B0E">
        <w:rPr>
          <w:rFonts w:ascii="Times New Roman" w:hAnsi="Times New Roman" w:cs="Times New Roman"/>
        </w:rPr>
        <w:t xml:space="preserve">COVID-19 </w:t>
      </w:r>
      <w:r>
        <w:rPr>
          <w:rFonts w:ascii="Times New Roman" w:hAnsi="Times New Roman" w:cs="Times New Roman"/>
        </w:rPr>
        <w:t>values</w:t>
      </w:r>
      <w:r w:rsidRPr="00620B0E">
        <w:rPr>
          <w:rFonts w:ascii="Times New Roman" w:hAnsi="Times New Roman" w:cs="Times New Roman"/>
        </w:rPr>
        <w:t xml:space="preserve"> and allowed only the</w:t>
      </w:r>
      <w:r>
        <w:rPr>
          <w:rFonts w:ascii="Times New Roman" w:hAnsi="Times New Roman" w:cs="Times New Roman"/>
        </w:rPr>
        <w:t xml:space="preserve"> </w:t>
      </w:r>
      <w:r w:rsidRPr="00620B0E">
        <w:rPr>
          <w:rFonts w:ascii="Times New Roman" w:hAnsi="Times New Roman" w:cs="Times New Roman"/>
        </w:rPr>
        <w:t xml:space="preserve">parameters representing the </w:t>
      </w:r>
      <w:r>
        <w:rPr>
          <w:rFonts w:ascii="Times New Roman" w:hAnsi="Times New Roman" w:cs="Times New Roman"/>
        </w:rPr>
        <w:t xml:space="preserve">four </w:t>
      </w:r>
      <w:r w:rsidRPr="00620B0E">
        <w:rPr>
          <w:rFonts w:ascii="Times New Roman" w:hAnsi="Times New Roman" w:cs="Times New Roman"/>
        </w:rPr>
        <w:t>mechanisms to vary during the COVID-19</w:t>
      </w:r>
      <w:r>
        <w:rPr>
          <w:rFonts w:ascii="Times New Roman" w:hAnsi="Times New Roman" w:cs="Times New Roman"/>
        </w:rPr>
        <w:t xml:space="preserve"> calibration.</w:t>
      </w:r>
      <w:r w:rsidR="00EC6808">
        <w:rPr>
          <w:rFonts w:ascii="Times New Roman" w:hAnsi="Times New Roman" w:cs="Times New Roman"/>
        </w:rPr>
        <w:t xml:space="preserve"> </w:t>
      </w:r>
      <w:r>
        <w:rPr>
          <w:rFonts w:ascii="Times New Roman" w:hAnsi="Times New Roman" w:cs="Times New Roman"/>
        </w:rPr>
        <w:t xml:space="preserve">The COVID-19 calibration period was March 2020–March 2023. </w:t>
      </w:r>
      <w:r w:rsidR="00EC6808">
        <w:rPr>
          <w:rFonts w:ascii="Times New Roman" w:hAnsi="Times New Roman" w:cs="Times New Roman"/>
        </w:rPr>
        <w:t xml:space="preserve">Figure S2 presents an example schematic of how the secondary calibration parameters were incorporated into the model fits. </w:t>
      </w:r>
      <w:r>
        <w:rPr>
          <w:rFonts w:ascii="Times New Roman" w:hAnsi="Times New Roman" w:cs="Times New Roman"/>
        </w:rPr>
        <w:t xml:space="preserve">The calibration algorithm was identical to the initial calibration, but exclusive to the mechanism parameters. </w:t>
      </w:r>
    </w:p>
    <w:p w14:paraId="7F9338F5" w14:textId="77777777" w:rsidR="004C20AC" w:rsidRDefault="004C20AC" w:rsidP="004C20AC">
      <w:pPr>
        <w:spacing w:line="480" w:lineRule="auto"/>
        <w:rPr>
          <w:rFonts w:ascii="Times New Roman" w:hAnsi="Times New Roman" w:cs="Times New Roman"/>
        </w:rPr>
      </w:pPr>
      <w:r>
        <w:rPr>
          <w:rFonts w:ascii="Times New Roman" w:hAnsi="Times New Roman" w:cs="Times New Roman"/>
        </w:rPr>
        <w:br w:type="column"/>
      </w:r>
    </w:p>
    <w:tbl>
      <w:tblPr>
        <w:tblStyle w:val="TableGridLight"/>
        <w:tblW w:w="9265" w:type="dxa"/>
        <w:tblLook w:val="04A0" w:firstRow="1" w:lastRow="0" w:firstColumn="1" w:lastColumn="0" w:noHBand="0" w:noVBand="1"/>
      </w:tblPr>
      <w:tblGrid>
        <w:gridCol w:w="3579"/>
        <w:gridCol w:w="2049"/>
        <w:gridCol w:w="2388"/>
        <w:gridCol w:w="1249"/>
      </w:tblGrid>
      <w:tr w:rsidR="004C20AC" w:rsidRPr="00251295" w14:paraId="2A7F68FB" w14:textId="77777777" w:rsidTr="00946907">
        <w:trPr>
          <w:trHeight w:val="144"/>
        </w:trPr>
        <w:tc>
          <w:tcPr>
            <w:tcW w:w="3579" w:type="dxa"/>
            <w:tcBorders>
              <w:bottom w:val="single" w:sz="4" w:space="0" w:color="auto"/>
            </w:tcBorders>
          </w:tcPr>
          <w:p w14:paraId="4DFD13C7" w14:textId="77777777" w:rsidR="004C20AC" w:rsidRPr="00251295" w:rsidRDefault="004C20AC" w:rsidP="00946907">
            <w:pPr>
              <w:jc w:val="right"/>
              <w:rPr>
                <w:rFonts w:ascii="Times New Roman" w:hAnsi="Times New Roman" w:cs="Times New Roman"/>
                <w:b/>
                <w:bCs/>
                <w:sz w:val="21"/>
                <w:szCs w:val="21"/>
              </w:rPr>
            </w:pPr>
            <w:r w:rsidRPr="00251295">
              <w:rPr>
                <w:rFonts w:ascii="Times New Roman" w:hAnsi="Times New Roman" w:cs="Times New Roman"/>
                <w:b/>
                <w:bCs/>
                <w:sz w:val="21"/>
                <w:szCs w:val="21"/>
              </w:rPr>
              <w:t>Parameter name</w:t>
            </w:r>
          </w:p>
        </w:tc>
        <w:tc>
          <w:tcPr>
            <w:tcW w:w="2049" w:type="dxa"/>
            <w:tcBorders>
              <w:bottom w:val="single" w:sz="4" w:space="0" w:color="auto"/>
            </w:tcBorders>
          </w:tcPr>
          <w:p w14:paraId="00EC8E0B" w14:textId="77777777" w:rsidR="004C20AC" w:rsidRPr="00251295" w:rsidRDefault="004C20AC" w:rsidP="00946907">
            <w:pPr>
              <w:jc w:val="center"/>
              <w:rPr>
                <w:rFonts w:ascii="Times New Roman" w:hAnsi="Times New Roman" w:cs="Times New Roman"/>
                <w:b/>
                <w:bCs/>
                <w:sz w:val="21"/>
                <w:szCs w:val="21"/>
              </w:rPr>
            </w:pPr>
            <w:r>
              <w:rPr>
                <w:rFonts w:ascii="Times New Roman" w:hAnsi="Times New Roman" w:cs="Times New Roman"/>
                <w:b/>
                <w:bCs/>
                <w:sz w:val="21"/>
                <w:szCs w:val="21"/>
              </w:rPr>
              <w:t>Fitted p</w:t>
            </w:r>
            <w:r w:rsidRPr="00251295">
              <w:rPr>
                <w:rFonts w:ascii="Times New Roman" w:hAnsi="Times New Roman" w:cs="Times New Roman"/>
                <w:b/>
                <w:bCs/>
                <w:sz w:val="21"/>
                <w:szCs w:val="21"/>
              </w:rPr>
              <w:t>arameter mean and 95% interval</w:t>
            </w:r>
          </w:p>
        </w:tc>
        <w:tc>
          <w:tcPr>
            <w:tcW w:w="2388" w:type="dxa"/>
            <w:tcBorders>
              <w:bottom w:val="single" w:sz="4" w:space="0" w:color="auto"/>
            </w:tcBorders>
          </w:tcPr>
          <w:p w14:paraId="0E11D9D2" w14:textId="77777777" w:rsidR="004C20AC" w:rsidRPr="00251295" w:rsidRDefault="004C20AC" w:rsidP="00946907">
            <w:pPr>
              <w:jc w:val="center"/>
              <w:rPr>
                <w:rFonts w:ascii="Times New Roman" w:hAnsi="Times New Roman" w:cs="Times New Roman"/>
                <w:b/>
                <w:bCs/>
                <w:sz w:val="21"/>
                <w:szCs w:val="21"/>
              </w:rPr>
            </w:pPr>
            <w:r w:rsidRPr="00251295">
              <w:rPr>
                <w:rFonts w:ascii="Times New Roman" w:hAnsi="Times New Roman" w:cs="Times New Roman"/>
                <w:b/>
                <w:bCs/>
                <w:sz w:val="21"/>
                <w:szCs w:val="21"/>
              </w:rPr>
              <w:t>Prior distribution informed by reported data</w:t>
            </w:r>
          </w:p>
        </w:tc>
        <w:tc>
          <w:tcPr>
            <w:tcW w:w="1249" w:type="dxa"/>
            <w:tcBorders>
              <w:bottom w:val="single" w:sz="4" w:space="0" w:color="auto"/>
            </w:tcBorders>
          </w:tcPr>
          <w:p w14:paraId="5DDE0C01" w14:textId="77777777" w:rsidR="004C20AC" w:rsidRPr="00251295" w:rsidRDefault="004C20AC" w:rsidP="00946907">
            <w:pPr>
              <w:jc w:val="center"/>
              <w:rPr>
                <w:rFonts w:ascii="Times New Roman" w:hAnsi="Times New Roman" w:cs="Times New Roman"/>
                <w:b/>
                <w:bCs/>
                <w:sz w:val="21"/>
                <w:szCs w:val="21"/>
              </w:rPr>
            </w:pPr>
            <w:r w:rsidRPr="00251295">
              <w:rPr>
                <w:rFonts w:ascii="Times New Roman" w:hAnsi="Times New Roman" w:cs="Times New Roman"/>
                <w:b/>
                <w:bCs/>
                <w:sz w:val="21"/>
                <w:szCs w:val="21"/>
              </w:rPr>
              <w:t>Sources</w:t>
            </w:r>
          </w:p>
        </w:tc>
      </w:tr>
      <w:tr w:rsidR="004C20AC" w:rsidRPr="00251295" w14:paraId="7B994BFE" w14:textId="77777777" w:rsidTr="00946907">
        <w:trPr>
          <w:trHeight w:val="144"/>
        </w:trPr>
        <w:tc>
          <w:tcPr>
            <w:tcW w:w="9265" w:type="dxa"/>
            <w:gridSpan w:val="4"/>
            <w:tcBorders>
              <w:top w:val="single" w:sz="4" w:space="0" w:color="auto"/>
            </w:tcBorders>
            <w:shd w:val="clear" w:color="auto" w:fill="D0CECE" w:themeFill="background2" w:themeFillShade="E6"/>
          </w:tcPr>
          <w:p w14:paraId="74EB228C" w14:textId="77777777" w:rsidR="004C20AC" w:rsidRPr="00251295" w:rsidRDefault="004C20AC" w:rsidP="00946907">
            <w:pPr>
              <w:rPr>
                <w:rFonts w:ascii="Times New Roman" w:hAnsi="Times New Roman" w:cs="Times New Roman"/>
                <w:i/>
                <w:iCs/>
                <w:sz w:val="21"/>
                <w:szCs w:val="21"/>
              </w:rPr>
            </w:pPr>
            <w:r w:rsidRPr="00251295">
              <w:rPr>
                <w:rFonts w:ascii="Times New Roman" w:hAnsi="Times New Roman" w:cs="Times New Roman"/>
                <w:i/>
                <w:iCs/>
                <w:sz w:val="21"/>
                <w:szCs w:val="21"/>
              </w:rPr>
              <w:t>Accurate diagnosis and treatment initiation rates</w:t>
            </w:r>
          </w:p>
        </w:tc>
      </w:tr>
      <w:tr w:rsidR="004C20AC" w:rsidRPr="00251295" w14:paraId="2FFCCF01" w14:textId="77777777" w:rsidTr="00946907">
        <w:trPr>
          <w:trHeight w:val="144"/>
        </w:trPr>
        <w:tc>
          <w:tcPr>
            <w:tcW w:w="3579" w:type="dxa"/>
          </w:tcPr>
          <w:p w14:paraId="43054822" w14:textId="77777777" w:rsidR="004C20AC" w:rsidRPr="00251295" w:rsidDel="002A5039" w:rsidRDefault="004C20AC" w:rsidP="00946907">
            <w:pPr>
              <w:rPr>
                <w:rFonts w:ascii="Times New Roman" w:hAnsi="Times New Roman" w:cs="Times New Roman"/>
                <w:sz w:val="21"/>
                <w:szCs w:val="21"/>
              </w:rPr>
            </w:pPr>
            <w:r w:rsidRPr="00251295">
              <w:rPr>
                <w:rFonts w:ascii="Times New Roman" w:hAnsi="Times New Roman" w:cs="Times New Roman"/>
                <w:sz w:val="21"/>
                <w:szCs w:val="21"/>
              </w:rPr>
              <w:t xml:space="preserve">Baseline value </w:t>
            </w:r>
          </w:p>
        </w:tc>
        <w:tc>
          <w:tcPr>
            <w:tcW w:w="4437" w:type="dxa"/>
            <w:gridSpan w:val="2"/>
          </w:tcPr>
          <w:p w14:paraId="3CAD19BE"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0.30</w:t>
            </w:r>
          </w:p>
        </w:tc>
        <w:tc>
          <w:tcPr>
            <w:tcW w:w="1249" w:type="dxa"/>
          </w:tcPr>
          <w:p w14:paraId="57C15C3F"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C</w:t>
            </w:r>
            <w:r w:rsidRPr="00251295">
              <w:rPr>
                <w:rFonts w:ascii="Times New Roman" w:hAnsi="Times New Roman" w:cs="Times New Roman"/>
                <w:sz w:val="21"/>
                <w:szCs w:val="21"/>
              </w:rPr>
              <w:t>alibrated</w:t>
            </w:r>
          </w:p>
        </w:tc>
      </w:tr>
      <w:tr w:rsidR="004C20AC" w:rsidRPr="00251295" w14:paraId="191FC3F7" w14:textId="77777777" w:rsidTr="00946907">
        <w:trPr>
          <w:trHeight w:val="144"/>
        </w:trPr>
        <w:tc>
          <w:tcPr>
            <w:tcW w:w="3579" w:type="dxa"/>
          </w:tcPr>
          <w:p w14:paraId="109E2558"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Time varying r</w:t>
            </w:r>
            <w:r w:rsidRPr="00251295">
              <w:rPr>
                <w:rFonts w:ascii="Times New Roman" w:hAnsi="Times New Roman" w:cs="Times New Roman"/>
                <w:sz w:val="21"/>
                <w:szCs w:val="21"/>
              </w:rPr>
              <w:t>atio of change</w:t>
            </w:r>
          </w:p>
          <w:p w14:paraId="1E0B5B7D"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March – August 2020</w:t>
            </w:r>
          </w:p>
        </w:tc>
        <w:tc>
          <w:tcPr>
            <w:tcW w:w="2049" w:type="dxa"/>
          </w:tcPr>
          <w:p w14:paraId="34C19EEE" w14:textId="77777777" w:rsidR="004C20AC" w:rsidRPr="00251295" w:rsidRDefault="004C20AC" w:rsidP="00946907">
            <w:pPr>
              <w:jc w:val="right"/>
              <w:rPr>
                <w:rFonts w:ascii="Times New Roman" w:hAnsi="Times New Roman" w:cs="Times New Roman"/>
                <w:sz w:val="21"/>
                <w:szCs w:val="21"/>
              </w:rPr>
            </w:pPr>
          </w:p>
          <w:p w14:paraId="02FAE61C"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0.67 (0.38, 1.04)</w:t>
            </w:r>
          </w:p>
        </w:tc>
        <w:tc>
          <w:tcPr>
            <w:tcW w:w="2388" w:type="dxa"/>
          </w:tcPr>
          <w:p w14:paraId="6E5A64E2" w14:textId="77777777" w:rsidR="004C20AC" w:rsidRPr="00251295" w:rsidRDefault="004C20AC" w:rsidP="00946907">
            <w:pPr>
              <w:jc w:val="right"/>
              <w:rPr>
                <w:rFonts w:ascii="Times New Roman" w:hAnsi="Times New Roman" w:cs="Times New Roman"/>
                <w:sz w:val="21"/>
                <w:szCs w:val="21"/>
              </w:rPr>
            </w:pPr>
          </w:p>
          <w:p w14:paraId="1CDD3275"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22.76)</w:t>
            </w:r>
          </w:p>
        </w:tc>
        <w:tc>
          <w:tcPr>
            <w:tcW w:w="1249" w:type="dxa"/>
            <w:vMerge w:val="restart"/>
          </w:tcPr>
          <w:p w14:paraId="6CE582C0" w14:textId="77777777" w:rsidR="004C20AC" w:rsidRPr="00251295" w:rsidRDefault="004C20AC" w:rsidP="00946907">
            <w:pPr>
              <w:rPr>
                <w:rFonts w:ascii="Times New Roman" w:hAnsi="Times New Roman" w:cs="Times New Roman"/>
                <w:sz w:val="21"/>
                <w:szCs w:val="21"/>
              </w:rPr>
            </w:pPr>
          </w:p>
          <w:p w14:paraId="3BD5EE32"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ADDIN EN.CITE &lt;EndNote&gt;&lt;Cite&gt;&lt;Author&gt;Centers for Disease Control and Prevention (CDC) National Center for Health Statistics (NCHS)&lt;/Author&gt;&lt;Year&gt;2021&lt;/Year&gt;&lt;RecNum&gt;24&lt;/RecNum&gt;&lt;DisplayText&gt;[10]&lt;/DisplayText&gt;&lt;record&gt;&lt;rec-number&gt;24&lt;/rec-number&gt;&lt;foreign-keys&gt;&lt;key app="EN" db-id="v0saxw5dcdwazbeftrjx2tdhx0fxwz05xwt2" timestamp="1705989732"&gt;24&lt;/key&gt;&lt;/foreign-keys&gt;&lt;ref-type name="Web Page"&gt;12&lt;/ref-type&gt;&lt;contributors&gt;&lt;authors&gt;&lt;author&gt;Centers for Disease Control and Prevention (CDC) National Center for Health Statistics (NCHS),&lt;/author&gt;&lt;/authors&gt;&lt;/contributors&gt;&lt;titles&gt;&lt;title&gt;Reduced Access to Care &lt;/title&gt;&lt;secondary-title&gt;RANDS during COVID-19&lt;/secondary-title&gt;&lt;/titles&gt;&lt;volume&gt;2023&lt;/volume&gt;&lt;number&gt;21 July&lt;/number&gt;&lt;dates&gt;&lt;year&gt;2021&lt;/year&gt;&lt;/dates&gt;&lt;pub-location&gt;Hyattsville, MD&lt;/pub-location&gt;&lt;publisher&gt;U.S. Department of Health and Human Services, Centers for Disease Control and Prevention,  &lt;/publisher&gt;&lt;urls&gt;&lt;related-urls&gt;&lt;url&gt;https://www.cdc.gov/nchs/covid19/rands/reduced-access-to-care.htm&lt;/url&gt;&lt;/related-urls&gt;&lt;/urls&gt;&lt;access-date&gt;21 July 2023&lt;/access-date&gt;&lt;/record&gt;&lt;/Cite&gt;&lt;/EndNote&gt;</w:instrText>
            </w:r>
            <w:r>
              <w:rPr>
                <w:rFonts w:ascii="Times New Roman" w:hAnsi="Times New Roman" w:cs="Times New Roman"/>
                <w:sz w:val="21"/>
                <w:szCs w:val="21"/>
              </w:rPr>
              <w:fldChar w:fldCharType="separate"/>
            </w:r>
            <w:r>
              <w:rPr>
                <w:rFonts w:ascii="Times New Roman" w:hAnsi="Times New Roman" w:cs="Times New Roman"/>
                <w:noProof/>
                <w:sz w:val="21"/>
                <w:szCs w:val="21"/>
              </w:rPr>
              <w:t>[10]</w:t>
            </w:r>
            <w:r>
              <w:rPr>
                <w:rFonts w:ascii="Times New Roman" w:hAnsi="Times New Roman" w:cs="Times New Roman"/>
                <w:sz w:val="21"/>
                <w:szCs w:val="21"/>
              </w:rPr>
              <w:fldChar w:fldCharType="end"/>
            </w:r>
          </w:p>
        </w:tc>
      </w:tr>
      <w:tr w:rsidR="004C20AC" w:rsidRPr="00251295" w14:paraId="4983CC5C" w14:textId="77777777" w:rsidTr="00946907">
        <w:trPr>
          <w:trHeight w:val="144"/>
        </w:trPr>
        <w:tc>
          <w:tcPr>
            <w:tcW w:w="3579" w:type="dxa"/>
          </w:tcPr>
          <w:p w14:paraId="72AD9F5D"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September 2020 – February 2021</w:t>
            </w:r>
          </w:p>
        </w:tc>
        <w:tc>
          <w:tcPr>
            <w:tcW w:w="2049" w:type="dxa"/>
          </w:tcPr>
          <w:p w14:paraId="09C79B50"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0.80 (0.45, 1.25)</w:t>
            </w:r>
          </w:p>
        </w:tc>
        <w:tc>
          <w:tcPr>
            <w:tcW w:w="2388" w:type="dxa"/>
          </w:tcPr>
          <w:p w14:paraId="499E0E86"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18.91)</w:t>
            </w:r>
          </w:p>
        </w:tc>
        <w:tc>
          <w:tcPr>
            <w:tcW w:w="1249" w:type="dxa"/>
            <w:vMerge/>
          </w:tcPr>
          <w:p w14:paraId="4FA008F0" w14:textId="77777777" w:rsidR="004C20AC" w:rsidRPr="00251295" w:rsidRDefault="004C20AC" w:rsidP="00946907">
            <w:pPr>
              <w:rPr>
                <w:rFonts w:ascii="Times New Roman" w:hAnsi="Times New Roman" w:cs="Times New Roman"/>
                <w:sz w:val="21"/>
                <w:szCs w:val="21"/>
              </w:rPr>
            </w:pPr>
          </w:p>
        </w:tc>
      </w:tr>
      <w:tr w:rsidR="004C20AC" w:rsidRPr="00251295" w14:paraId="2900D259" w14:textId="77777777" w:rsidTr="00946907">
        <w:trPr>
          <w:trHeight w:val="144"/>
        </w:trPr>
        <w:tc>
          <w:tcPr>
            <w:tcW w:w="3579" w:type="dxa"/>
          </w:tcPr>
          <w:p w14:paraId="6043B1D9"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March – August 2021</w:t>
            </w:r>
          </w:p>
        </w:tc>
        <w:tc>
          <w:tcPr>
            <w:tcW w:w="2049" w:type="dxa"/>
          </w:tcPr>
          <w:p w14:paraId="200AB62A"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0.92 (0.52, 1.45)</w:t>
            </w:r>
          </w:p>
        </w:tc>
        <w:tc>
          <w:tcPr>
            <w:tcW w:w="2388" w:type="dxa"/>
          </w:tcPr>
          <w:p w14:paraId="55FB250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16.37)</w:t>
            </w:r>
          </w:p>
        </w:tc>
        <w:tc>
          <w:tcPr>
            <w:tcW w:w="1249" w:type="dxa"/>
            <w:vMerge/>
          </w:tcPr>
          <w:p w14:paraId="1EC93B9E" w14:textId="77777777" w:rsidR="004C20AC" w:rsidRPr="00251295" w:rsidRDefault="004C20AC" w:rsidP="00946907">
            <w:pPr>
              <w:rPr>
                <w:rFonts w:ascii="Times New Roman" w:hAnsi="Times New Roman" w:cs="Times New Roman"/>
                <w:sz w:val="21"/>
                <w:szCs w:val="21"/>
              </w:rPr>
            </w:pPr>
          </w:p>
        </w:tc>
      </w:tr>
      <w:tr w:rsidR="004C20AC" w:rsidRPr="00251295" w14:paraId="6B33874A" w14:textId="77777777" w:rsidTr="00946907">
        <w:trPr>
          <w:trHeight w:val="144"/>
        </w:trPr>
        <w:tc>
          <w:tcPr>
            <w:tcW w:w="3579" w:type="dxa"/>
          </w:tcPr>
          <w:p w14:paraId="1F9271C8"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September 2021 – February 2022</w:t>
            </w:r>
          </w:p>
        </w:tc>
        <w:tc>
          <w:tcPr>
            <w:tcW w:w="2049" w:type="dxa"/>
          </w:tcPr>
          <w:p w14:paraId="5023CA24"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1.00 (0.56, 1.56)</w:t>
            </w:r>
          </w:p>
        </w:tc>
        <w:tc>
          <w:tcPr>
            <w:tcW w:w="2388" w:type="dxa"/>
          </w:tcPr>
          <w:p w14:paraId="080EA1AC"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15.19)</w:t>
            </w:r>
          </w:p>
        </w:tc>
        <w:tc>
          <w:tcPr>
            <w:tcW w:w="1249" w:type="dxa"/>
            <w:vMerge/>
          </w:tcPr>
          <w:p w14:paraId="345CE7C0" w14:textId="77777777" w:rsidR="004C20AC" w:rsidRPr="00251295" w:rsidRDefault="004C20AC" w:rsidP="00946907">
            <w:pPr>
              <w:rPr>
                <w:rFonts w:ascii="Times New Roman" w:hAnsi="Times New Roman" w:cs="Times New Roman"/>
                <w:sz w:val="21"/>
                <w:szCs w:val="21"/>
              </w:rPr>
            </w:pPr>
          </w:p>
        </w:tc>
      </w:tr>
      <w:tr w:rsidR="004C20AC" w:rsidRPr="00251295" w14:paraId="0DE8A6FE" w14:textId="77777777" w:rsidTr="00946907">
        <w:trPr>
          <w:trHeight w:val="144"/>
        </w:trPr>
        <w:tc>
          <w:tcPr>
            <w:tcW w:w="3579" w:type="dxa"/>
          </w:tcPr>
          <w:p w14:paraId="32DA1A38"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March – August 2022</w:t>
            </w:r>
          </w:p>
        </w:tc>
        <w:tc>
          <w:tcPr>
            <w:tcW w:w="2049" w:type="dxa"/>
          </w:tcPr>
          <w:p w14:paraId="742CA53E"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1.00 (0.56, 1.56)</w:t>
            </w:r>
          </w:p>
        </w:tc>
        <w:tc>
          <w:tcPr>
            <w:tcW w:w="2388" w:type="dxa"/>
          </w:tcPr>
          <w:p w14:paraId="6FCC1FA0"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15.19)</w:t>
            </w:r>
          </w:p>
        </w:tc>
        <w:tc>
          <w:tcPr>
            <w:tcW w:w="1249" w:type="dxa"/>
            <w:vMerge/>
          </w:tcPr>
          <w:p w14:paraId="04E630BE" w14:textId="77777777" w:rsidR="004C20AC" w:rsidRPr="00251295" w:rsidRDefault="004C20AC" w:rsidP="00946907">
            <w:pPr>
              <w:rPr>
                <w:rFonts w:ascii="Times New Roman" w:hAnsi="Times New Roman" w:cs="Times New Roman"/>
                <w:sz w:val="21"/>
                <w:szCs w:val="21"/>
              </w:rPr>
            </w:pPr>
          </w:p>
        </w:tc>
      </w:tr>
      <w:tr w:rsidR="004C20AC" w:rsidRPr="00251295" w14:paraId="078F6E69" w14:textId="77777777" w:rsidTr="00946907">
        <w:trPr>
          <w:trHeight w:val="144"/>
        </w:trPr>
        <w:tc>
          <w:tcPr>
            <w:tcW w:w="3579" w:type="dxa"/>
          </w:tcPr>
          <w:p w14:paraId="315B1A11"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September 2022 – February 2023</w:t>
            </w:r>
          </w:p>
        </w:tc>
        <w:tc>
          <w:tcPr>
            <w:tcW w:w="2049" w:type="dxa"/>
          </w:tcPr>
          <w:p w14:paraId="0F03D612"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1.00 (0.56, 1.56)</w:t>
            </w:r>
          </w:p>
        </w:tc>
        <w:tc>
          <w:tcPr>
            <w:tcW w:w="2388" w:type="dxa"/>
          </w:tcPr>
          <w:p w14:paraId="2138267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15.19)</w:t>
            </w:r>
          </w:p>
        </w:tc>
        <w:tc>
          <w:tcPr>
            <w:tcW w:w="1249" w:type="dxa"/>
            <w:vMerge/>
          </w:tcPr>
          <w:p w14:paraId="02295ADC" w14:textId="77777777" w:rsidR="004C20AC" w:rsidRPr="00251295" w:rsidRDefault="004C20AC" w:rsidP="00946907">
            <w:pPr>
              <w:rPr>
                <w:rFonts w:ascii="Times New Roman" w:hAnsi="Times New Roman" w:cs="Times New Roman"/>
                <w:sz w:val="21"/>
                <w:szCs w:val="21"/>
              </w:rPr>
            </w:pPr>
          </w:p>
        </w:tc>
      </w:tr>
      <w:tr w:rsidR="004C20AC" w:rsidRPr="00251295" w14:paraId="12E32C23" w14:textId="77777777" w:rsidTr="00946907">
        <w:trPr>
          <w:trHeight w:val="144"/>
        </w:trPr>
        <w:tc>
          <w:tcPr>
            <w:tcW w:w="9265" w:type="dxa"/>
            <w:gridSpan w:val="4"/>
            <w:shd w:val="clear" w:color="auto" w:fill="D0CECE" w:themeFill="background2" w:themeFillShade="E6"/>
          </w:tcPr>
          <w:p w14:paraId="248B6660" w14:textId="77777777" w:rsidR="004C20AC" w:rsidRPr="00251295" w:rsidRDefault="004C20AC" w:rsidP="00946907">
            <w:pPr>
              <w:rPr>
                <w:rFonts w:ascii="Times New Roman" w:hAnsi="Times New Roman" w:cs="Times New Roman"/>
                <w:i/>
                <w:iCs/>
                <w:sz w:val="21"/>
                <w:szCs w:val="21"/>
              </w:rPr>
            </w:pPr>
            <w:r w:rsidRPr="00251295">
              <w:rPr>
                <w:rFonts w:ascii="Times New Roman" w:hAnsi="Times New Roman" w:cs="Times New Roman"/>
                <w:i/>
                <w:iCs/>
                <w:sz w:val="21"/>
                <w:szCs w:val="21"/>
              </w:rPr>
              <w:t>Respiratory contact rates</w:t>
            </w:r>
          </w:p>
        </w:tc>
      </w:tr>
      <w:tr w:rsidR="004C20AC" w:rsidRPr="00251295" w14:paraId="38921F9E" w14:textId="77777777" w:rsidTr="00946907">
        <w:trPr>
          <w:trHeight w:val="144"/>
        </w:trPr>
        <w:tc>
          <w:tcPr>
            <w:tcW w:w="3579" w:type="dxa"/>
          </w:tcPr>
          <w:p w14:paraId="3020F8F2" w14:textId="77777777" w:rsidR="004C20AC" w:rsidRPr="00251295" w:rsidRDefault="004C20AC" w:rsidP="00946907">
            <w:pPr>
              <w:rPr>
                <w:rFonts w:ascii="Times New Roman" w:hAnsi="Times New Roman" w:cs="Times New Roman"/>
                <w:sz w:val="21"/>
                <w:szCs w:val="21"/>
              </w:rPr>
            </w:pPr>
            <w:r w:rsidRPr="00251295">
              <w:rPr>
                <w:rFonts w:ascii="Times New Roman" w:hAnsi="Times New Roman" w:cs="Times New Roman"/>
                <w:sz w:val="21"/>
                <w:szCs w:val="21"/>
              </w:rPr>
              <w:t>Baseline value</w:t>
            </w:r>
            <w:r w:rsidRPr="00251295">
              <w:rPr>
                <w:rFonts w:ascii="Times New Roman" w:hAnsi="Times New Roman" w:cs="Times New Roman"/>
                <w:sz w:val="21"/>
                <w:szCs w:val="21"/>
              </w:rPr>
              <w:br/>
            </w:r>
          </w:p>
        </w:tc>
        <w:tc>
          <w:tcPr>
            <w:tcW w:w="4437" w:type="dxa"/>
            <w:gridSpan w:val="2"/>
          </w:tcPr>
          <w:p w14:paraId="7BFB1CE9"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 xml:space="preserve">Varies by nativity and risk; </w:t>
            </w:r>
            <w:r w:rsidRPr="00251295">
              <w:rPr>
                <w:rFonts w:ascii="Times New Roman" w:hAnsi="Times New Roman" w:cs="Times New Roman"/>
                <w:sz w:val="21"/>
                <w:szCs w:val="21"/>
              </w:rPr>
              <w:br/>
              <w:t xml:space="preserve">ranges from 0.00043 (low risk, US-born) </w:t>
            </w:r>
            <w:r w:rsidRPr="00251295">
              <w:rPr>
                <w:rFonts w:ascii="Times New Roman" w:hAnsi="Times New Roman" w:cs="Times New Roman"/>
                <w:sz w:val="21"/>
                <w:szCs w:val="21"/>
              </w:rPr>
              <w:br/>
              <w:t>to 0.036 (high risk non-US–born)</w:t>
            </w:r>
          </w:p>
        </w:tc>
        <w:tc>
          <w:tcPr>
            <w:tcW w:w="1249" w:type="dxa"/>
          </w:tcPr>
          <w:p w14:paraId="6B9119A8"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C</w:t>
            </w:r>
            <w:r w:rsidRPr="00251295">
              <w:rPr>
                <w:rFonts w:ascii="Times New Roman" w:hAnsi="Times New Roman" w:cs="Times New Roman"/>
                <w:sz w:val="21"/>
                <w:szCs w:val="21"/>
              </w:rPr>
              <w:t>alibrated</w:t>
            </w:r>
          </w:p>
        </w:tc>
      </w:tr>
      <w:tr w:rsidR="004C20AC" w:rsidRPr="00251295" w14:paraId="082E027D" w14:textId="77777777" w:rsidTr="00946907">
        <w:trPr>
          <w:trHeight w:val="144"/>
        </w:trPr>
        <w:tc>
          <w:tcPr>
            <w:tcW w:w="3579" w:type="dxa"/>
          </w:tcPr>
          <w:p w14:paraId="58D3C54A"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Time varying r</w:t>
            </w:r>
            <w:r w:rsidRPr="00251295">
              <w:rPr>
                <w:rFonts w:ascii="Times New Roman" w:hAnsi="Times New Roman" w:cs="Times New Roman"/>
                <w:sz w:val="21"/>
                <w:szCs w:val="21"/>
              </w:rPr>
              <w:t>atio of change</w:t>
            </w:r>
          </w:p>
          <w:p w14:paraId="4F44A05E"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March – August 2020</w:t>
            </w:r>
          </w:p>
        </w:tc>
        <w:tc>
          <w:tcPr>
            <w:tcW w:w="2049" w:type="dxa"/>
          </w:tcPr>
          <w:p w14:paraId="16C912FD" w14:textId="77777777" w:rsidR="004C20AC" w:rsidRPr="00251295" w:rsidRDefault="004C20AC" w:rsidP="00946907">
            <w:pPr>
              <w:jc w:val="right"/>
              <w:rPr>
                <w:rFonts w:ascii="Times New Roman" w:hAnsi="Times New Roman" w:cs="Times New Roman"/>
                <w:sz w:val="21"/>
                <w:szCs w:val="21"/>
              </w:rPr>
            </w:pPr>
          </w:p>
          <w:p w14:paraId="3AEA2969"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0.42 (0.24, 0.67)</w:t>
            </w:r>
          </w:p>
        </w:tc>
        <w:tc>
          <w:tcPr>
            <w:tcW w:w="2388" w:type="dxa"/>
          </w:tcPr>
          <w:p w14:paraId="44436F25" w14:textId="77777777" w:rsidR="004C20AC" w:rsidRPr="00251295" w:rsidRDefault="004C20AC" w:rsidP="00946907">
            <w:pPr>
              <w:jc w:val="right"/>
              <w:rPr>
                <w:rFonts w:ascii="Times New Roman" w:hAnsi="Times New Roman" w:cs="Times New Roman"/>
                <w:sz w:val="21"/>
                <w:szCs w:val="21"/>
              </w:rPr>
            </w:pPr>
          </w:p>
          <w:p w14:paraId="6A0BBBA6"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35.43)</w:t>
            </w:r>
          </w:p>
        </w:tc>
        <w:tc>
          <w:tcPr>
            <w:tcW w:w="1249" w:type="dxa"/>
            <w:vMerge w:val="restart"/>
          </w:tcPr>
          <w:p w14:paraId="5F2ACE02"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ADDIN EN.CITE &lt;EndNote&gt;&lt;Cite&gt;&lt;Author&gt;Mathieu&lt;/Author&gt;&lt;Year&gt;2020&lt;/Year&gt;&lt;RecNum&gt;25&lt;/RecNum&gt;&lt;DisplayText&gt;[11, 12]&lt;/DisplayText&gt;&lt;record&gt;&lt;rec-number&gt;25&lt;/rec-number&gt;&lt;foreign-keys&gt;&lt;key app="EN" db-id="v0saxw5dcdwazbeftrjx2tdhx0fxwz05xwt2" timestamp="1705990486"&gt;25&lt;/key&gt;&lt;/foreign-keys&gt;&lt;ref-type name="Journal Article"&gt;17&lt;/ref-type&gt;&lt;contributors&gt;&lt;authors&gt;&lt;author&gt;Mathieu, Edouard&lt;/author&gt;&lt;author&gt;Ritchie, Hannah&lt;/author&gt;&lt;author&gt;Rodés-Guirao, Lucas&lt;/author&gt;&lt;author&gt;Appel, Cameron&lt;/author&gt;&lt;author&gt;Giattino, Charlie&lt;/author&gt;&lt;author&gt;Hasell, Joe&lt;/author&gt;&lt;author&gt;Macdonald, Bobbie&lt;/author&gt;&lt;author&gt;Dattani, Saloni&lt;/author&gt;&lt;author&gt;Beltekian, Diana&lt;/author&gt;&lt;author&gt;Ortiz-Ospina, Esteban&lt;/author&gt;&lt;/authors&gt;&lt;/contributors&gt;&lt;titles&gt;&lt;title&gt;Coronavirus pandemic (COVID-19)&lt;/title&gt;&lt;secondary-title&gt;Our world in data&lt;/secondary-title&gt;&lt;/titles&gt;&lt;periodical&gt;&lt;full-title&gt;Our world in data&lt;/full-title&gt;&lt;/periodical&gt;&lt;dates&gt;&lt;year&gt;2020&lt;/year&gt;&lt;/dates&gt;&lt;urls&gt;&lt;/urls&gt;&lt;/record&gt;&lt;/Cite&gt;&lt;Cite&gt;&lt;Author&gt;Feehan&lt;/Author&gt;&lt;Year&gt;2021&lt;/Year&gt;&lt;RecNum&gt;1&lt;/RecNum&gt;&lt;record&gt;&lt;rec-number&gt;1&lt;/rec-number&gt;&lt;foreign-keys&gt;&lt;key app="EN" db-id="v0saxw5dcdwazbeftrjx2tdhx0fxwz05xwt2" timestamp="1659039986"&gt;1&lt;/key&gt;&lt;/foreign-keys&gt;&lt;ref-type name="Journal Article"&gt;17&lt;/ref-type&gt;&lt;contributors&gt;&lt;authors&gt;&lt;author&gt;Feehan, Dennis M.&lt;/author&gt;&lt;author&gt;Mahmud, Ayesha S.&lt;/author&gt;&lt;/authors&gt;&lt;/contributors&gt;&lt;titles&gt;&lt;title&gt;Quantifying population contact patterns in the United States during the COVID-19 pandemic&lt;/title&gt;&lt;secondary-title&gt;Nature Communications&lt;/secondary-title&gt;&lt;/titles&gt;&lt;periodical&gt;&lt;full-title&gt;Nature Communications&lt;/full-title&gt;&lt;/periodical&gt;&lt;pages&gt;893&lt;/pages&gt;&lt;volume&gt;12&lt;/volume&gt;&lt;number&gt;1&lt;/number&gt;&lt;dates&gt;&lt;year&gt;2021&lt;/year&gt;&lt;pub-dates&gt;&lt;date&gt;2021/02/09&lt;/date&gt;&lt;/pub-dates&gt;&lt;/dates&gt;&lt;isbn&gt;2041-1723&lt;/isbn&gt;&lt;urls&gt;&lt;related-urls&gt;&lt;url&gt;https://doi.org/10.1038/s41467-021-20990-2&lt;/url&gt;&lt;/related-urls&gt;&lt;/urls&gt;&lt;electronic-resource-num&gt;10.1038/s41467-021-20990-2&lt;/electronic-resource-num&gt;&lt;/record&gt;&lt;/Cite&gt;&lt;/EndNote&gt;</w:instrText>
            </w:r>
            <w:r>
              <w:rPr>
                <w:rFonts w:ascii="Times New Roman" w:hAnsi="Times New Roman" w:cs="Times New Roman"/>
                <w:sz w:val="21"/>
                <w:szCs w:val="21"/>
              </w:rPr>
              <w:fldChar w:fldCharType="separate"/>
            </w:r>
            <w:r>
              <w:rPr>
                <w:rFonts w:ascii="Times New Roman" w:hAnsi="Times New Roman" w:cs="Times New Roman"/>
                <w:noProof/>
                <w:sz w:val="21"/>
                <w:szCs w:val="21"/>
              </w:rPr>
              <w:t>[11, 12]</w:t>
            </w:r>
            <w:r>
              <w:rPr>
                <w:rFonts w:ascii="Times New Roman" w:hAnsi="Times New Roman" w:cs="Times New Roman"/>
                <w:sz w:val="21"/>
                <w:szCs w:val="21"/>
              </w:rPr>
              <w:fldChar w:fldCharType="end"/>
            </w:r>
          </w:p>
        </w:tc>
      </w:tr>
      <w:tr w:rsidR="004C20AC" w:rsidRPr="00251295" w14:paraId="0885FFDC" w14:textId="77777777" w:rsidTr="00946907">
        <w:trPr>
          <w:trHeight w:val="144"/>
        </w:trPr>
        <w:tc>
          <w:tcPr>
            <w:tcW w:w="3579" w:type="dxa"/>
          </w:tcPr>
          <w:p w14:paraId="68222E21"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September 2020 – February 2021</w:t>
            </w:r>
          </w:p>
        </w:tc>
        <w:tc>
          <w:tcPr>
            <w:tcW w:w="2049" w:type="dxa"/>
          </w:tcPr>
          <w:p w14:paraId="02509517"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0.55 (0.31, 0.87)</w:t>
            </w:r>
          </w:p>
        </w:tc>
        <w:tc>
          <w:tcPr>
            <w:tcW w:w="2388" w:type="dxa"/>
          </w:tcPr>
          <w:p w14:paraId="68743273"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27.42)</w:t>
            </w:r>
          </w:p>
        </w:tc>
        <w:tc>
          <w:tcPr>
            <w:tcW w:w="1249" w:type="dxa"/>
            <w:vMerge/>
          </w:tcPr>
          <w:p w14:paraId="4CC04E3B" w14:textId="77777777" w:rsidR="004C20AC" w:rsidRPr="00251295" w:rsidRDefault="004C20AC" w:rsidP="00946907">
            <w:pPr>
              <w:rPr>
                <w:rFonts w:ascii="Times New Roman" w:hAnsi="Times New Roman" w:cs="Times New Roman"/>
                <w:sz w:val="21"/>
                <w:szCs w:val="21"/>
              </w:rPr>
            </w:pPr>
          </w:p>
        </w:tc>
      </w:tr>
      <w:tr w:rsidR="004C20AC" w:rsidRPr="00251295" w14:paraId="66D03912" w14:textId="77777777" w:rsidTr="00946907">
        <w:trPr>
          <w:trHeight w:val="144"/>
        </w:trPr>
        <w:tc>
          <w:tcPr>
            <w:tcW w:w="3579" w:type="dxa"/>
          </w:tcPr>
          <w:p w14:paraId="17B546E8"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March – August 2021</w:t>
            </w:r>
          </w:p>
        </w:tc>
        <w:tc>
          <w:tcPr>
            <w:tcW w:w="2049" w:type="dxa"/>
          </w:tcPr>
          <w:p w14:paraId="206DFDA9"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0.68 (0.38, 1.06)</w:t>
            </w:r>
          </w:p>
        </w:tc>
        <w:tc>
          <w:tcPr>
            <w:tcW w:w="2388" w:type="dxa"/>
          </w:tcPr>
          <w:p w14:paraId="36A90BE5"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22.37)</w:t>
            </w:r>
          </w:p>
        </w:tc>
        <w:tc>
          <w:tcPr>
            <w:tcW w:w="1249" w:type="dxa"/>
            <w:vMerge/>
          </w:tcPr>
          <w:p w14:paraId="0E3A1F52" w14:textId="77777777" w:rsidR="004C20AC" w:rsidRPr="00251295" w:rsidRDefault="004C20AC" w:rsidP="00946907">
            <w:pPr>
              <w:rPr>
                <w:rFonts w:ascii="Times New Roman" w:hAnsi="Times New Roman" w:cs="Times New Roman"/>
                <w:sz w:val="21"/>
                <w:szCs w:val="21"/>
              </w:rPr>
            </w:pPr>
          </w:p>
        </w:tc>
      </w:tr>
      <w:tr w:rsidR="004C20AC" w:rsidRPr="00251295" w14:paraId="47384D04" w14:textId="77777777" w:rsidTr="00946907">
        <w:trPr>
          <w:trHeight w:val="144"/>
        </w:trPr>
        <w:tc>
          <w:tcPr>
            <w:tcW w:w="3579" w:type="dxa"/>
          </w:tcPr>
          <w:p w14:paraId="5D2A4ECA"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September 2021 – February 2022</w:t>
            </w:r>
          </w:p>
        </w:tc>
        <w:tc>
          <w:tcPr>
            <w:tcW w:w="2049" w:type="dxa"/>
          </w:tcPr>
          <w:p w14:paraId="3B1D80C3"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0.80 (0.45, 1.25)</w:t>
            </w:r>
          </w:p>
        </w:tc>
        <w:tc>
          <w:tcPr>
            <w:tcW w:w="2388" w:type="dxa"/>
          </w:tcPr>
          <w:p w14:paraId="75E18976"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18.89)</w:t>
            </w:r>
          </w:p>
        </w:tc>
        <w:tc>
          <w:tcPr>
            <w:tcW w:w="1249" w:type="dxa"/>
            <w:vMerge/>
          </w:tcPr>
          <w:p w14:paraId="68635ECA" w14:textId="77777777" w:rsidR="004C20AC" w:rsidRPr="00251295" w:rsidRDefault="004C20AC" w:rsidP="00946907">
            <w:pPr>
              <w:rPr>
                <w:rFonts w:ascii="Times New Roman" w:hAnsi="Times New Roman" w:cs="Times New Roman"/>
                <w:sz w:val="21"/>
                <w:szCs w:val="21"/>
              </w:rPr>
            </w:pPr>
          </w:p>
        </w:tc>
      </w:tr>
      <w:tr w:rsidR="004C20AC" w:rsidRPr="00251295" w14:paraId="0E93150C" w14:textId="77777777" w:rsidTr="00946907">
        <w:trPr>
          <w:trHeight w:val="144"/>
        </w:trPr>
        <w:tc>
          <w:tcPr>
            <w:tcW w:w="3579" w:type="dxa"/>
          </w:tcPr>
          <w:p w14:paraId="55EF5FEE"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March – August 2022</w:t>
            </w:r>
          </w:p>
        </w:tc>
        <w:tc>
          <w:tcPr>
            <w:tcW w:w="2049" w:type="dxa"/>
          </w:tcPr>
          <w:p w14:paraId="5B400041"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0.93 (0.52, 1.45)</w:t>
            </w:r>
          </w:p>
        </w:tc>
        <w:tc>
          <w:tcPr>
            <w:tcW w:w="2388" w:type="dxa"/>
          </w:tcPr>
          <w:p w14:paraId="4156B2C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16.34)</w:t>
            </w:r>
          </w:p>
        </w:tc>
        <w:tc>
          <w:tcPr>
            <w:tcW w:w="1249" w:type="dxa"/>
            <w:vMerge/>
          </w:tcPr>
          <w:p w14:paraId="36163F9C" w14:textId="77777777" w:rsidR="004C20AC" w:rsidRPr="00251295" w:rsidRDefault="004C20AC" w:rsidP="00946907">
            <w:pPr>
              <w:rPr>
                <w:rFonts w:ascii="Times New Roman" w:hAnsi="Times New Roman" w:cs="Times New Roman"/>
                <w:sz w:val="21"/>
                <w:szCs w:val="21"/>
              </w:rPr>
            </w:pPr>
          </w:p>
        </w:tc>
      </w:tr>
      <w:tr w:rsidR="004C20AC" w:rsidRPr="00251295" w14:paraId="4220F2DB" w14:textId="77777777" w:rsidTr="00946907">
        <w:trPr>
          <w:trHeight w:val="144"/>
        </w:trPr>
        <w:tc>
          <w:tcPr>
            <w:tcW w:w="3579" w:type="dxa"/>
          </w:tcPr>
          <w:p w14:paraId="3B9B2AE0" w14:textId="77777777" w:rsidR="004C20AC" w:rsidRPr="00D83B37" w:rsidRDefault="004C20AC" w:rsidP="00946907">
            <w:pPr>
              <w:jc w:val="right"/>
              <w:rPr>
                <w:rFonts w:ascii="Times New Roman" w:hAnsi="Times New Roman" w:cs="Times New Roman"/>
                <w:i/>
                <w:iCs/>
                <w:sz w:val="21"/>
                <w:szCs w:val="21"/>
              </w:rPr>
            </w:pPr>
            <w:r w:rsidRPr="00D83B37">
              <w:rPr>
                <w:rFonts w:ascii="Times New Roman" w:hAnsi="Times New Roman" w:cs="Times New Roman"/>
                <w:i/>
                <w:iCs/>
                <w:sz w:val="21"/>
                <w:szCs w:val="21"/>
              </w:rPr>
              <w:t>September 2022 – February 2023</w:t>
            </w:r>
          </w:p>
        </w:tc>
        <w:tc>
          <w:tcPr>
            <w:tcW w:w="2049" w:type="dxa"/>
          </w:tcPr>
          <w:p w14:paraId="4AC8B216"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1.05 (0.59, 1.64)</w:t>
            </w:r>
          </w:p>
        </w:tc>
        <w:tc>
          <w:tcPr>
            <w:tcW w:w="2388" w:type="dxa"/>
          </w:tcPr>
          <w:p w14:paraId="1064C040"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14.40)</w:t>
            </w:r>
          </w:p>
        </w:tc>
        <w:tc>
          <w:tcPr>
            <w:tcW w:w="1249" w:type="dxa"/>
            <w:vMerge/>
          </w:tcPr>
          <w:p w14:paraId="04300AF4" w14:textId="77777777" w:rsidR="004C20AC" w:rsidRPr="00251295" w:rsidRDefault="004C20AC" w:rsidP="00946907">
            <w:pPr>
              <w:rPr>
                <w:rFonts w:ascii="Times New Roman" w:hAnsi="Times New Roman" w:cs="Times New Roman"/>
                <w:sz w:val="21"/>
                <w:szCs w:val="21"/>
              </w:rPr>
            </w:pPr>
          </w:p>
        </w:tc>
      </w:tr>
      <w:tr w:rsidR="004C20AC" w:rsidRPr="00251295" w14:paraId="0CB1B1D8" w14:textId="77777777" w:rsidTr="00946907">
        <w:trPr>
          <w:trHeight w:val="144"/>
        </w:trPr>
        <w:tc>
          <w:tcPr>
            <w:tcW w:w="9265" w:type="dxa"/>
            <w:gridSpan w:val="4"/>
            <w:shd w:val="clear" w:color="auto" w:fill="D0CECE" w:themeFill="background2" w:themeFillShade="E6"/>
          </w:tcPr>
          <w:p w14:paraId="05118897" w14:textId="77777777" w:rsidR="004C20AC" w:rsidRPr="00251295" w:rsidRDefault="004C20AC" w:rsidP="00946907">
            <w:pPr>
              <w:rPr>
                <w:rFonts w:ascii="Times New Roman" w:hAnsi="Times New Roman" w:cs="Times New Roman"/>
                <w:i/>
                <w:iCs/>
                <w:sz w:val="21"/>
                <w:szCs w:val="21"/>
              </w:rPr>
            </w:pPr>
            <w:r w:rsidRPr="00251295">
              <w:rPr>
                <w:rFonts w:ascii="Times New Roman" w:hAnsi="Times New Roman" w:cs="Times New Roman"/>
                <w:i/>
                <w:iCs/>
                <w:sz w:val="21"/>
                <w:szCs w:val="21"/>
              </w:rPr>
              <w:t xml:space="preserve">TB mortality rate </w:t>
            </w:r>
          </w:p>
        </w:tc>
      </w:tr>
      <w:tr w:rsidR="004C20AC" w:rsidRPr="00251295" w14:paraId="0D5F7B70" w14:textId="77777777" w:rsidTr="00946907">
        <w:trPr>
          <w:trHeight w:val="144"/>
        </w:trPr>
        <w:tc>
          <w:tcPr>
            <w:tcW w:w="3579" w:type="dxa"/>
          </w:tcPr>
          <w:p w14:paraId="18006CA9" w14:textId="77777777" w:rsidR="004C20AC" w:rsidRPr="00251295" w:rsidRDefault="004C20AC" w:rsidP="00946907">
            <w:pPr>
              <w:rPr>
                <w:rFonts w:ascii="Times New Roman" w:hAnsi="Times New Roman" w:cs="Times New Roman"/>
                <w:sz w:val="21"/>
                <w:szCs w:val="21"/>
              </w:rPr>
            </w:pPr>
            <w:r w:rsidRPr="00251295">
              <w:rPr>
                <w:rFonts w:ascii="Times New Roman" w:hAnsi="Times New Roman" w:cs="Times New Roman"/>
                <w:sz w:val="21"/>
                <w:szCs w:val="21"/>
              </w:rPr>
              <w:t xml:space="preserve">Baseline value </w:t>
            </w:r>
          </w:p>
        </w:tc>
        <w:tc>
          <w:tcPr>
            <w:tcW w:w="4437" w:type="dxa"/>
            <w:gridSpan w:val="2"/>
          </w:tcPr>
          <w:p w14:paraId="635543EB"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 xml:space="preserve">Varies with age; ranges from </w:t>
            </w:r>
            <w:r w:rsidRPr="00251295">
              <w:rPr>
                <w:rFonts w:ascii="Times New Roman" w:hAnsi="Times New Roman" w:cs="Times New Roman"/>
                <w:sz w:val="21"/>
                <w:szCs w:val="21"/>
              </w:rPr>
              <w:br/>
              <w:t>0.0013 (0-4 years) to 0.17 (95+ years)</w:t>
            </w:r>
          </w:p>
        </w:tc>
        <w:tc>
          <w:tcPr>
            <w:tcW w:w="1249" w:type="dxa"/>
          </w:tcPr>
          <w:p w14:paraId="591B74DF"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C</w:t>
            </w:r>
            <w:r w:rsidRPr="00251295">
              <w:rPr>
                <w:rFonts w:ascii="Times New Roman" w:hAnsi="Times New Roman" w:cs="Times New Roman"/>
                <w:sz w:val="21"/>
                <w:szCs w:val="21"/>
              </w:rPr>
              <w:t>alibrated</w:t>
            </w:r>
          </w:p>
        </w:tc>
      </w:tr>
      <w:tr w:rsidR="004C20AC" w:rsidRPr="00251295" w14:paraId="4E65C443" w14:textId="77777777" w:rsidTr="00946907">
        <w:trPr>
          <w:trHeight w:val="144"/>
        </w:trPr>
        <w:tc>
          <w:tcPr>
            <w:tcW w:w="3579" w:type="dxa"/>
          </w:tcPr>
          <w:p w14:paraId="230F24CC"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Time varying r</w:t>
            </w:r>
            <w:r w:rsidRPr="00251295">
              <w:rPr>
                <w:rFonts w:ascii="Times New Roman" w:hAnsi="Times New Roman" w:cs="Times New Roman"/>
                <w:sz w:val="21"/>
                <w:szCs w:val="21"/>
              </w:rPr>
              <w:t>atio of change</w:t>
            </w:r>
          </w:p>
          <w:p w14:paraId="170366E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March – August 2020</w:t>
            </w:r>
          </w:p>
        </w:tc>
        <w:tc>
          <w:tcPr>
            <w:tcW w:w="2049" w:type="dxa"/>
          </w:tcPr>
          <w:p w14:paraId="78904A24" w14:textId="77777777" w:rsidR="004C20AC" w:rsidRPr="00251295" w:rsidRDefault="004C20AC" w:rsidP="00946907">
            <w:pPr>
              <w:jc w:val="right"/>
              <w:rPr>
                <w:rFonts w:ascii="Times New Roman" w:hAnsi="Times New Roman" w:cs="Times New Roman"/>
                <w:sz w:val="21"/>
                <w:szCs w:val="21"/>
              </w:rPr>
            </w:pPr>
          </w:p>
          <w:p w14:paraId="5279422F"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1.26 (0.71, 2.00)</w:t>
            </w:r>
          </w:p>
        </w:tc>
        <w:tc>
          <w:tcPr>
            <w:tcW w:w="2388" w:type="dxa"/>
          </w:tcPr>
          <w:p w14:paraId="10ECEFB3" w14:textId="77777777" w:rsidR="004C20AC" w:rsidRPr="00251295" w:rsidRDefault="004C20AC" w:rsidP="00946907">
            <w:pPr>
              <w:jc w:val="right"/>
              <w:rPr>
                <w:rFonts w:ascii="Times New Roman" w:hAnsi="Times New Roman" w:cs="Times New Roman"/>
                <w:sz w:val="21"/>
                <w:szCs w:val="21"/>
              </w:rPr>
            </w:pPr>
          </w:p>
          <w:p w14:paraId="6CB46BB5"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12.00)</w:t>
            </w:r>
          </w:p>
        </w:tc>
        <w:tc>
          <w:tcPr>
            <w:tcW w:w="1249" w:type="dxa"/>
            <w:vMerge w:val="restart"/>
          </w:tcPr>
          <w:p w14:paraId="6094FC1B" w14:textId="77777777" w:rsidR="004C20AC" w:rsidRPr="00251295" w:rsidRDefault="004C20AC" w:rsidP="00946907">
            <w:pPr>
              <w:rPr>
                <w:rFonts w:ascii="Times New Roman" w:hAnsi="Times New Roman" w:cs="Times New Roman"/>
                <w:sz w:val="21"/>
                <w:szCs w:val="21"/>
              </w:rPr>
            </w:pPr>
          </w:p>
          <w:p w14:paraId="4E9893AA" w14:textId="77777777" w:rsidR="004C20AC" w:rsidRPr="00251295" w:rsidRDefault="004C20AC" w:rsidP="00946907">
            <w:pPr>
              <w:rPr>
                <w:rFonts w:ascii="Times New Roman" w:hAnsi="Times New Roman" w:cs="Times New Roman"/>
                <w:sz w:val="21"/>
                <w:szCs w:val="21"/>
              </w:rPr>
            </w:pPr>
            <w:r w:rsidRPr="00251295">
              <w:rPr>
                <w:rFonts w:ascii="Times New Roman" w:hAnsi="Times New Roman" w:cs="Times New Roman"/>
                <w:sz w:val="21"/>
                <w:szCs w:val="21"/>
              </w:rPr>
              <w:fldChar w:fldCharType="begin"/>
            </w:r>
            <w:r>
              <w:rPr>
                <w:rFonts w:ascii="Times New Roman" w:hAnsi="Times New Roman" w:cs="Times New Roman"/>
                <w:sz w:val="21"/>
                <w:szCs w:val="21"/>
              </w:rPr>
              <w:instrText xml:space="preserve"> ADDIN EN.CITE &lt;EndNote&gt;&lt;Cite&gt;&lt;Author&gt;Centers for Disease Control and Prevention&lt;/Author&gt;&lt;Year&gt;2023&lt;/Year&gt;&lt;RecNum&gt;17&lt;/RecNum&gt;&lt;DisplayText&gt;[13, 14]&lt;/DisplayText&gt;&lt;record&gt;&lt;rec-number&gt;17&lt;/rec-number&gt;&lt;foreign-keys&gt;&lt;key app="EN" db-id="v0saxw5dcdwazbeftrjx2tdhx0fxwz05xwt2" timestamp="1693510389"&gt;17&lt;/key&gt;&lt;/foreign-keys&gt;&lt;ref-type name="Web Page"&gt;12&lt;/ref-type&gt;&lt;contributors&gt;&lt;authors&gt;&lt;author&gt;Centers for Disease Control and Prevention,&lt;/author&gt;&lt;/authors&gt;&lt;/contributors&gt;&lt;titles&gt;&lt;secondary-title&gt;Provisional Mortality Statistics, 2018 through Last Week&lt;/secondary-title&gt;&lt;/titles&gt;&lt;dates&gt;&lt;year&gt;2023&lt;/year&gt;&lt;pub-dates&gt;&lt;date&gt;August 31, 2023&lt;/date&gt;&lt;/pub-dates&gt;&lt;/dates&gt;&lt;pub-location&gt;CDC WONDER Online Database&lt;/pub-location&gt;&lt;publisher&gt;National Center for Health Statistics&lt;/publisher&gt;&lt;urls&gt;&lt;related-urls&gt;&lt;url&gt;http://wonder.cdc.gov/mcd-icd10.html&lt;/url&gt;&lt;/related-urls&gt;&lt;/urls&gt;&lt;/record&gt;&lt;/Cite&gt;&lt;Cite&gt;&lt;Author&gt;United States Centers for Disease Control and Prevention&lt;/Author&gt;&lt;Year&gt;2023&lt;/Year&gt;&lt;RecNum&gt;10&lt;/RecNum&gt;&lt;record&gt;&lt;rec-number&gt;10&lt;/rec-number&gt;&lt;foreign-keys&gt;&lt;key app="EN" db-id="v0saxw5dcdwazbeftrjx2tdhx0fxwz05xwt2" timestamp="1669949479"&gt;10&lt;/key&gt;&lt;/foreign-keys&gt;&lt;ref-type name="Web Page"&gt;12&lt;/ref-type&gt;&lt;contributors&gt;&lt;authors&gt;&lt;author&gt;United States Centers for Disease Control and Prevention,&lt;/author&gt;&lt;/authors&gt;&lt;/contributors&gt;&lt;titles&gt;&lt;title&gt;Online Tuberculosis Information System (OTIS)&lt;/title&gt;&lt;/titles&gt;&lt;volume&gt;2024&lt;/volume&gt;&lt;number&gt;23 Apr 2024&lt;/number&gt;&lt;dates&gt;&lt;year&gt;2023&lt;/year&gt;&lt;/dates&gt;&lt;publisher&gt;National Tuberculosis Surveillance System &lt;/publisher&gt;&lt;urls&gt;&lt;related-urls&gt;&lt;url&gt;https://wonder.cdc.gov/TB-v2022.html&lt;/url&gt;&lt;/related-urls&gt;&lt;/urls&gt;&lt;/record&gt;&lt;/Cite&gt;&lt;/EndNote&gt;</w:instrText>
            </w:r>
            <w:r w:rsidRPr="00251295">
              <w:rPr>
                <w:rFonts w:ascii="Times New Roman" w:hAnsi="Times New Roman" w:cs="Times New Roman"/>
                <w:sz w:val="21"/>
                <w:szCs w:val="21"/>
              </w:rPr>
              <w:fldChar w:fldCharType="separate"/>
            </w:r>
            <w:r>
              <w:rPr>
                <w:rFonts w:ascii="Times New Roman" w:hAnsi="Times New Roman" w:cs="Times New Roman"/>
                <w:noProof/>
                <w:sz w:val="21"/>
                <w:szCs w:val="21"/>
              </w:rPr>
              <w:t>[13, 14]</w:t>
            </w:r>
            <w:r w:rsidRPr="00251295">
              <w:rPr>
                <w:rFonts w:ascii="Times New Roman" w:hAnsi="Times New Roman" w:cs="Times New Roman"/>
                <w:sz w:val="21"/>
                <w:szCs w:val="21"/>
              </w:rPr>
              <w:fldChar w:fldCharType="end"/>
            </w:r>
          </w:p>
        </w:tc>
      </w:tr>
      <w:tr w:rsidR="004C20AC" w:rsidRPr="00251295" w14:paraId="4F17C794" w14:textId="77777777" w:rsidTr="00946907">
        <w:trPr>
          <w:trHeight w:val="144"/>
        </w:trPr>
        <w:tc>
          <w:tcPr>
            <w:tcW w:w="3579" w:type="dxa"/>
          </w:tcPr>
          <w:p w14:paraId="31272092"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September 2020 – February 2021</w:t>
            </w:r>
          </w:p>
        </w:tc>
        <w:tc>
          <w:tcPr>
            <w:tcW w:w="2049" w:type="dxa"/>
          </w:tcPr>
          <w:p w14:paraId="45195FE6"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1.21 (0.68, 1.88)</w:t>
            </w:r>
          </w:p>
        </w:tc>
        <w:tc>
          <w:tcPr>
            <w:tcW w:w="2388" w:type="dxa"/>
          </w:tcPr>
          <w:p w14:paraId="7980D2BE"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12.61)</w:t>
            </w:r>
          </w:p>
        </w:tc>
        <w:tc>
          <w:tcPr>
            <w:tcW w:w="1249" w:type="dxa"/>
            <w:vMerge/>
          </w:tcPr>
          <w:p w14:paraId="5E21BB35" w14:textId="77777777" w:rsidR="004C20AC" w:rsidRPr="00251295" w:rsidRDefault="004C20AC" w:rsidP="00946907">
            <w:pPr>
              <w:rPr>
                <w:rFonts w:ascii="Times New Roman" w:hAnsi="Times New Roman" w:cs="Times New Roman"/>
                <w:sz w:val="21"/>
                <w:szCs w:val="21"/>
              </w:rPr>
            </w:pPr>
          </w:p>
        </w:tc>
      </w:tr>
      <w:tr w:rsidR="004C20AC" w:rsidRPr="00251295" w14:paraId="7F33E861" w14:textId="77777777" w:rsidTr="00946907">
        <w:trPr>
          <w:trHeight w:val="144"/>
        </w:trPr>
        <w:tc>
          <w:tcPr>
            <w:tcW w:w="3579" w:type="dxa"/>
          </w:tcPr>
          <w:p w14:paraId="5E50651C"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March – August 2021</w:t>
            </w:r>
          </w:p>
        </w:tc>
        <w:tc>
          <w:tcPr>
            <w:tcW w:w="2049" w:type="dxa"/>
          </w:tcPr>
          <w:p w14:paraId="4D43D609"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1.14 (0.64, 1.79)</w:t>
            </w:r>
          </w:p>
        </w:tc>
        <w:tc>
          <w:tcPr>
            <w:tcW w:w="2388" w:type="dxa"/>
          </w:tcPr>
          <w:p w14:paraId="3E770291"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13.28)</w:t>
            </w:r>
          </w:p>
        </w:tc>
        <w:tc>
          <w:tcPr>
            <w:tcW w:w="1249" w:type="dxa"/>
            <w:vMerge/>
          </w:tcPr>
          <w:p w14:paraId="76AA52B5" w14:textId="77777777" w:rsidR="004C20AC" w:rsidRPr="00251295" w:rsidRDefault="004C20AC" w:rsidP="00946907">
            <w:pPr>
              <w:rPr>
                <w:rFonts w:ascii="Times New Roman" w:hAnsi="Times New Roman" w:cs="Times New Roman"/>
                <w:sz w:val="21"/>
                <w:szCs w:val="21"/>
              </w:rPr>
            </w:pPr>
          </w:p>
        </w:tc>
      </w:tr>
      <w:tr w:rsidR="004C20AC" w:rsidRPr="00251295" w14:paraId="0CAA4C11" w14:textId="77777777" w:rsidTr="00946907">
        <w:trPr>
          <w:trHeight w:val="144"/>
        </w:trPr>
        <w:tc>
          <w:tcPr>
            <w:tcW w:w="3579" w:type="dxa"/>
          </w:tcPr>
          <w:p w14:paraId="0566D065"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September 2021 – February 2022</w:t>
            </w:r>
          </w:p>
        </w:tc>
        <w:tc>
          <w:tcPr>
            <w:tcW w:w="2049" w:type="dxa"/>
          </w:tcPr>
          <w:p w14:paraId="54556F9B"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1.08 (0.61, 1.69)</w:t>
            </w:r>
          </w:p>
        </w:tc>
        <w:tc>
          <w:tcPr>
            <w:tcW w:w="2388" w:type="dxa"/>
          </w:tcPr>
          <w:p w14:paraId="6CA780FF"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14.03)</w:t>
            </w:r>
          </w:p>
        </w:tc>
        <w:tc>
          <w:tcPr>
            <w:tcW w:w="1249" w:type="dxa"/>
            <w:vMerge/>
          </w:tcPr>
          <w:p w14:paraId="710CA1DB" w14:textId="77777777" w:rsidR="004C20AC" w:rsidRPr="00251295" w:rsidRDefault="004C20AC" w:rsidP="00946907">
            <w:pPr>
              <w:rPr>
                <w:rFonts w:ascii="Times New Roman" w:hAnsi="Times New Roman" w:cs="Times New Roman"/>
                <w:sz w:val="21"/>
                <w:szCs w:val="21"/>
              </w:rPr>
            </w:pPr>
          </w:p>
        </w:tc>
      </w:tr>
      <w:tr w:rsidR="004C20AC" w:rsidRPr="00251295" w14:paraId="0CA78246" w14:textId="77777777" w:rsidTr="00946907">
        <w:trPr>
          <w:trHeight w:val="144"/>
        </w:trPr>
        <w:tc>
          <w:tcPr>
            <w:tcW w:w="3579" w:type="dxa"/>
          </w:tcPr>
          <w:p w14:paraId="7C34E53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March – August 2022</w:t>
            </w:r>
          </w:p>
        </w:tc>
        <w:tc>
          <w:tcPr>
            <w:tcW w:w="2049" w:type="dxa"/>
          </w:tcPr>
          <w:p w14:paraId="144B56CA"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1.02 (0.57, 1.59)</w:t>
            </w:r>
          </w:p>
        </w:tc>
        <w:tc>
          <w:tcPr>
            <w:tcW w:w="2388" w:type="dxa"/>
          </w:tcPr>
          <w:p w14:paraId="294D4000"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18.86)</w:t>
            </w:r>
          </w:p>
        </w:tc>
        <w:tc>
          <w:tcPr>
            <w:tcW w:w="1249" w:type="dxa"/>
            <w:vMerge/>
          </w:tcPr>
          <w:p w14:paraId="139D17D2" w14:textId="77777777" w:rsidR="004C20AC" w:rsidRPr="00251295" w:rsidRDefault="004C20AC" w:rsidP="00946907">
            <w:pPr>
              <w:rPr>
                <w:rFonts w:ascii="Times New Roman" w:hAnsi="Times New Roman" w:cs="Times New Roman"/>
                <w:sz w:val="21"/>
                <w:szCs w:val="21"/>
              </w:rPr>
            </w:pPr>
          </w:p>
        </w:tc>
      </w:tr>
      <w:tr w:rsidR="004C20AC" w:rsidRPr="00251295" w14:paraId="00ABFA27" w14:textId="77777777" w:rsidTr="00946907">
        <w:trPr>
          <w:trHeight w:val="144"/>
        </w:trPr>
        <w:tc>
          <w:tcPr>
            <w:tcW w:w="3579" w:type="dxa"/>
          </w:tcPr>
          <w:p w14:paraId="113D66A3"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September 2022 – February 2023</w:t>
            </w:r>
          </w:p>
        </w:tc>
        <w:tc>
          <w:tcPr>
            <w:tcW w:w="2049" w:type="dxa"/>
          </w:tcPr>
          <w:p w14:paraId="7B973F52"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0.96 (0.54, 1.50)</w:t>
            </w:r>
          </w:p>
        </w:tc>
        <w:tc>
          <w:tcPr>
            <w:tcW w:w="2388" w:type="dxa"/>
          </w:tcPr>
          <w:p w14:paraId="74653142"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15.81)</w:t>
            </w:r>
          </w:p>
        </w:tc>
        <w:tc>
          <w:tcPr>
            <w:tcW w:w="1249" w:type="dxa"/>
            <w:vMerge/>
          </w:tcPr>
          <w:p w14:paraId="691FB692" w14:textId="77777777" w:rsidR="004C20AC" w:rsidRPr="00251295" w:rsidRDefault="004C20AC" w:rsidP="00946907">
            <w:pPr>
              <w:rPr>
                <w:rFonts w:ascii="Times New Roman" w:hAnsi="Times New Roman" w:cs="Times New Roman"/>
                <w:sz w:val="21"/>
                <w:szCs w:val="21"/>
              </w:rPr>
            </w:pPr>
          </w:p>
        </w:tc>
      </w:tr>
      <w:tr w:rsidR="004C20AC" w:rsidRPr="00251295" w14:paraId="32DE99FE" w14:textId="77777777" w:rsidTr="00946907">
        <w:trPr>
          <w:trHeight w:val="144"/>
        </w:trPr>
        <w:tc>
          <w:tcPr>
            <w:tcW w:w="9265" w:type="dxa"/>
            <w:gridSpan w:val="4"/>
            <w:shd w:val="clear" w:color="auto" w:fill="D0CECE" w:themeFill="background2" w:themeFillShade="E6"/>
          </w:tcPr>
          <w:p w14:paraId="60A847FD" w14:textId="77777777" w:rsidR="004C20AC" w:rsidRPr="00251295" w:rsidRDefault="004C20AC" w:rsidP="00946907">
            <w:pPr>
              <w:rPr>
                <w:rFonts w:ascii="Times New Roman" w:hAnsi="Times New Roman" w:cs="Times New Roman"/>
                <w:i/>
                <w:iCs/>
                <w:sz w:val="21"/>
                <w:szCs w:val="21"/>
              </w:rPr>
            </w:pPr>
            <w:r w:rsidRPr="00251295">
              <w:rPr>
                <w:rFonts w:ascii="Times New Roman" w:hAnsi="Times New Roman" w:cs="Times New Roman"/>
                <w:i/>
                <w:iCs/>
                <w:sz w:val="21"/>
                <w:szCs w:val="21"/>
              </w:rPr>
              <w:t>Immigration volume</w:t>
            </w:r>
          </w:p>
        </w:tc>
      </w:tr>
      <w:tr w:rsidR="004C20AC" w:rsidRPr="00251295" w14:paraId="465039E5" w14:textId="77777777" w:rsidTr="00946907">
        <w:trPr>
          <w:trHeight w:val="144"/>
        </w:trPr>
        <w:tc>
          <w:tcPr>
            <w:tcW w:w="3579" w:type="dxa"/>
          </w:tcPr>
          <w:p w14:paraId="20C6657D" w14:textId="77777777" w:rsidR="004C20AC" w:rsidRPr="00251295" w:rsidRDefault="004C20AC" w:rsidP="00946907">
            <w:pPr>
              <w:rPr>
                <w:rFonts w:ascii="Times New Roman" w:hAnsi="Times New Roman" w:cs="Times New Roman"/>
                <w:sz w:val="21"/>
                <w:szCs w:val="21"/>
              </w:rPr>
            </w:pPr>
            <w:r w:rsidRPr="00251295">
              <w:rPr>
                <w:rFonts w:ascii="Times New Roman" w:hAnsi="Times New Roman" w:cs="Times New Roman"/>
                <w:sz w:val="21"/>
                <w:szCs w:val="21"/>
              </w:rPr>
              <w:t xml:space="preserve">Baseline value </w:t>
            </w:r>
          </w:p>
        </w:tc>
        <w:tc>
          <w:tcPr>
            <w:tcW w:w="4437" w:type="dxa"/>
            <w:gridSpan w:val="2"/>
          </w:tcPr>
          <w:p w14:paraId="7630396F"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132,705</w:t>
            </w:r>
          </w:p>
        </w:tc>
        <w:tc>
          <w:tcPr>
            <w:tcW w:w="1249" w:type="dxa"/>
          </w:tcPr>
          <w:p w14:paraId="33184D0A"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C</w:t>
            </w:r>
            <w:r w:rsidRPr="00251295">
              <w:rPr>
                <w:rFonts w:ascii="Times New Roman" w:hAnsi="Times New Roman" w:cs="Times New Roman"/>
                <w:sz w:val="21"/>
                <w:szCs w:val="21"/>
              </w:rPr>
              <w:t>alibrated</w:t>
            </w:r>
          </w:p>
        </w:tc>
      </w:tr>
      <w:tr w:rsidR="004C20AC" w:rsidRPr="00251295" w14:paraId="07E9DFB8" w14:textId="77777777" w:rsidTr="00946907">
        <w:trPr>
          <w:trHeight w:val="144"/>
        </w:trPr>
        <w:tc>
          <w:tcPr>
            <w:tcW w:w="3579" w:type="dxa"/>
          </w:tcPr>
          <w:p w14:paraId="0EC9E80D"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t>Time varying r</w:t>
            </w:r>
            <w:r w:rsidRPr="00251295">
              <w:rPr>
                <w:rFonts w:ascii="Times New Roman" w:hAnsi="Times New Roman" w:cs="Times New Roman"/>
                <w:sz w:val="21"/>
                <w:szCs w:val="21"/>
              </w:rPr>
              <w:t>atio of change</w:t>
            </w:r>
          </w:p>
          <w:p w14:paraId="72D7F6B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March – August 2020</w:t>
            </w:r>
          </w:p>
        </w:tc>
        <w:tc>
          <w:tcPr>
            <w:tcW w:w="2049" w:type="dxa"/>
          </w:tcPr>
          <w:p w14:paraId="62219D74" w14:textId="77777777" w:rsidR="004C20AC" w:rsidRPr="00251295" w:rsidRDefault="004C20AC" w:rsidP="00946907">
            <w:pPr>
              <w:jc w:val="right"/>
              <w:rPr>
                <w:rFonts w:ascii="Times New Roman" w:hAnsi="Times New Roman" w:cs="Times New Roman"/>
                <w:sz w:val="21"/>
                <w:szCs w:val="21"/>
              </w:rPr>
            </w:pPr>
          </w:p>
          <w:p w14:paraId="3EA26174"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0.33 (0.19, 0.52)</w:t>
            </w:r>
          </w:p>
        </w:tc>
        <w:tc>
          <w:tcPr>
            <w:tcW w:w="2388" w:type="dxa"/>
          </w:tcPr>
          <w:p w14:paraId="768171B5" w14:textId="77777777" w:rsidR="004C20AC" w:rsidRPr="00251295" w:rsidRDefault="004C20AC" w:rsidP="00946907">
            <w:pPr>
              <w:jc w:val="right"/>
              <w:rPr>
                <w:rFonts w:ascii="Times New Roman" w:hAnsi="Times New Roman" w:cs="Times New Roman"/>
                <w:sz w:val="21"/>
                <w:szCs w:val="21"/>
              </w:rPr>
            </w:pPr>
          </w:p>
          <w:p w14:paraId="5EF43366"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45.57)</w:t>
            </w:r>
          </w:p>
        </w:tc>
        <w:tc>
          <w:tcPr>
            <w:tcW w:w="1249" w:type="dxa"/>
            <w:vMerge w:val="restart"/>
          </w:tcPr>
          <w:p w14:paraId="5964B9A1" w14:textId="77777777" w:rsidR="004C20AC" w:rsidRPr="00251295" w:rsidRDefault="004C20AC" w:rsidP="00946907">
            <w:pPr>
              <w:rPr>
                <w:rFonts w:ascii="Times New Roman" w:hAnsi="Times New Roman" w:cs="Times New Roman"/>
                <w:sz w:val="21"/>
                <w:szCs w:val="21"/>
              </w:rPr>
            </w:pPr>
          </w:p>
          <w:p w14:paraId="08322CB5" w14:textId="77777777" w:rsidR="004C20AC" w:rsidRPr="00251295" w:rsidRDefault="004C20AC" w:rsidP="00946907">
            <w:pP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ADDIN EN.CITE &lt;EndNote&gt;&lt;Cite&gt;&lt;Author&gt;Baugh&lt;/Author&gt;&lt;Year&gt;2023&lt;/Year&gt;&lt;RecNum&gt;12&lt;/RecNum&gt;&lt;DisplayText&gt;[15]&lt;/DisplayText&gt;&lt;record&gt;&lt;rec-number&gt;12&lt;/rec-number&gt;&lt;foreign-keys&gt;&lt;key app="EN" db-id="v0saxw5dcdwazbeftrjx2tdhx0fxwz05xwt2" timestamp="1669950334"&gt;12&lt;/key&gt;&lt;/foreign-keys&gt;&lt;ref-type name="Journal Article"&gt;17&lt;/ref-type&gt;&lt;contributors&gt;&lt;authors&gt;&lt;author&gt;Ryan Baugh&lt;/author&gt;&lt;/authors&gt;&lt;/contributors&gt;&lt;titles&gt;&lt;title&gt;Annual Flow Report U.S. Lawful Permanent Residents: 2022&lt;/title&gt;&lt;secondary-title&gt;Department of Homeland Security&lt;/secondary-title&gt;&lt;/titles&gt;&lt;periodical&gt;&lt;full-title&gt;Department of Homeland Security&lt;/full-title&gt;&lt;/periodical&gt;&lt;dates&gt;&lt;year&gt;2023&lt;/year&gt;&lt;/dates&gt;&lt;urls&gt;&lt;/urls&gt;&lt;/record&gt;&lt;/Cite&gt;&lt;/EndNote&gt;</w:instrText>
            </w:r>
            <w:r>
              <w:rPr>
                <w:rFonts w:ascii="Times New Roman" w:hAnsi="Times New Roman" w:cs="Times New Roman"/>
                <w:sz w:val="21"/>
                <w:szCs w:val="21"/>
              </w:rPr>
              <w:fldChar w:fldCharType="separate"/>
            </w:r>
            <w:r>
              <w:rPr>
                <w:rFonts w:ascii="Times New Roman" w:hAnsi="Times New Roman" w:cs="Times New Roman"/>
                <w:noProof/>
                <w:sz w:val="21"/>
                <w:szCs w:val="21"/>
              </w:rPr>
              <w:t>[15]</w:t>
            </w:r>
            <w:r>
              <w:rPr>
                <w:rFonts w:ascii="Times New Roman" w:hAnsi="Times New Roman" w:cs="Times New Roman"/>
                <w:sz w:val="21"/>
                <w:szCs w:val="21"/>
              </w:rPr>
              <w:fldChar w:fldCharType="end"/>
            </w:r>
          </w:p>
        </w:tc>
      </w:tr>
      <w:tr w:rsidR="004C20AC" w:rsidRPr="00251295" w14:paraId="71FBA20A" w14:textId="77777777" w:rsidTr="00946907">
        <w:trPr>
          <w:trHeight w:val="144"/>
        </w:trPr>
        <w:tc>
          <w:tcPr>
            <w:tcW w:w="3579" w:type="dxa"/>
          </w:tcPr>
          <w:p w14:paraId="32383FA8"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September 2020 – February 2021</w:t>
            </w:r>
          </w:p>
        </w:tc>
        <w:tc>
          <w:tcPr>
            <w:tcW w:w="2049" w:type="dxa"/>
          </w:tcPr>
          <w:p w14:paraId="32EED125"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0.60 (0.33, 0.93)</w:t>
            </w:r>
          </w:p>
        </w:tc>
        <w:tc>
          <w:tcPr>
            <w:tcW w:w="2388" w:type="dxa"/>
          </w:tcPr>
          <w:p w14:paraId="0EDA4C5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25.51)</w:t>
            </w:r>
          </w:p>
        </w:tc>
        <w:tc>
          <w:tcPr>
            <w:tcW w:w="1249" w:type="dxa"/>
            <w:vMerge/>
          </w:tcPr>
          <w:p w14:paraId="67B0500B" w14:textId="77777777" w:rsidR="004C20AC" w:rsidRPr="00251295" w:rsidRDefault="004C20AC" w:rsidP="00946907">
            <w:pPr>
              <w:rPr>
                <w:rFonts w:ascii="Times New Roman" w:hAnsi="Times New Roman" w:cs="Times New Roman"/>
                <w:sz w:val="21"/>
                <w:szCs w:val="21"/>
              </w:rPr>
            </w:pPr>
          </w:p>
        </w:tc>
      </w:tr>
      <w:tr w:rsidR="004C20AC" w:rsidRPr="00251295" w14:paraId="76B31896" w14:textId="77777777" w:rsidTr="00946907">
        <w:trPr>
          <w:trHeight w:val="144"/>
        </w:trPr>
        <w:tc>
          <w:tcPr>
            <w:tcW w:w="3579" w:type="dxa"/>
          </w:tcPr>
          <w:p w14:paraId="5D8456FD"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March – August 2021</w:t>
            </w:r>
          </w:p>
        </w:tc>
        <w:tc>
          <w:tcPr>
            <w:tcW w:w="2049" w:type="dxa"/>
          </w:tcPr>
          <w:p w14:paraId="3909FD67"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0.85 (0.28, 1.34)</w:t>
            </w:r>
          </w:p>
        </w:tc>
        <w:tc>
          <w:tcPr>
            <w:tcW w:w="2388" w:type="dxa"/>
          </w:tcPr>
          <w:p w14:paraId="4F4B3BEC"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17.72)</w:t>
            </w:r>
          </w:p>
        </w:tc>
        <w:tc>
          <w:tcPr>
            <w:tcW w:w="1249" w:type="dxa"/>
            <w:vMerge/>
          </w:tcPr>
          <w:p w14:paraId="1446AEF8" w14:textId="77777777" w:rsidR="004C20AC" w:rsidRPr="00251295" w:rsidRDefault="004C20AC" w:rsidP="00946907">
            <w:pPr>
              <w:rPr>
                <w:rFonts w:ascii="Times New Roman" w:hAnsi="Times New Roman" w:cs="Times New Roman"/>
                <w:sz w:val="21"/>
                <w:szCs w:val="21"/>
              </w:rPr>
            </w:pPr>
          </w:p>
        </w:tc>
      </w:tr>
      <w:tr w:rsidR="004C20AC" w:rsidRPr="00251295" w14:paraId="18D01E1B" w14:textId="77777777" w:rsidTr="00946907">
        <w:trPr>
          <w:trHeight w:val="144"/>
        </w:trPr>
        <w:tc>
          <w:tcPr>
            <w:tcW w:w="3579" w:type="dxa"/>
          </w:tcPr>
          <w:p w14:paraId="4FC3310C"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September 2021 – February 2022</w:t>
            </w:r>
          </w:p>
        </w:tc>
        <w:tc>
          <w:tcPr>
            <w:tcW w:w="2049" w:type="dxa"/>
          </w:tcPr>
          <w:p w14:paraId="0E3D6B42"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1.12 (0.63, 1.75)</w:t>
            </w:r>
          </w:p>
        </w:tc>
        <w:tc>
          <w:tcPr>
            <w:tcW w:w="2388" w:type="dxa"/>
          </w:tcPr>
          <w:p w14:paraId="65488AE8"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13.57)</w:t>
            </w:r>
          </w:p>
        </w:tc>
        <w:tc>
          <w:tcPr>
            <w:tcW w:w="1249" w:type="dxa"/>
            <w:vMerge/>
          </w:tcPr>
          <w:p w14:paraId="2B05CE82" w14:textId="77777777" w:rsidR="004C20AC" w:rsidRPr="00251295" w:rsidRDefault="004C20AC" w:rsidP="00946907">
            <w:pPr>
              <w:rPr>
                <w:rFonts w:ascii="Times New Roman" w:hAnsi="Times New Roman" w:cs="Times New Roman"/>
                <w:sz w:val="21"/>
                <w:szCs w:val="21"/>
              </w:rPr>
            </w:pPr>
          </w:p>
        </w:tc>
      </w:tr>
      <w:tr w:rsidR="004C20AC" w:rsidRPr="00251295" w14:paraId="62999139" w14:textId="77777777" w:rsidTr="00946907">
        <w:trPr>
          <w:trHeight w:val="144"/>
        </w:trPr>
        <w:tc>
          <w:tcPr>
            <w:tcW w:w="3579" w:type="dxa"/>
          </w:tcPr>
          <w:p w14:paraId="031FB33A"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March – August 2022</w:t>
            </w:r>
          </w:p>
        </w:tc>
        <w:tc>
          <w:tcPr>
            <w:tcW w:w="2049" w:type="dxa"/>
          </w:tcPr>
          <w:p w14:paraId="722B5B22"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1.38 (0.78, 2.15)</w:t>
            </w:r>
          </w:p>
        </w:tc>
        <w:tc>
          <w:tcPr>
            <w:tcW w:w="2388" w:type="dxa"/>
          </w:tcPr>
          <w:p w14:paraId="045427DC"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11.00)</w:t>
            </w:r>
          </w:p>
        </w:tc>
        <w:tc>
          <w:tcPr>
            <w:tcW w:w="1249" w:type="dxa"/>
            <w:vMerge/>
          </w:tcPr>
          <w:p w14:paraId="2B89DABF" w14:textId="77777777" w:rsidR="004C20AC" w:rsidRPr="00251295" w:rsidRDefault="004C20AC" w:rsidP="00946907">
            <w:pPr>
              <w:rPr>
                <w:rFonts w:ascii="Times New Roman" w:hAnsi="Times New Roman" w:cs="Times New Roman"/>
                <w:sz w:val="21"/>
                <w:szCs w:val="21"/>
              </w:rPr>
            </w:pPr>
          </w:p>
        </w:tc>
      </w:tr>
      <w:tr w:rsidR="004C20AC" w:rsidRPr="00251295" w14:paraId="782D6129" w14:textId="77777777" w:rsidTr="00946907">
        <w:trPr>
          <w:trHeight w:val="144"/>
        </w:trPr>
        <w:tc>
          <w:tcPr>
            <w:tcW w:w="3579" w:type="dxa"/>
          </w:tcPr>
          <w:p w14:paraId="38652E9E"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i/>
                <w:iCs/>
                <w:sz w:val="21"/>
                <w:szCs w:val="21"/>
              </w:rPr>
              <w:t>September 2022 – February 2023</w:t>
            </w:r>
          </w:p>
        </w:tc>
        <w:tc>
          <w:tcPr>
            <w:tcW w:w="2049" w:type="dxa"/>
          </w:tcPr>
          <w:p w14:paraId="1CBA475B"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1.64 (0.92, 2.57)</w:t>
            </w:r>
          </w:p>
        </w:tc>
        <w:tc>
          <w:tcPr>
            <w:tcW w:w="2388" w:type="dxa"/>
          </w:tcPr>
          <w:p w14:paraId="31502D60" w14:textId="77777777" w:rsidR="004C20AC" w:rsidRPr="00251295" w:rsidRDefault="004C20AC" w:rsidP="00946907">
            <w:pPr>
              <w:jc w:val="right"/>
              <w:rPr>
                <w:rFonts w:ascii="Times New Roman" w:hAnsi="Times New Roman" w:cs="Times New Roman"/>
                <w:sz w:val="21"/>
                <w:szCs w:val="21"/>
              </w:rPr>
            </w:pPr>
            <w:r w:rsidRPr="00251295">
              <w:rPr>
                <w:rFonts w:ascii="Times New Roman" w:hAnsi="Times New Roman" w:cs="Times New Roman"/>
                <w:sz w:val="21"/>
                <w:szCs w:val="21"/>
              </w:rPr>
              <w:t>Gamma(15.19, 9.24)</w:t>
            </w:r>
          </w:p>
        </w:tc>
        <w:tc>
          <w:tcPr>
            <w:tcW w:w="1249" w:type="dxa"/>
            <w:vMerge/>
          </w:tcPr>
          <w:p w14:paraId="6BE98201" w14:textId="77777777" w:rsidR="004C20AC" w:rsidRPr="00251295" w:rsidRDefault="004C20AC" w:rsidP="00946907">
            <w:pPr>
              <w:rPr>
                <w:rFonts w:ascii="Times New Roman" w:hAnsi="Times New Roman" w:cs="Times New Roman"/>
                <w:sz w:val="21"/>
                <w:szCs w:val="21"/>
              </w:rPr>
            </w:pPr>
          </w:p>
        </w:tc>
      </w:tr>
    </w:tbl>
    <w:p w14:paraId="7FF56B62" w14:textId="77777777" w:rsidR="004C20AC" w:rsidRDefault="004C20AC" w:rsidP="004C20AC">
      <w:pPr>
        <w:spacing w:line="276" w:lineRule="auto"/>
        <w:rPr>
          <w:rFonts w:ascii="Times New Roman" w:hAnsi="Times New Roman" w:cs="Times New Roman"/>
        </w:rPr>
      </w:pPr>
    </w:p>
    <w:p w14:paraId="05259ACC" w14:textId="758603F6" w:rsidR="004C20AC" w:rsidRPr="00806B3B" w:rsidRDefault="004C20AC" w:rsidP="004C20AC">
      <w:pPr>
        <w:spacing w:line="276" w:lineRule="auto"/>
        <w:rPr>
          <w:rFonts w:ascii="Times New Roman" w:hAnsi="Times New Roman" w:cs="Times New Roman"/>
          <w:b/>
        </w:rPr>
      </w:pPr>
      <w:r w:rsidRPr="00806B3B">
        <w:rPr>
          <w:rFonts w:ascii="Times New Roman" w:hAnsi="Times New Roman" w:cs="Times New Roman"/>
          <w:b/>
        </w:rPr>
        <w:t xml:space="preserve">Table </w:t>
      </w:r>
      <w:r w:rsidR="00806B3B" w:rsidRPr="00806B3B">
        <w:rPr>
          <w:rFonts w:ascii="Times New Roman" w:hAnsi="Times New Roman" w:cs="Times New Roman"/>
          <w:b/>
        </w:rPr>
        <w:t>S</w:t>
      </w:r>
      <w:r w:rsidRPr="00806B3B">
        <w:rPr>
          <w:rFonts w:ascii="Times New Roman" w:hAnsi="Times New Roman" w:cs="Times New Roman"/>
          <w:b/>
        </w:rPr>
        <w:t>1: Calibrated baseline and COVID-19 mechanism adjustment parameters and prior distributions used in the MITUS transmission model.</w:t>
      </w:r>
    </w:p>
    <w:p w14:paraId="5B905357" w14:textId="5C71F8FB" w:rsidR="004C20AC" w:rsidRDefault="004C20AC">
      <w:pPr>
        <w:rPr>
          <w:rFonts w:ascii="Times New Roman" w:hAnsi="Times New Roman" w:cs="Times New Roman"/>
          <w:bCs/>
        </w:rPr>
      </w:pPr>
    </w:p>
    <w:p w14:paraId="3C7B2106" w14:textId="77777777" w:rsidR="008B6EED" w:rsidRDefault="008B6EED">
      <w:pPr>
        <w:rPr>
          <w:rFonts w:ascii="Times New Roman" w:hAnsi="Times New Roman" w:cs="Times New Roman"/>
          <w:bCs/>
        </w:rPr>
      </w:pPr>
    </w:p>
    <w:p w14:paraId="658D6CA3" w14:textId="77777777" w:rsidR="008B6EED" w:rsidRDefault="008B6EED" w:rsidP="008B6EED">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3DA0CB71" wp14:editId="5CA982F1">
            <wp:extent cx="5286703" cy="3343275"/>
            <wp:effectExtent l="0" t="0" r="0" b="0"/>
            <wp:docPr id="624511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511094" name="Picture 624511094"/>
                    <pic:cNvPicPr/>
                  </pic:nvPicPr>
                  <pic:blipFill rotWithShape="1">
                    <a:blip r:embed="rId9"/>
                    <a:srcRect r="11052"/>
                    <a:stretch/>
                  </pic:blipFill>
                  <pic:spPr bwMode="auto">
                    <a:xfrm>
                      <a:off x="0" y="0"/>
                      <a:ext cx="5286703" cy="3343275"/>
                    </a:xfrm>
                    <a:prstGeom prst="rect">
                      <a:avLst/>
                    </a:prstGeom>
                    <a:ln>
                      <a:noFill/>
                    </a:ln>
                    <a:extLst>
                      <a:ext uri="{53640926-AAD7-44D8-BBD7-CCE9431645EC}">
                        <a14:shadowObscured xmlns:a14="http://schemas.microsoft.com/office/drawing/2010/main"/>
                      </a:ext>
                    </a:extLst>
                  </pic:spPr>
                </pic:pic>
              </a:graphicData>
            </a:graphic>
          </wp:inline>
        </w:drawing>
      </w:r>
    </w:p>
    <w:p w14:paraId="7D8DA285" w14:textId="77777777" w:rsidR="008B6EED" w:rsidRPr="00806B3B" w:rsidRDefault="008B6EED" w:rsidP="008B6EED">
      <w:pPr>
        <w:spacing w:line="276" w:lineRule="auto"/>
        <w:rPr>
          <w:rFonts w:ascii="Times New Roman" w:eastAsia="Times New Roman" w:hAnsi="Times New Roman" w:cs="Times New Roman"/>
          <w:b/>
          <w:bCs/>
        </w:rPr>
      </w:pPr>
      <w:r w:rsidRPr="00806B3B">
        <w:rPr>
          <w:rFonts w:ascii="Times New Roman" w:eastAsia="Times New Roman" w:hAnsi="Times New Roman" w:cs="Times New Roman"/>
          <w:b/>
          <w:bCs/>
        </w:rPr>
        <w:t xml:space="preserve">Figure S2: Schematic describing the incorporation of the COVID-19 adjustment parameters for the time trend in immigration. </w:t>
      </w:r>
    </w:p>
    <w:p w14:paraId="5F5E065C" w14:textId="3526D1F0" w:rsidR="008B6EED" w:rsidRDefault="008B6EED">
      <w:pPr>
        <w:rPr>
          <w:rFonts w:ascii="Times New Roman" w:hAnsi="Times New Roman" w:cs="Times New Roman"/>
          <w:bCs/>
        </w:rPr>
      </w:pPr>
      <w:r>
        <w:rPr>
          <w:rFonts w:ascii="Times New Roman" w:hAnsi="Times New Roman" w:cs="Times New Roman"/>
          <w:bCs/>
        </w:rPr>
        <w:br w:type="page"/>
      </w:r>
    </w:p>
    <w:p w14:paraId="40126939" w14:textId="1AE80770" w:rsidR="004C20AC" w:rsidRDefault="004C20AC" w:rsidP="004C20AC">
      <w:pPr>
        <w:pStyle w:val="ListParagraph"/>
        <w:numPr>
          <w:ilvl w:val="0"/>
          <w:numId w:val="7"/>
        </w:numPr>
        <w:spacing w:line="276" w:lineRule="auto"/>
        <w:rPr>
          <w:rFonts w:ascii="Times New Roman" w:hAnsi="Times New Roman" w:cs="Times New Roman"/>
          <w:bCs/>
        </w:rPr>
      </w:pPr>
      <w:r>
        <w:rPr>
          <w:rFonts w:ascii="Times New Roman" w:hAnsi="Times New Roman" w:cs="Times New Roman"/>
          <w:bCs/>
        </w:rPr>
        <w:lastRenderedPageBreak/>
        <w:t xml:space="preserve">Additional Results </w:t>
      </w:r>
    </w:p>
    <w:p w14:paraId="7C641E19" w14:textId="77777777" w:rsidR="004C20AC" w:rsidRDefault="004C20AC" w:rsidP="004C20AC">
      <w:pPr>
        <w:spacing w:line="276" w:lineRule="auto"/>
        <w:rPr>
          <w:rFonts w:ascii="Times New Roman" w:hAnsi="Times New Roman" w:cs="Times New Roman"/>
          <w:bCs/>
        </w:rPr>
      </w:pPr>
    </w:p>
    <w:p w14:paraId="1F733275" w14:textId="575619B3" w:rsidR="004C20AC" w:rsidRPr="00F07A46" w:rsidRDefault="00E905FE" w:rsidP="004C20AC">
      <w:pPr>
        <w:rPr>
          <w:rFonts w:ascii="Times New Roman" w:hAnsi="Times New Roman" w:cs="Times New Roman"/>
          <w:b/>
        </w:rPr>
      </w:pPr>
      <w:r>
        <w:rPr>
          <w:rFonts w:ascii="Times New Roman" w:hAnsi="Times New Roman" w:cs="Times New Roman"/>
          <w:b/>
          <w:noProof/>
        </w:rPr>
        <w:drawing>
          <wp:inline distT="0" distB="0" distL="0" distR="0" wp14:anchorId="1D24DF64" wp14:editId="63A25E53">
            <wp:extent cx="5943600" cy="4592955"/>
            <wp:effectExtent l="0" t="0" r="0" b="0"/>
            <wp:docPr id="1153825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25782" name="Picture 1153825782"/>
                    <pic:cNvPicPr/>
                  </pic:nvPicPr>
                  <pic:blipFill>
                    <a:blip r:embed="rId10"/>
                    <a:stretch>
                      <a:fillRect/>
                    </a:stretch>
                  </pic:blipFill>
                  <pic:spPr>
                    <a:xfrm>
                      <a:off x="0" y="0"/>
                      <a:ext cx="5943600" cy="4592955"/>
                    </a:xfrm>
                    <a:prstGeom prst="rect">
                      <a:avLst/>
                    </a:prstGeom>
                  </pic:spPr>
                </pic:pic>
              </a:graphicData>
            </a:graphic>
          </wp:inline>
        </w:drawing>
      </w:r>
    </w:p>
    <w:p w14:paraId="21636455" w14:textId="0A440A80" w:rsidR="004C20AC" w:rsidRDefault="004C20AC" w:rsidP="004C20AC">
      <w:pPr>
        <w:spacing w:before="240" w:after="240"/>
        <w:rPr>
          <w:rFonts w:ascii="Times New Roman" w:hAnsi="Times New Roman" w:cs="Times New Roman"/>
          <w:bCs/>
          <w:sz w:val="20"/>
          <w:szCs w:val="20"/>
        </w:rPr>
      </w:pPr>
      <w:r w:rsidRPr="00F07A46">
        <w:rPr>
          <w:rFonts w:ascii="Times New Roman" w:hAnsi="Times New Roman" w:cs="Times New Roman"/>
          <w:b/>
        </w:rPr>
        <w:t>Figure S</w:t>
      </w:r>
      <w:r w:rsidR="008B6EED">
        <w:rPr>
          <w:rFonts w:ascii="Times New Roman" w:hAnsi="Times New Roman" w:cs="Times New Roman"/>
          <w:b/>
        </w:rPr>
        <w:t>3</w:t>
      </w:r>
      <w:r w:rsidRPr="00F07A46">
        <w:rPr>
          <w:rFonts w:ascii="Times New Roman" w:hAnsi="Times New Roman" w:cs="Times New Roman"/>
          <w:b/>
        </w:rPr>
        <w:t xml:space="preserve">: Comparison of calibration targets and model estimates for the fitted pandemic scenario and no-pandemic counterfactual during 2019–2023. </w:t>
      </w:r>
      <w:r>
        <w:rPr>
          <w:rFonts w:ascii="Times New Roman" w:hAnsi="Times New Roman" w:cs="Times New Roman"/>
          <w:b/>
        </w:rPr>
        <w:t xml:space="preserve">Shaded areas represent 95% uncertainty intervals. </w:t>
      </w:r>
      <w:r w:rsidRPr="00F07A46">
        <w:rPr>
          <w:rFonts w:ascii="Times New Roman" w:hAnsi="Times New Roman" w:cs="Times New Roman"/>
          <w:b/>
        </w:rPr>
        <w:br/>
      </w:r>
      <w:r>
        <w:rPr>
          <w:rFonts w:ascii="Times New Roman" w:hAnsi="Times New Roman" w:cs="Times New Roman"/>
          <w:b/>
        </w:rPr>
        <w:br/>
      </w:r>
      <w:r w:rsidRPr="00D83B37">
        <w:rPr>
          <w:rFonts w:ascii="Times New Roman" w:hAnsi="Times New Roman" w:cs="Times New Roman"/>
          <w:bCs/>
          <w:sz w:val="20"/>
          <w:szCs w:val="20"/>
        </w:rPr>
        <w:t>Note: New arrivals defined as non-U.S</w:t>
      </w:r>
      <w:r>
        <w:rPr>
          <w:rFonts w:ascii="Times New Roman" w:hAnsi="Times New Roman" w:cs="Times New Roman"/>
          <w:bCs/>
          <w:sz w:val="20"/>
          <w:szCs w:val="20"/>
        </w:rPr>
        <w:t>.</w:t>
      </w:r>
      <w:r w:rsidRPr="00D83B37">
        <w:rPr>
          <w:rFonts w:ascii="Times New Roman" w:hAnsi="Times New Roman" w:cs="Times New Roman"/>
          <w:bCs/>
          <w:sz w:val="20"/>
          <w:szCs w:val="20"/>
        </w:rPr>
        <w:t>–born persons in the United States less than or equal to 2 years.</w:t>
      </w:r>
    </w:p>
    <w:p w14:paraId="21134D13" w14:textId="77777777" w:rsidR="004C20AC" w:rsidRDefault="004C20AC">
      <w:pPr>
        <w:rPr>
          <w:rFonts w:ascii="Times New Roman" w:hAnsi="Times New Roman" w:cs="Times New Roman"/>
          <w:bCs/>
          <w:sz w:val="20"/>
          <w:szCs w:val="20"/>
        </w:rPr>
      </w:pPr>
      <w:r>
        <w:rPr>
          <w:rFonts w:ascii="Times New Roman" w:hAnsi="Times New Roman" w:cs="Times New Roman"/>
          <w:bCs/>
          <w:sz w:val="20"/>
          <w:szCs w:val="20"/>
        </w:rPr>
        <w:br w:type="page"/>
      </w:r>
    </w:p>
    <w:p w14:paraId="370672A8" w14:textId="5DCAF1B7" w:rsidR="004C20AC" w:rsidRDefault="00E905FE" w:rsidP="004C20AC">
      <w:pPr>
        <w:spacing w:before="240" w:after="240"/>
        <w:rPr>
          <w:rFonts w:ascii="Times New Roman" w:hAnsi="Times New Roman" w:cs="Times New Roman"/>
          <w:b/>
        </w:rPr>
      </w:pPr>
      <w:r>
        <w:rPr>
          <w:rFonts w:ascii="Times New Roman" w:hAnsi="Times New Roman" w:cs="Times New Roman"/>
          <w:b/>
          <w:noProof/>
        </w:rPr>
        <w:lastRenderedPageBreak/>
        <w:drawing>
          <wp:inline distT="0" distB="0" distL="0" distR="0" wp14:anchorId="4DA7DFAF" wp14:editId="1C521DA9">
            <wp:extent cx="5943600" cy="4592955"/>
            <wp:effectExtent l="0" t="0" r="0" b="0"/>
            <wp:docPr id="1035186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186520" name="Picture 1035186520"/>
                    <pic:cNvPicPr/>
                  </pic:nvPicPr>
                  <pic:blipFill>
                    <a:blip r:embed="rId11"/>
                    <a:stretch>
                      <a:fillRect/>
                    </a:stretch>
                  </pic:blipFill>
                  <pic:spPr>
                    <a:xfrm>
                      <a:off x="0" y="0"/>
                      <a:ext cx="5943600" cy="4592955"/>
                    </a:xfrm>
                    <a:prstGeom prst="rect">
                      <a:avLst/>
                    </a:prstGeom>
                  </pic:spPr>
                </pic:pic>
              </a:graphicData>
            </a:graphic>
          </wp:inline>
        </w:drawing>
      </w:r>
    </w:p>
    <w:p w14:paraId="49FE120B" w14:textId="70BEADB7" w:rsidR="004C20AC" w:rsidRDefault="004C20AC" w:rsidP="004C20AC">
      <w:pPr>
        <w:spacing w:before="240" w:after="240"/>
        <w:rPr>
          <w:rFonts w:ascii="Times New Roman" w:hAnsi="Times New Roman" w:cs="Times New Roman"/>
          <w:b/>
        </w:rPr>
      </w:pPr>
      <w:r w:rsidRPr="00F07A46">
        <w:rPr>
          <w:rFonts w:ascii="Times New Roman" w:hAnsi="Times New Roman" w:cs="Times New Roman"/>
          <w:b/>
        </w:rPr>
        <w:t xml:space="preserve">Figure </w:t>
      </w:r>
      <w:r>
        <w:rPr>
          <w:rFonts w:ascii="Times New Roman" w:hAnsi="Times New Roman" w:cs="Times New Roman"/>
          <w:b/>
        </w:rPr>
        <w:t>S</w:t>
      </w:r>
      <w:r w:rsidR="008B6EED">
        <w:rPr>
          <w:rFonts w:ascii="Times New Roman" w:hAnsi="Times New Roman" w:cs="Times New Roman"/>
          <w:b/>
        </w:rPr>
        <w:t>4</w:t>
      </w:r>
      <w:r w:rsidRPr="00F07A46">
        <w:rPr>
          <w:rFonts w:ascii="Times New Roman" w:hAnsi="Times New Roman" w:cs="Times New Roman"/>
          <w:b/>
        </w:rPr>
        <w:t>: Estimated impact of each examined COVID-19 related mechanism on</w:t>
      </w:r>
      <w:r>
        <w:rPr>
          <w:rFonts w:ascii="Times New Roman" w:hAnsi="Times New Roman" w:cs="Times New Roman"/>
          <w:b/>
        </w:rPr>
        <w:t xml:space="preserve"> incident</w:t>
      </w:r>
      <w:r w:rsidRPr="00F07A46">
        <w:rPr>
          <w:rFonts w:ascii="Times New Roman" w:hAnsi="Times New Roman" w:cs="Times New Roman"/>
          <w:b/>
        </w:rPr>
        <w:t xml:space="preserve"> TB </w:t>
      </w:r>
      <w:r>
        <w:rPr>
          <w:rFonts w:ascii="Times New Roman" w:hAnsi="Times New Roman" w:cs="Times New Roman"/>
          <w:b/>
        </w:rPr>
        <w:t>infections</w:t>
      </w:r>
      <w:r w:rsidRPr="00F07A46">
        <w:rPr>
          <w:rFonts w:ascii="Times New Roman" w:hAnsi="Times New Roman" w:cs="Times New Roman"/>
          <w:b/>
        </w:rPr>
        <w:t xml:space="preserve"> during 2020–2035. </w:t>
      </w:r>
    </w:p>
    <w:p w14:paraId="71AE624D" w14:textId="33070364" w:rsidR="004C20AC" w:rsidRDefault="004C20AC" w:rsidP="004C20AC">
      <w:pPr>
        <w:spacing w:before="240" w:after="240"/>
        <w:rPr>
          <w:rFonts w:ascii="Times New Roman" w:hAnsi="Times New Roman" w:cs="Times New Roman"/>
          <w:b/>
        </w:rPr>
      </w:pPr>
      <w:r w:rsidRPr="00E63B47">
        <w:rPr>
          <w:rFonts w:ascii="Times New Roman" w:hAnsi="Times New Roman" w:cs="Times New Roman"/>
          <w:bCs/>
          <w:sz w:val="20"/>
          <w:szCs w:val="20"/>
        </w:rPr>
        <w:t>Note: Error bars and shaded area represent 95% uncertainty intervals.</w:t>
      </w:r>
    </w:p>
    <w:p w14:paraId="7D0CE2B2" w14:textId="77777777" w:rsidR="004C20AC" w:rsidRDefault="004C20AC" w:rsidP="004C20AC">
      <w:pPr>
        <w:rPr>
          <w:rFonts w:ascii="Times New Roman" w:hAnsi="Times New Roman" w:cs="Times New Roman"/>
          <w:b/>
        </w:rPr>
      </w:pPr>
      <w:r>
        <w:rPr>
          <w:rFonts w:ascii="Times New Roman" w:hAnsi="Times New Roman" w:cs="Times New Roman"/>
          <w:b/>
        </w:rPr>
        <w:br w:type="page"/>
      </w:r>
    </w:p>
    <w:p w14:paraId="7261D45A" w14:textId="69CC6922" w:rsidR="004C20AC" w:rsidRDefault="004C20AC" w:rsidP="004C20AC">
      <w:pPr>
        <w:spacing w:after="240" w:line="360" w:lineRule="auto"/>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659264" behindDoc="0" locked="0" layoutInCell="1" allowOverlap="1" wp14:anchorId="0AA44B43" wp14:editId="17AFB4C2">
            <wp:simplePos x="0" y="0"/>
            <wp:positionH relativeFrom="column">
              <wp:posOffset>3097530</wp:posOffset>
            </wp:positionH>
            <wp:positionV relativeFrom="paragraph">
              <wp:posOffset>2504106</wp:posOffset>
            </wp:positionV>
            <wp:extent cx="1441450" cy="622935"/>
            <wp:effectExtent l="0" t="0" r="0" b="0"/>
            <wp:wrapNone/>
            <wp:docPr id="1604691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3972" name="Picture 37833972"/>
                    <pic:cNvPicPr/>
                  </pic:nvPicPr>
                  <pic:blipFill rotWithShape="1">
                    <a:blip r:embed="rId12"/>
                    <a:srcRect l="50666" t="49911" r="27472" b="37851"/>
                    <a:stretch/>
                  </pic:blipFill>
                  <pic:spPr bwMode="auto">
                    <a:xfrm>
                      <a:off x="0" y="0"/>
                      <a:ext cx="1441450" cy="622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05FE">
        <w:rPr>
          <w:rFonts w:ascii="Times New Roman" w:hAnsi="Times New Roman" w:cs="Times New Roman"/>
          <w:b/>
          <w:noProof/>
        </w:rPr>
        <w:drawing>
          <wp:inline distT="0" distB="0" distL="0" distR="0" wp14:anchorId="61EA2BF2" wp14:editId="5B44BC3B">
            <wp:extent cx="5943600" cy="4592955"/>
            <wp:effectExtent l="0" t="0" r="0" b="0"/>
            <wp:docPr id="95134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070" name="Picture 95134070"/>
                    <pic:cNvPicPr/>
                  </pic:nvPicPr>
                  <pic:blipFill>
                    <a:blip r:embed="rId13"/>
                    <a:stretch>
                      <a:fillRect/>
                    </a:stretch>
                  </pic:blipFill>
                  <pic:spPr>
                    <a:xfrm>
                      <a:off x="0" y="0"/>
                      <a:ext cx="5943600" cy="4592955"/>
                    </a:xfrm>
                    <a:prstGeom prst="rect">
                      <a:avLst/>
                    </a:prstGeom>
                  </pic:spPr>
                </pic:pic>
              </a:graphicData>
            </a:graphic>
          </wp:inline>
        </w:drawing>
      </w:r>
    </w:p>
    <w:p w14:paraId="2E1C6D1E" w14:textId="562DA941" w:rsidR="004C20AC" w:rsidRDefault="004C20AC" w:rsidP="004C20AC">
      <w:pPr>
        <w:spacing w:before="240" w:after="240"/>
        <w:rPr>
          <w:rFonts w:ascii="Times New Roman" w:hAnsi="Times New Roman" w:cs="Times New Roman"/>
          <w:b/>
        </w:rPr>
      </w:pPr>
      <w:r w:rsidRPr="00F07A46">
        <w:rPr>
          <w:rFonts w:ascii="Times New Roman" w:hAnsi="Times New Roman" w:cs="Times New Roman"/>
          <w:b/>
        </w:rPr>
        <w:t xml:space="preserve">Figure </w:t>
      </w:r>
      <w:r>
        <w:rPr>
          <w:rFonts w:ascii="Times New Roman" w:hAnsi="Times New Roman" w:cs="Times New Roman"/>
          <w:b/>
        </w:rPr>
        <w:t>S</w:t>
      </w:r>
      <w:r w:rsidR="008B6EED">
        <w:rPr>
          <w:rFonts w:ascii="Times New Roman" w:hAnsi="Times New Roman" w:cs="Times New Roman"/>
          <w:b/>
        </w:rPr>
        <w:t>5</w:t>
      </w:r>
      <w:r w:rsidRPr="00F07A46">
        <w:rPr>
          <w:rFonts w:ascii="Times New Roman" w:hAnsi="Times New Roman" w:cs="Times New Roman"/>
          <w:b/>
        </w:rPr>
        <w:t xml:space="preserve">: Model estimated annual </w:t>
      </w:r>
      <w:r>
        <w:rPr>
          <w:rFonts w:ascii="Times New Roman" w:hAnsi="Times New Roman" w:cs="Times New Roman"/>
          <w:b/>
        </w:rPr>
        <w:t xml:space="preserve">difference in </w:t>
      </w:r>
      <w:r w:rsidRPr="00F07A46">
        <w:rPr>
          <w:rFonts w:ascii="Times New Roman" w:hAnsi="Times New Roman" w:cs="Times New Roman"/>
          <w:b/>
        </w:rPr>
        <w:t xml:space="preserve">TB outcomes under the fitted pandemic scenario </w:t>
      </w:r>
      <w:r>
        <w:rPr>
          <w:rFonts w:ascii="Times New Roman" w:hAnsi="Times New Roman" w:cs="Times New Roman"/>
          <w:b/>
        </w:rPr>
        <w:t>compared with</w:t>
      </w:r>
      <w:r w:rsidRPr="00F07A46">
        <w:rPr>
          <w:rFonts w:ascii="Times New Roman" w:hAnsi="Times New Roman" w:cs="Times New Roman"/>
          <w:b/>
        </w:rPr>
        <w:t xml:space="preserve"> </w:t>
      </w:r>
      <w:r>
        <w:rPr>
          <w:rFonts w:ascii="Times New Roman" w:hAnsi="Times New Roman" w:cs="Times New Roman"/>
          <w:b/>
        </w:rPr>
        <w:t xml:space="preserve">each </w:t>
      </w:r>
      <w:r w:rsidRPr="00F07A46">
        <w:rPr>
          <w:rFonts w:ascii="Times New Roman" w:hAnsi="Times New Roman" w:cs="Times New Roman"/>
          <w:b/>
        </w:rPr>
        <w:t xml:space="preserve">counterfactual </w:t>
      </w:r>
      <w:r>
        <w:rPr>
          <w:rFonts w:ascii="Times New Roman" w:hAnsi="Times New Roman" w:cs="Times New Roman"/>
          <w:b/>
        </w:rPr>
        <w:t xml:space="preserve">immigration scenario </w:t>
      </w:r>
      <w:r w:rsidRPr="00F07A46">
        <w:rPr>
          <w:rFonts w:ascii="Times New Roman" w:hAnsi="Times New Roman" w:cs="Times New Roman"/>
          <w:b/>
        </w:rPr>
        <w:t xml:space="preserve">during 2015–2035. </w:t>
      </w:r>
    </w:p>
    <w:p w14:paraId="0EB031E5" w14:textId="72F0B8AE" w:rsidR="004C20AC" w:rsidRPr="004C20AC" w:rsidRDefault="004C20AC" w:rsidP="004C20AC">
      <w:pPr>
        <w:spacing w:line="276" w:lineRule="auto"/>
        <w:rPr>
          <w:rFonts w:ascii="Times New Roman" w:hAnsi="Times New Roman" w:cs="Times New Roman"/>
          <w:bCs/>
        </w:rPr>
      </w:pPr>
      <w:r>
        <w:rPr>
          <w:rFonts w:ascii="Times New Roman" w:hAnsi="Times New Roman" w:cs="Times New Roman"/>
          <w:b/>
        </w:rPr>
        <w:br w:type="column"/>
      </w:r>
      <w:r>
        <w:rPr>
          <w:rFonts w:ascii="Times New Roman" w:hAnsi="Times New Roman" w:cs="Times New Roman"/>
          <w:b/>
        </w:rPr>
        <w:lastRenderedPageBreak/>
        <w:t xml:space="preserve">References </w:t>
      </w:r>
    </w:p>
    <w:p w14:paraId="1876D0FF" w14:textId="77777777" w:rsidR="004C20AC" w:rsidRDefault="004C20AC" w:rsidP="004C20AC">
      <w:pPr>
        <w:spacing w:line="360" w:lineRule="auto"/>
        <w:rPr>
          <w:rFonts w:ascii="Times New Roman" w:hAnsi="Times New Roman" w:cs="Times New Roman"/>
          <w:b/>
        </w:rPr>
      </w:pPr>
    </w:p>
    <w:p w14:paraId="213C7FF6" w14:textId="77777777" w:rsidR="004C20AC" w:rsidRPr="000D0809" w:rsidRDefault="004C20AC" w:rsidP="004C20AC">
      <w:pPr>
        <w:pStyle w:val="EndNoteBibliography"/>
        <w:ind w:left="720" w:hanging="720"/>
        <w:rPr>
          <w:noProof/>
        </w:rPr>
      </w:pPr>
      <w:r>
        <w:fldChar w:fldCharType="begin"/>
      </w:r>
      <w:r>
        <w:instrText xml:space="preserve"> ADDIN EN.REFLIST </w:instrText>
      </w:r>
      <w:r>
        <w:fldChar w:fldCharType="separate"/>
      </w:r>
      <w:r w:rsidRPr="000D0809">
        <w:rPr>
          <w:noProof/>
        </w:rPr>
        <w:t>1.</w:t>
      </w:r>
      <w:r w:rsidRPr="000D0809">
        <w:rPr>
          <w:noProof/>
        </w:rPr>
        <w:tab/>
        <w:t xml:space="preserve">Menzies NA, Cohen T, Hill AN, et al. Prospects for tuberculosis elimination in the United States: results of a transmission dynamic model. American journal of epidemiology </w:t>
      </w:r>
      <w:r w:rsidRPr="000D0809">
        <w:rPr>
          <w:b/>
          <w:noProof/>
        </w:rPr>
        <w:t>2018</w:t>
      </w:r>
      <w:r w:rsidRPr="000D0809">
        <w:rPr>
          <w:noProof/>
        </w:rPr>
        <w:t xml:space="preserve">; 187(9): 2011-20. </w:t>
      </w:r>
    </w:p>
    <w:p w14:paraId="2905B21F" w14:textId="77777777" w:rsidR="004C20AC" w:rsidRPr="000D0809" w:rsidRDefault="004C20AC" w:rsidP="004C20AC">
      <w:pPr>
        <w:pStyle w:val="EndNoteBibliography"/>
        <w:ind w:left="720" w:hanging="720"/>
        <w:rPr>
          <w:noProof/>
        </w:rPr>
      </w:pPr>
      <w:r w:rsidRPr="000D0809">
        <w:rPr>
          <w:noProof/>
        </w:rPr>
        <w:t>2.</w:t>
      </w:r>
      <w:r w:rsidRPr="000D0809">
        <w:rPr>
          <w:noProof/>
        </w:rPr>
        <w:tab/>
        <w:t xml:space="preserve">Swartwood NA, Testa C, Cohen T, et al. Tabby2: a user-friendly web tool for forecasting state-level TB outcomes in the United States. BMC medicine </w:t>
      </w:r>
      <w:r w:rsidRPr="000D0809">
        <w:rPr>
          <w:b/>
          <w:noProof/>
        </w:rPr>
        <w:t>2023</w:t>
      </w:r>
      <w:r w:rsidRPr="000D0809">
        <w:rPr>
          <w:noProof/>
        </w:rPr>
        <w:t xml:space="preserve">; 21(1): 331. </w:t>
      </w:r>
    </w:p>
    <w:p w14:paraId="5A8F1A1D" w14:textId="77777777" w:rsidR="004C20AC" w:rsidRPr="000D0809" w:rsidRDefault="004C20AC" w:rsidP="004C20AC">
      <w:pPr>
        <w:pStyle w:val="EndNoteBibliography"/>
        <w:ind w:left="720" w:hanging="720"/>
        <w:rPr>
          <w:noProof/>
        </w:rPr>
      </w:pPr>
      <w:r w:rsidRPr="000D0809">
        <w:rPr>
          <w:noProof/>
        </w:rPr>
        <w:t>3.</w:t>
      </w:r>
      <w:r w:rsidRPr="000D0809">
        <w:rPr>
          <w:noProof/>
        </w:rPr>
        <w:tab/>
        <w:t xml:space="preserve">Ferebee SH, Mount FW. Tuberculosis morbidity in a controlled trial of the prophylactic use of isoniazid among household contacts. American Review of Respiratory Disease </w:t>
      </w:r>
      <w:r w:rsidRPr="000D0809">
        <w:rPr>
          <w:b/>
          <w:noProof/>
        </w:rPr>
        <w:t>1962</w:t>
      </w:r>
      <w:r w:rsidRPr="000D0809">
        <w:rPr>
          <w:noProof/>
        </w:rPr>
        <w:t xml:space="preserve">; 85(4): 490-510. </w:t>
      </w:r>
    </w:p>
    <w:p w14:paraId="3EE9B5FC" w14:textId="77777777" w:rsidR="004C20AC" w:rsidRPr="000D0809" w:rsidRDefault="004C20AC" w:rsidP="004C20AC">
      <w:pPr>
        <w:pStyle w:val="EndNoteBibliography"/>
        <w:ind w:left="720" w:hanging="720"/>
        <w:rPr>
          <w:noProof/>
        </w:rPr>
      </w:pPr>
      <w:r w:rsidRPr="000D0809">
        <w:rPr>
          <w:noProof/>
        </w:rPr>
        <w:t>4.</w:t>
      </w:r>
      <w:r w:rsidRPr="000D0809">
        <w:rPr>
          <w:noProof/>
        </w:rPr>
        <w:tab/>
        <w:t xml:space="preserve">Sutherland I. The ten-year incidence of clinical tuberculosis following “conversion” in 2550 individuals aged 14 to 19 years. TSRU Progress Report </w:t>
      </w:r>
      <w:r w:rsidRPr="000D0809">
        <w:rPr>
          <w:b/>
          <w:noProof/>
        </w:rPr>
        <w:t>1968</w:t>
      </w:r>
      <w:r w:rsidRPr="000D0809">
        <w:rPr>
          <w:noProof/>
        </w:rPr>
        <w:t xml:space="preserve">; 13: 1781-3. </w:t>
      </w:r>
    </w:p>
    <w:p w14:paraId="26F74A28" w14:textId="77777777" w:rsidR="004C20AC" w:rsidRPr="000D0809" w:rsidRDefault="004C20AC" w:rsidP="004C20AC">
      <w:pPr>
        <w:pStyle w:val="EndNoteBibliography"/>
        <w:ind w:left="720" w:hanging="720"/>
        <w:rPr>
          <w:noProof/>
        </w:rPr>
      </w:pPr>
      <w:r w:rsidRPr="000D0809">
        <w:rPr>
          <w:noProof/>
        </w:rPr>
        <w:t>5.</w:t>
      </w:r>
      <w:r w:rsidRPr="000D0809">
        <w:rPr>
          <w:noProof/>
        </w:rPr>
        <w:tab/>
        <w:t xml:space="preserve">Prophylaxis IUATCo. Efficacy of various durations of isoniazid preventive therapy for tuberculosis: five years of follow-up in the IUAT trial. Bulletin of the World Health Organization </w:t>
      </w:r>
      <w:r w:rsidRPr="000D0809">
        <w:rPr>
          <w:b/>
          <w:noProof/>
        </w:rPr>
        <w:t>1982</w:t>
      </w:r>
      <w:r w:rsidRPr="000D0809">
        <w:rPr>
          <w:noProof/>
        </w:rPr>
        <w:t xml:space="preserve">; 60(4): 555. </w:t>
      </w:r>
    </w:p>
    <w:p w14:paraId="77E4B08D" w14:textId="77777777" w:rsidR="004C20AC" w:rsidRPr="000D0809" w:rsidRDefault="004C20AC" w:rsidP="004C20AC">
      <w:pPr>
        <w:pStyle w:val="EndNoteBibliography"/>
        <w:ind w:left="720" w:hanging="720"/>
        <w:rPr>
          <w:noProof/>
        </w:rPr>
      </w:pPr>
      <w:r w:rsidRPr="000D0809">
        <w:rPr>
          <w:noProof/>
        </w:rPr>
        <w:t>6.</w:t>
      </w:r>
      <w:r w:rsidRPr="000D0809">
        <w:rPr>
          <w:noProof/>
        </w:rPr>
        <w:tab/>
        <w:t xml:space="preserve">Comstock G. How much isoniazid is needed for prevention of tuberculosis among immunocompetent adults?[Counterpoint]. The International Journal of Tuberculosis and Lung Disease </w:t>
      </w:r>
      <w:r w:rsidRPr="000D0809">
        <w:rPr>
          <w:b/>
          <w:noProof/>
        </w:rPr>
        <w:t>1999</w:t>
      </w:r>
      <w:r w:rsidRPr="000D0809">
        <w:rPr>
          <w:noProof/>
        </w:rPr>
        <w:t xml:space="preserve">; 3(10): 847-50. </w:t>
      </w:r>
    </w:p>
    <w:p w14:paraId="1B561121" w14:textId="77777777" w:rsidR="004C20AC" w:rsidRPr="000D0809" w:rsidRDefault="004C20AC" w:rsidP="004C20AC">
      <w:pPr>
        <w:pStyle w:val="EndNoteBibliography"/>
        <w:ind w:left="720" w:hanging="720"/>
        <w:rPr>
          <w:noProof/>
        </w:rPr>
      </w:pPr>
      <w:r w:rsidRPr="000D0809">
        <w:rPr>
          <w:noProof/>
        </w:rPr>
        <w:t>7.</w:t>
      </w:r>
      <w:r w:rsidRPr="000D0809">
        <w:rPr>
          <w:noProof/>
        </w:rPr>
        <w:tab/>
        <w:t xml:space="preserve">U.S. Census Bureau. 2023 National Population Projections Tables: Main Series (NP2023-T13). In: U.S. Census Bureau. Washington D.C. : U.S. Census Bureau, Population Division, </w:t>
      </w:r>
      <w:r w:rsidRPr="000D0809">
        <w:rPr>
          <w:b/>
          <w:noProof/>
        </w:rPr>
        <w:t>2023</w:t>
      </w:r>
      <w:r w:rsidRPr="000D0809">
        <w:rPr>
          <w:noProof/>
        </w:rPr>
        <w:t xml:space="preserve">. </w:t>
      </w:r>
      <w:hyperlink r:id="rId14" w:history="1">
        <w:r w:rsidRPr="000D0809">
          <w:rPr>
            <w:rStyle w:val="Hyperlink"/>
            <w:noProof/>
          </w:rPr>
          <w:t>https://www.census.gov/data/tables/2023/demo/popproj/2023-summary-tables.html</w:t>
        </w:r>
      </w:hyperlink>
      <w:r w:rsidRPr="000D0809">
        <w:rPr>
          <w:noProof/>
        </w:rPr>
        <w:t>.</w:t>
      </w:r>
    </w:p>
    <w:p w14:paraId="4FDBD4DC" w14:textId="77777777" w:rsidR="004C20AC" w:rsidRPr="000D0809" w:rsidRDefault="004C20AC" w:rsidP="004C20AC">
      <w:pPr>
        <w:pStyle w:val="EndNoteBibliography"/>
        <w:ind w:left="720" w:hanging="720"/>
        <w:rPr>
          <w:noProof/>
        </w:rPr>
      </w:pPr>
      <w:r w:rsidRPr="000D0809">
        <w:rPr>
          <w:noProof/>
        </w:rPr>
        <w:t>8.</w:t>
      </w:r>
      <w:r w:rsidRPr="000D0809">
        <w:rPr>
          <w:noProof/>
        </w:rPr>
        <w:tab/>
        <w:t xml:space="preserve">Menzies NA, Soeteman DI, Pandya A, Kim JJ. Bayesian methods for calibrating health policy models: a tutorial. Pharmacoeconomics </w:t>
      </w:r>
      <w:r w:rsidRPr="000D0809">
        <w:rPr>
          <w:b/>
          <w:noProof/>
        </w:rPr>
        <w:t>2017</w:t>
      </w:r>
      <w:r w:rsidRPr="000D0809">
        <w:rPr>
          <w:noProof/>
        </w:rPr>
        <w:t xml:space="preserve">; 35(6): 613-24. </w:t>
      </w:r>
      <w:hyperlink r:id="rId15" w:history="1">
        <w:r w:rsidRPr="000D0809">
          <w:rPr>
            <w:rStyle w:val="Hyperlink"/>
            <w:noProof/>
          </w:rPr>
          <w:t>https://www.ncbi.nlm.nih.gov/pmc/articles/PMC5448142/pdf/nihms856339.pdf</w:t>
        </w:r>
      </w:hyperlink>
      <w:r w:rsidRPr="000D0809">
        <w:rPr>
          <w:noProof/>
        </w:rPr>
        <w:t>.</w:t>
      </w:r>
    </w:p>
    <w:p w14:paraId="3F81ECC4" w14:textId="77777777" w:rsidR="004C20AC" w:rsidRPr="000D0809" w:rsidRDefault="004C20AC" w:rsidP="004C20AC">
      <w:pPr>
        <w:pStyle w:val="EndNoteBibliography"/>
        <w:ind w:left="720" w:hanging="720"/>
        <w:rPr>
          <w:noProof/>
        </w:rPr>
      </w:pPr>
      <w:r w:rsidRPr="000D0809">
        <w:rPr>
          <w:noProof/>
        </w:rPr>
        <w:t>9.</w:t>
      </w:r>
      <w:r w:rsidRPr="000D0809">
        <w:rPr>
          <w:noProof/>
        </w:rPr>
        <w:tab/>
        <w:t xml:space="preserve">Jackson CH, Jit M, Sharples LD, De Angelis D. Calibration of complex models through Bayesian evidence synthesis: a demonstration and tutorial. Medical decision making </w:t>
      </w:r>
      <w:r w:rsidRPr="000D0809">
        <w:rPr>
          <w:b/>
          <w:noProof/>
        </w:rPr>
        <w:t>2015</w:t>
      </w:r>
      <w:r w:rsidRPr="000D0809">
        <w:rPr>
          <w:noProof/>
        </w:rPr>
        <w:t xml:space="preserve">; 35(2): 148-61. </w:t>
      </w:r>
    </w:p>
    <w:p w14:paraId="7664E3CE" w14:textId="77777777" w:rsidR="004C20AC" w:rsidRPr="000D0809" w:rsidRDefault="004C20AC" w:rsidP="004C20AC">
      <w:pPr>
        <w:pStyle w:val="EndNoteBibliography"/>
        <w:ind w:left="720" w:hanging="720"/>
        <w:rPr>
          <w:noProof/>
        </w:rPr>
      </w:pPr>
      <w:r w:rsidRPr="000D0809">
        <w:rPr>
          <w:noProof/>
        </w:rPr>
        <w:t>10.</w:t>
      </w:r>
      <w:r w:rsidRPr="000D0809">
        <w:rPr>
          <w:noProof/>
        </w:rPr>
        <w:tab/>
        <w:t xml:space="preserve">Centers for Disease Control and Prevention (CDC) National Center for Health Statistics (NCHS). Reduced Access to Care Available at: </w:t>
      </w:r>
      <w:hyperlink r:id="rId16" w:history="1">
        <w:r w:rsidRPr="000D0809">
          <w:rPr>
            <w:rStyle w:val="Hyperlink"/>
            <w:noProof/>
          </w:rPr>
          <w:t>https://www.cdc.gov/nchs/covid19/rands/reduced-access-to-care.htm</w:t>
        </w:r>
      </w:hyperlink>
      <w:r w:rsidRPr="000D0809">
        <w:rPr>
          <w:noProof/>
        </w:rPr>
        <w:t>. Accessed 21 July.</w:t>
      </w:r>
    </w:p>
    <w:p w14:paraId="1784566A" w14:textId="77777777" w:rsidR="004C20AC" w:rsidRPr="000D0809" w:rsidRDefault="004C20AC" w:rsidP="004C20AC">
      <w:pPr>
        <w:pStyle w:val="EndNoteBibliography"/>
        <w:ind w:left="720" w:hanging="720"/>
        <w:rPr>
          <w:noProof/>
        </w:rPr>
      </w:pPr>
      <w:r w:rsidRPr="000D0809">
        <w:rPr>
          <w:noProof/>
        </w:rPr>
        <w:t>11.</w:t>
      </w:r>
      <w:r w:rsidRPr="000D0809">
        <w:rPr>
          <w:noProof/>
        </w:rPr>
        <w:tab/>
        <w:t xml:space="preserve">Mathieu E, Ritchie H, Rodés-Guirao L, et al. Coronavirus pandemic (COVID-19). Our world in data </w:t>
      </w:r>
      <w:r w:rsidRPr="000D0809">
        <w:rPr>
          <w:b/>
          <w:noProof/>
        </w:rPr>
        <w:t>2020</w:t>
      </w:r>
      <w:r w:rsidRPr="000D0809">
        <w:rPr>
          <w:noProof/>
        </w:rPr>
        <w:t xml:space="preserve">. </w:t>
      </w:r>
    </w:p>
    <w:p w14:paraId="4AF3EEA8" w14:textId="77777777" w:rsidR="004C20AC" w:rsidRPr="000D0809" w:rsidRDefault="004C20AC" w:rsidP="004C20AC">
      <w:pPr>
        <w:pStyle w:val="EndNoteBibliography"/>
        <w:ind w:left="720" w:hanging="720"/>
        <w:rPr>
          <w:noProof/>
        </w:rPr>
      </w:pPr>
      <w:r w:rsidRPr="000D0809">
        <w:rPr>
          <w:noProof/>
        </w:rPr>
        <w:t>12.</w:t>
      </w:r>
      <w:r w:rsidRPr="000D0809">
        <w:rPr>
          <w:noProof/>
        </w:rPr>
        <w:tab/>
        <w:t xml:space="preserve">Feehan DM, Mahmud AS. Quantifying population contact patterns in the United States during the COVID-19 pandemic. Nature Communications </w:t>
      </w:r>
      <w:r w:rsidRPr="000D0809">
        <w:rPr>
          <w:b/>
          <w:noProof/>
        </w:rPr>
        <w:t>2021</w:t>
      </w:r>
      <w:r w:rsidRPr="000D0809">
        <w:rPr>
          <w:noProof/>
        </w:rPr>
        <w:t xml:space="preserve">; 12(1): 893. </w:t>
      </w:r>
      <w:hyperlink r:id="rId17" w:history="1">
        <w:r w:rsidRPr="000D0809">
          <w:rPr>
            <w:rStyle w:val="Hyperlink"/>
            <w:noProof/>
          </w:rPr>
          <w:t>https://doi.org/10.1038/s41467-021-20990-2</w:t>
        </w:r>
      </w:hyperlink>
      <w:r w:rsidRPr="000D0809">
        <w:rPr>
          <w:noProof/>
        </w:rPr>
        <w:t>.</w:t>
      </w:r>
    </w:p>
    <w:p w14:paraId="0B178E2F" w14:textId="77777777" w:rsidR="004C20AC" w:rsidRPr="000D0809" w:rsidRDefault="004C20AC" w:rsidP="004C20AC">
      <w:pPr>
        <w:pStyle w:val="EndNoteBibliography"/>
        <w:ind w:left="720" w:hanging="720"/>
        <w:rPr>
          <w:noProof/>
        </w:rPr>
      </w:pPr>
      <w:r w:rsidRPr="000D0809">
        <w:rPr>
          <w:noProof/>
        </w:rPr>
        <w:t>13.</w:t>
      </w:r>
      <w:r w:rsidRPr="000D0809">
        <w:rPr>
          <w:noProof/>
        </w:rPr>
        <w:tab/>
        <w:t xml:space="preserve">Centers for Disease Control and Prevention. Available at: </w:t>
      </w:r>
      <w:hyperlink r:id="rId18" w:history="1">
        <w:r w:rsidRPr="000D0809">
          <w:rPr>
            <w:rStyle w:val="Hyperlink"/>
            <w:noProof/>
          </w:rPr>
          <w:t>http://wonder.cdc.gov/mcd-icd10.html</w:t>
        </w:r>
      </w:hyperlink>
      <w:r w:rsidRPr="000D0809">
        <w:rPr>
          <w:noProof/>
        </w:rPr>
        <w:t xml:space="preserve">. </w:t>
      </w:r>
    </w:p>
    <w:p w14:paraId="21B64AD0" w14:textId="77777777" w:rsidR="004C20AC" w:rsidRPr="000D0809" w:rsidRDefault="004C20AC" w:rsidP="004C20AC">
      <w:pPr>
        <w:pStyle w:val="EndNoteBibliography"/>
        <w:ind w:left="720" w:hanging="720"/>
        <w:rPr>
          <w:noProof/>
        </w:rPr>
      </w:pPr>
      <w:r w:rsidRPr="000D0809">
        <w:rPr>
          <w:noProof/>
        </w:rPr>
        <w:t>14.</w:t>
      </w:r>
      <w:r w:rsidRPr="000D0809">
        <w:rPr>
          <w:noProof/>
        </w:rPr>
        <w:tab/>
        <w:t xml:space="preserve">United States Centers for Disease Control and Prevention. Online Tuberculosis Information System (OTIS). Available at: </w:t>
      </w:r>
      <w:hyperlink r:id="rId19" w:history="1">
        <w:r w:rsidRPr="000D0809">
          <w:rPr>
            <w:rStyle w:val="Hyperlink"/>
            <w:noProof/>
          </w:rPr>
          <w:t>https://wonder.cdc.gov/TB-v2022.html</w:t>
        </w:r>
      </w:hyperlink>
      <w:r w:rsidRPr="000D0809">
        <w:rPr>
          <w:noProof/>
        </w:rPr>
        <w:t>. Accessed 23 Apr 2024.</w:t>
      </w:r>
    </w:p>
    <w:p w14:paraId="6960C7B4" w14:textId="77777777" w:rsidR="004C20AC" w:rsidRPr="000D0809" w:rsidRDefault="004C20AC" w:rsidP="004C20AC">
      <w:pPr>
        <w:pStyle w:val="EndNoteBibliography"/>
        <w:ind w:left="720" w:hanging="720"/>
        <w:rPr>
          <w:noProof/>
        </w:rPr>
      </w:pPr>
      <w:r w:rsidRPr="000D0809">
        <w:rPr>
          <w:noProof/>
        </w:rPr>
        <w:t>15.</w:t>
      </w:r>
      <w:r w:rsidRPr="000D0809">
        <w:rPr>
          <w:noProof/>
        </w:rPr>
        <w:tab/>
        <w:t xml:space="preserve">Baugh R. Annual Flow Report U.S. Lawful Permanent Residents: 2022. Department of Homeland Security </w:t>
      </w:r>
      <w:r w:rsidRPr="000D0809">
        <w:rPr>
          <w:b/>
          <w:noProof/>
        </w:rPr>
        <w:t>2023</w:t>
      </w:r>
      <w:r w:rsidRPr="000D0809">
        <w:rPr>
          <w:noProof/>
        </w:rPr>
        <w:t xml:space="preserve">. </w:t>
      </w:r>
    </w:p>
    <w:p w14:paraId="744AD78B" w14:textId="05393D91" w:rsidR="004F2FA9" w:rsidRPr="004C20AC" w:rsidRDefault="004C20AC" w:rsidP="004C20AC">
      <w:pPr>
        <w:spacing w:line="360" w:lineRule="auto"/>
        <w:rPr>
          <w:rFonts w:ascii="Times New Roman" w:hAnsi="Times New Roman" w:cs="Times New Roman"/>
        </w:rPr>
      </w:pPr>
      <w:r>
        <w:rPr>
          <w:rFonts w:ascii="Times New Roman" w:hAnsi="Times New Roman" w:cs="Times New Roman"/>
        </w:rPr>
        <w:fldChar w:fldCharType="end"/>
      </w:r>
    </w:p>
    <w:sectPr w:rsidR="004F2FA9" w:rsidRPr="004C20AC" w:rsidSect="007D35FF">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0A0BA" w14:textId="77777777" w:rsidR="00910183" w:rsidRDefault="00910183" w:rsidP="0053101A">
      <w:r>
        <w:separator/>
      </w:r>
    </w:p>
  </w:endnote>
  <w:endnote w:type="continuationSeparator" w:id="0">
    <w:p w14:paraId="746EFB20" w14:textId="77777777" w:rsidR="00910183" w:rsidRDefault="00910183" w:rsidP="0053101A">
      <w:r>
        <w:continuationSeparator/>
      </w:r>
    </w:p>
  </w:endnote>
  <w:endnote w:type="continuationNotice" w:id="1">
    <w:p w14:paraId="35459C9B" w14:textId="77777777" w:rsidR="00910183" w:rsidRDefault="00910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06110881"/>
      <w:docPartObj>
        <w:docPartGallery w:val="Page Numbers (Bottom of Page)"/>
        <w:docPartUnique/>
      </w:docPartObj>
    </w:sdtPr>
    <w:sdtContent>
      <w:p w14:paraId="6CA80DC5" w14:textId="1189F138" w:rsidR="00BE6B5F" w:rsidRDefault="00BE6B5F" w:rsidP="00911B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D71E8">
          <w:rPr>
            <w:rStyle w:val="PageNumber"/>
            <w:noProof/>
          </w:rPr>
          <w:t>9</w:t>
        </w:r>
        <w:r>
          <w:rPr>
            <w:rStyle w:val="PageNumber"/>
          </w:rPr>
          <w:fldChar w:fldCharType="end"/>
        </w:r>
      </w:p>
    </w:sdtContent>
  </w:sdt>
  <w:p w14:paraId="01D36086" w14:textId="77777777" w:rsidR="00BE6B5F" w:rsidRDefault="00BE6B5F" w:rsidP="00BE6B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615709129"/>
      <w:docPartObj>
        <w:docPartGallery w:val="Page Numbers (Bottom of Page)"/>
        <w:docPartUnique/>
      </w:docPartObj>
    </w:sdtPr>
    <w:sdtContent>
      <w:p w14:paraId="79241213" w14:textId="27441147" w:rsidR="00BE6B5F" w:rsidRPr="00BE6B5F" w:rsidRDefault="00BE6B5F" w:rsidP="00911B9D">
        <w:pPr>
          <w:pStyle w:val="Footer"/>
          <w:framePr w:wrap="none" w:vAnchor="text" w:hAnchor="margin" w:xAlign="right" w:y="1"/>
          <w:rPr>
            <w:rStyle w:val="PageNumber"/>
            <w:rFonts w:ascii="Times New Roman" w:hAnsi="Times New Roman" w:cs="Times New Roman"/>
          </w:rPr>
        </w:pPr>
        <w:r w:rsidRPr="00BE6B5F">
          <w:rPr>
            <w:rStyle w:val="PageNumber"/>
            <w:rFonts w:ascii="Times New Roman" w:hAnsi="Times New Roman" w:cs="Times New Roman"/>
          </w:rPr>
          <w:fldChar w:fldCharType="begin"/>
        </w:r>
        <w:r w:rsidRPr="00BE6B5F">
          <w:rPr>
            <w:rStyle w:val="PageNumber"/>
            <w:rFonts w:ascii="Times New Roman" w:hAnsi="Times New Roman" w:cs="Times New Roman"/>
          </w:rPr>
          <w:instrText xml:space="preserve"> PAGE </w:instrText>
        </w:r>
        <w:r w:rsidRPr="00BE6B5F">
          <w:rPr>
            <w:rStyle w:val="PageNumber"/>
            <w:rFonts w:ascii="Times New Roman" w:hAnsi="Times New Roman" w:cs="Times New Roman"/>
          </w:rPr>
          <w:fldChar w:fldCharType="separate"/>
        </w:r>
        <w:r w:rsidRPr="00BE6B5F">
          <w:rPr>
            <w:rStyle w:val="PageNumber"/>
            <w:rFonts w:ascii="Times New Roman" w:hAnsi="Times New Roman" w:cs="Times New Roman"/>
            <w:noProof/>
          </w:rPr>
          <w:t>10</w:t>
        </w:r>
        <w:r w:rsidRPr="00BE6B5F">
          <w:rPr>
            <w:rStyle w:val="PageNumber"/>
            <w:rFonts w:ascii="Times New Roman" w:hAnsi="Times New Roman" w:cs="Times New Roman"/>
          </w:rPr>
          <w:fldChar w:fldCharType="end"/>
        </w:r>
      </w:p>
    </w:sdtContent>
  </w:sdt>
  <w:p w14:paraId="72E61CA8" w14:textId="77777777" w:rsidR="00BE6B5F" w:rsidRDefault="00BE6B5F" w:rsidP="00BE6B5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877A5" w14:textId="77777777" w:rsidR="00910183" w:rsidRDefault="00910183" w:rsidP="0053101A">
      <w:r>
        <w:separator/>
      </w:r>
    </w:p>
  </w:footnote>
  <w:footnote w:type="continuationSeparator" w:id="0">
    <w:p w14:paraId="3793655D" w14:textId="77777777" w:rsidR="00910183" w:rsidRDefault="00910183" w:rsidP="0053101A">
      <w:r>
        <w:continuationSeparator/>
      </w:r>
    </w:p>
  </w:footnote>
  <w:footnote w:type="continuationNotice" w:id="1">
    <w:p w14:paraId="3D011DCC" w14:textId="77777777" w:rsidR="00910183" w:rsidRDefault="009101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5BB49E5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B515C37"/>
    <w:multiLevelType w:val="hybridMultilevel"/>
    <w:tmpl w:val="EBE67718"/>
    <w:lvl w:ilvl="0" w:tplc="CE34492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07021F"/>
    <w:multiLevelType w:val="hybridMultilevel"/>
    <w:tmpl w:val="359865BE"/>
    <w:lvl w:ilvl="0" w:tplc="B8D449E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210F0"/>
    <w:multiLevelType w:val="hybridMultilevel"/>
    <w:tmpl w:val="C6AE861C"/>
    <w:lvl w:ilvl="0" w:tplc="7AE6249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76D593C"/>
    <w:multiLevelType w:val="hybridMultilevel"/>
    <w:tmpl w:val="FF0AE920"/>
    <w:lvl w:ilvl="0" w:tplc="12C2030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9B31DD"/>
    <w:multiLevelType w:val="hybridMultilevel"/>
    <w:tmpl w:val="B9A09CE4"/>
    <w:lvl w:ilvl="0" w:tplc="39E432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EF408C"/>
    <w:multiLevelType w:val="hybridMultilevel"/>
    <w:tmpl w:val="72D83D6E"/>
    <w:lvl w:ilvl="0" w:tplc="A2A66AF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80513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6568436">
    <w:abstractNumId w:val="4"/>
  </w:num>
  <w:num w:numId="3" w16cid:durableId="429471219">
    <w:abstractNumId w:val="2"/>
  </w:num>
  <w:num w:numId="4" w16cid:durableId="1194926279">
    <w:abstractNumId w:val="5"/>
  </w:num>
  <w:num w:numId="5" w16cid:durableId="1765683238">
    <w:abstractNumId w:val="1"/>
  </w:num>
  <w:num w:numId="6" w16cid:durableId="178399756">
    <w:abstractNumId w:val="6"/>
  </w:num>
  <w:num w:numId="7" w16cid:durableId="906455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lin Infectious Diseas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item db-id=&quot;v0saxw5dcdwazbeftrjx2tdhx0fxwz05xwt2&quot;&gt;COVIDTB&lt;record-ids&gt;&lt;item&gt;1&lt;/item&gt;&lt;item&gt;10&lt;/item&gt;&lt;item&gt;12&lt;/item&gt;&lt;item&gt;22&lt;/item&gt;&lt;item&gt;23&lt;/item&gt;&lt;item&gt;24&lt;/item&gt;&lt;item&gt;25&lt;/item&gt;&lt;item&gt;53&lt;/item&gt;&lt;item&gt;59&lt;/item&gt;&lt;item&gt;60&lt;/item&gt;&lt;item&gt;61&lt;/item&gt;&lt;item&gt;62&lt;/item&gt;&lt;item&gt;63&lt;/item&gt;&lt;item&gt;66&lt;/item&gt;&lt;/record-ids&gt;&lt;/item&gt;&lt;/Libraries&gt;"/>
  </w:docVars>
  <w:rsids>
    <w:rsidRoot w:val="00B07057"/>
    <w:rsid w:val="0000016B"/>
    <w:rsid w:val="00000E5E"/>
    <w:rsid w:val="00001567"/>
    <w:rsid w:val="00002EC6"/>
    <w:rsid w:val="00005529"/>
    <w:rsid w:val="00006547"/>
    <w:rsid w:val="00007216"/>
    <w:rsid w:val="000114BE"/>
    <w:rsid w:val="00011B30"/>
    <w:rsid w:val="00011E15"/>
    <w:rsid w:val="000120D1"/>
    <w:rsid w:val="0001246A"/>
    <w:rsid w:val="00015014"/>
    <w:rsid w:val="000157B7"/>
    <w:rsid w:val="00015C93"/>
    <w:rsid w:val="000164D0"/>
    <w:rsid w:val="000173CC"/>
    <w:rsid w:val="0001762D"/>
    <w:rsid w:val="0002178E"/>
    <w:rsid w:val="000234EC"/>
    <w:rsid w:val="000249EA"/>
    <w:rsid w:val="000255BF"/>
    <w:rsid w:val="000258BF"/>
    <w:rsid w:val="00025C9B"/>
    <w:rsid w:val="0002694C"/>
    <w:rsid w:val="000301A4"/>
    <w:rsid w:val="0003085D"/>
    <w:rsid w:val="00030CDF"/>
    <w:rsid w:val="00031A8A"/>
    <w:rsid w:val="00032AD3"/>
    <w:rsid w:val="0003457B"/>
    <w:rsid w:val="0003488D"/>
    <w:rsid w:val="00035100"/>
    <w:rsid w:val="000355D7"/>
    <w:rsid w:val="00035698"/>
    <w:rsid w:val="00036A75"/>
    <w:rsid w:val="00037CF1"/>
    <w:rsid w:val="00040660"/>
    <w:rsid w:val="000415D8"/>
    <w:rsid w:val="00041AD5"/>
    <w:rsid w:val="00041BC2"/>
    <w:rsid w:val="000435D5"/>
    <w:rsid w:val="000527A4"/>
    <w:rsid w:val="00052DBA"/>
    <w:rsid w:val="00052FD4"/>
    <w:rsid w:val="000532F3"/>
    <w:rsid w:val="000536ED"/>
    <w:rsid w:val="000542B1"/>
    <w:rsid w:val="00055F4A"/>
    <w:rsid w:val="00056651"/>
    <w:rsid w:val="00056949"/>
    <w:rsid w:val="00056990"/>
    <w:rsid w:val="00056AAB"/>
    <w:rsid w:val="0006048C"/>
    <w:rsid w:val="00061769"/>
    <w:rsid w:val="000622C1"/>
    <w:rsid w:val="00065195"/>
    <w:rsid w:val="000664F2"/>
    <w:rsid w:val="00067576"/>
    <w:rsid w:val="000675E8"/>
    <w:rsid w:val="000705F4"/>
    <w:rsid w:val="000706E8"/>
    <w:rsid w:val="00070B66"/>
    <w:rsid w:val="00071093"/>
    <w:rsid w:val="00072747"/>
    <w:rsid w:val="0007283F"/>
    <w:rsid w:val="00073AE8"/>
    <w:rsid w:val="000742E4"/>
    <w:rsid w:val="0007473A"/>
    <w:rsid w:val="000755F7"/>
    <w:rsid w:val="000759AD"/>
    <w:rsid w:val="00075F8E"/>
    <w:rsid w:val="000768F3"/>
    <w:rsid w:val="00080B10"/>
    <w:rsid w:val="000816DC"/>
    <w:rsid w:val="00082420"/>
    <w:rsid w:val="00082582"/>
    <w:rsid w:val="00084769"/>
    <w:rsid w:val="00085A85"/>
    <w:rsid w:val="00086B13"/>
    <w:rsid w:val="0008762D"/>
    <w:rsid w:val="00087975"/>
    <w:rsid w:val="00087EBC"/>
    <w:rsid w:val="000904E4"/>
    <w:rsid w:val="00090B25"/>
    <w:rsid w:val="0009117F"/>
    <w:rsid w:val="000911F3"/>
    <w:rsid w:val="00091B64"/>
    <w:rsid w:val="00092321"/>
    <w:rsid w:val="000924D0"/>
    <w:rsid w:val="00093486"/>
    <w:rsid w:val="00093E6C"/>
    <w:rsid w:val="0009636A"/>
    <w:rsid w:val="000969F4"/>
    <w:rsid w:val="000978B7"/>
    <w:rsid w:val="000A006C"/>
    <w:rsid w:val="000A0DE5"/>
    <w:rsid w:val="000A2251"/>
    <w:rsid w:val="000A2A64"/>
    <w:rsid w:val="000A2E6C"/>
    <w:rsid w:val="000A442D"/>
    <w:rsid w:val="000A4439"/>
    <w:rsid w:val="000A4FCD"/>
    <w:rsid w:val="000A61E1"/>
    <w:rsid w:val="000A7E26"/>
    <w:rsid w:val="000B1ADD"/>
    <w:rsid w:val="000B2975"/>
    <w:rsid w:val="000B369D"/>
    <w:rsid w:val="000B42F3"/>
    <w:rsid w:val="000B52CC"/>
    <w:rsid w:val="000B7059"/>
    <w:rsid w:val="000C1864"/>
    <w:rsid w:val="000C2347"/>
    <w:rsid w:val="000C2B13"/>
    <w:rsid w:val="000C2BD7"/>
    <w:rsid w:val="000C4960"/>
    <w:rsid w:val="000C499B"/>
    <w:rsid w:val="000C4E40"/>
    <w:rsid w:val="000C5158"/>
    <w:rsid w:val="000C578A"/>
    <w:rsid w:val="000C6F56"/>
    <w:rsid w:val="000C7ABB"/>
    <w:rsid w:val="000C7F62"/>
    <w:rsid w:val="000D1193"/>
    <w:rsid w:val="000D22DF"/>
    <w:rsid w:val="000D305C"/>
    <w:rsid w:val="000D4DDF"/>
    <w:rsid w:val="000D5225"/>
    <w:rsid w:val="000D61D4"/>
    <w:rsid w:val="000D7516"/>
    <w:rsid w:val="000E12A4"/>
    <w:rsid w:val="000E1C88"/>
    <w:rsid w:val="000E215F"/>
    <w:rsid w:val="000E2477"/>
    <w:rsid w:val="000E276B"/>
    <w:rsid w:val="000E2B34"/>
    <w:rsid w:val="000E3FE7"/>
    <w:rsid w:val="000E4F88"/>
    <w:rsid w:val="000E5990"/>
    <w:rsid w:val="000E6040"/>
    <w:rsid w:val="000F0429"/>
    <w:rsid w:val="000F164D"/>
    <w:rsid w:val="000F1B77"/>
    <w:rsid w:val="000F1DCE"/>
    <w:rsid w:val="000F2A90"/>
    <w:rsid w:val="000F319B"/>
    <w:rsid w:val="000F7859"/>
    <w:rsid w:val="00100086"/>
    <w:rsid w:val="00100109"/>
    <w:rsid w:val="00100788"/>
    <w:rsid w:val="00100B61"/>
    <w:rsid w:val="00102D28"/>
    <w:rsid w:val="0010428D"/>
    <w:rsid w:val="001046A9"/>
    <w:rsid w:val="00104C50"/>
    <w:rsid w:val="001051EE"/>
    <w:rsid w:val="001053AC"/>
    <w:rsid w:val="00106347"/>
    <w:rsid w:val="001067E3"/>
    <w:rsid w:val="0010704A"/>
    <w:rsid w:val="0010774E"/>
    <w:rsid w:val="00110C6E"/>
    <w:rsid w:val="00112390"/>
    <w:rsid w:val="00114B7A"/>
    <w:rsid w:val="00116D3E"/>
    <w:rsid w:val="00117F44"/>
    <w:rsid w:val="0012127C"/>
    <w:rsid w:val="00121C28"/>
    <w:rsid w:val="00122E59"/>
    <w:rsid w:val="00124BEF"/>
    <w:rsid w:val="00124C9F"/>
    <w:rsid w:val="00125DBA"/>
    <w:rsid w:val="0012763D"/>
    <w:rsid w:val="00127C5F"/>
    <w:rsid w:val="00127D26"/>
    <w:rsid w:val="00130583"/>
    <w:rsid w:val="001308E9"/>
    <w:rsid w:val="001311CB"/>
    <w:rsid w:val="001323D9"/>
    <w:rsid w:val="00132B05"/>
    <w:rsid w:val="00132C45"/>
    <w:rsid w:val="001330FD"/>
    <w:rsid w:val="00141416"/>
    <w:rsid w:val="001421DD"/>
    <w:rsid w:val="0014345F"/>
    <w:rsid w:val="00144C7E"/>
    <w:rsid w:val="00145282"/>
    <w:rsid w:val="00145A25"/>
    <w:rsid w:val="0014734A"/>
    <w:rsid w:val="0015112B"/>
    <w:rsid w:val="0015206C"/>
    <w:rsid w:val="001521B9"/>
    <w:rsid w:val="001521E8"/>
    <w:rsid w:val="001526EC"/>
    <w:rsid w:val="00152A8D"/>
    <w:rsid w:val="00154AA4"/>
    <w:rsid w:val="00155D58"/>
    <w:rsid w:val="00156EC4"/>
    <w:rsid w:val="0015762D"/>
    <w:rsid w:val="001612C7"/>
    <w:rsid w:val="001612ED"/>
    <w:rsid w:val="001613AD"/>
    <w:rsid w:val="00161F52"/>
    <w:rsid w:val="0016249F"/>
    <w:rsid w:val="00165BF2"/>
    <w:rsid w:val="0016687F"/>
    <w:rsid w:val="00166A17"/>
    <w:rsid w:val="00167489"/>
    <w:rsid w:val="00167B05"/>
    <w:rsid w:val="0017064E"/>
    <w:rsid w:val="00170FC7"/>
    <w:rsid w:val="00171493"/>
    <w:rsid w:val="001716A0"/>
    <w:rsid w:val="00171E9A"/>
    <w:rsid w:val="00171F91"/>
    <w:rsid w:val="001735CB"/>
    <w:rsid w:val="00174DF0"/>
    <w:rsid w:val="00175C71"/>
    <w:rsid w:val="001768D7"/>
    <w:rsid w:val="00176B75"/>
    <w:rsid w:val="00177F7D"/>
    <w:rsid w:val="0018032D"/>
    <w:rsid w:val="00180C2F"/>
    <w:rsid w:val="0018180F"/>
    <w:rsid w:val="001829D9"/>
    <w:rsid w:val="00182B73"/>
    <w:rsid w:val="00182D6F"/>
    <w:rsid w:val="001838C9"/>
    <w:rsid w:val="00183C97"/>
    <w:rsid w:val="00184917"/>
    <w:rsid w:val="00185D79"/>
    <w:rsid w:val="00185F8D"/>
    <w:rsid w:val="00187694"/>
    <w:rsid w:val="00190C54"/>
    <w:rsid w:val="00191626"/>
    <w:rsid w:val="00191A80"/>
    <w:rsid w:val="00193358"/>
    <w:rsid w:val="00194E53"/>
    <w:rsid w:val="001A1FFB"/>
    <w:rsid w:val="001A3CAA"/>
    <w:rsid w:val="001A546B"/>
    <w:rsid w:val="001A6E03"/>
    <w:rsid w:val="001A79C4"/>
    <w:rsid w:val="001B02BA"/>
    <w:rsid w:val="001B0476"/>
    <w:rsid w:val="001B208E"/>
    <w:rsid w:val="001B40D2"/>
    <w:rsid w:val="001B516E"/>
    <w:rsid w:val="001B5403"/>
    <w:rsid w:val="001B6682"/>
    <w:rsid w:val="001C3F05"/>
    <w:rsid w:val="001C5F65"/>
    <w:rsid w:val="001C68D8"/>
    <w:rsid w:val="001C6E44"/>
    <w:rsid w:val="001D0565"/>
    <w:rsid w:val="001D10E2"/>
    <w:rsid w:val="001D171D"/>
    <w:rsid w:val="001D28C6"/>
    <w:rsid w:val="001D2A80"/>
    <w:rsid w:val="001D5603"/>
    <w:rsid w:val="001D60E6"/>
    <w:rsid w:val="001D66E6"/>
    <w:rsid w:val="001D6D2D"/>
    <w:rsid w:val="001D6D3D"/>
    <w:rsid w:val="001E0368"/>
    <w:rsid w:val="001E071D"/>
    <w:rsid w:val="001E08A2"/>
    <w:rsid w:val="001E1599"/>
    <w:rsid w:val="001E30CD"/>
    <w:rsid w:val="001E34AD"/>
    <w:rsid w:val="001E3A07"/>
    <w:rsid w:val="001E3E35"/>
    <w:rsid w:val="001E3ED1"/>
    <w:rsid w:val="001E55E8"/>
    <w:rsid w:val="001F1B9B"/>
    <w:rsid w:val="001F23E2"/>
    <w:rsid w:val="001F2640"/>
    <w:rsid w:val="001F2B94"/>
    <w:rsid w:val="001F333F"/>
    <w:rsid w:val="001F40E0"/>
    <w:rsid w:val="001F4680"/>
    <w:rsid w:val="001F4726"/>
    <w:rsid w:val="001F4A75"/>
    <w:rsid w:val="001F5533"/>
    <w:rsid w:val="001F55B7"/>
    <w:rsid w:val="001F601B"/>
    <w:rsid w:val="001F66A4"/>
    <w:rsid w:val="001F70F1"/>
    <w:rsid w:val="001F7838"/>
    <w:rsid w:val="001F7DF8"/>
    <w:rsid w:val="00200ACA"/>
    <w:rsid w:val="00201947"/>
    <w:rsid w:val="002024D8"/>
    <w:rsid w:val="00202BAE"/>
    <w:rsid w:val="00202C3D"/>
    <w:rsid w:val="00203FC7"/>
    <w:rsid w:val="0020414F"/>
    <w:rsid w:val="00204CF3"/>
    <w:rsid w:val="002059D0"/>
    <w:rsid w:val="00205DC6"/>
    <w:rsid w:val="00210274"/>
    <w:rsid w:val="00210A33"/>
    <w:rsid w:val="002123BE"/>
    <w:rsid w:val="0021386A"/>
    <w:rsid w:val="00214270"/>
    <w:rsid w:val="0021437D"/>
    <w:rsid w:val="00214B47"/>
    <w:rsid w:val="00214B61"/>
    <w:rsid w:val="00214B9F"/>
    <w:rsid w:val="00214CE1"/>
    <w:rsid w:val="002153EB"/>
    <w:rsid w:val="00215FBA"/>
    <w:rsid w:val="00215FC2"/>
    <w:rsid w:val="00216FDC"/>
    <w:rsid w:val="00217D42"/>
    <w:rsid w:val="00220025"/>
    <w:rsid w:val="002207C6"/>
    <w:rsid w:val="002217AF"/>
    <w:rsid w:val="00222318"/>
    <w:rsid w:val="00223CF1"/>
    <w:rsid w:val="00224393"/>
    <w:rsid w:val="00225279"/>
    <w:rsid w:val="00225A10"/>
    <w:rsid w:val="00225E66"/>
    <w:rsid w:val="00231074"/>
    <w:rsid w:val="00231574"/>
    <w:rsid w:val="00234442"/>
    <w:rsid w:val="002344DD"/>
    <w:rsid w:val="00234DC5"/>
    <w:rsid w:val="00234EDA"/>
    <w:rsid w:val="00236B91"/>
    <w:rsid w:val="00236D41"/>
    <w:rsid w:val="00236F49"/>
    <w:rsid w:val="00237298"/>
    <w:rsid w:val="00237A13"/>
    <w:rsid w:val="00240C14"/>
    <w:rsid w:val="002411FD"/>
    <w:rsid w:val="00242053"/>
    <w:rsid w:val="00242302"/>
    <w:rsid w:val="002426F4"/>
    <w:rsid w:val="0024371B"/>
    <w:rsid w:val="00244041"/>
    <w:rsid w:val="0024470E"/>
    <w:rsid w:val="00244D6A"/>
    <w:rsid w:val="0024774B"/>
    <w:rsid w:val="00251295"/>
    <w:rsid w:val="00251559"/>
    <w:rsid w:val="00252328"/>
    <w:rsid w:val="00253A2E"/>
    <w:rsid w:val="00254012"/>
    <w:rsid w:val="00254773"/>
    <w:rsid w:val="00255A17"/>
    <w:rsid w:val="00255ED1"/>
    <w:rsid w:val="00255F93"/>
    <w:rsid w:val="0025613F"/>
    <w:rsid w:val="0025636C"/>
    <w:rsid w:val="00256C64"/>
    <w:rsid w:val="00260541"/>
    <w:rsid w:val="00260EF4"/>
    <w:rsid w:val="00261742"/>
    <w:rsid w:val="002638AD"/>
    <w:rsid w:val="00263F59"/>
    <w:rsid w:val="0026443F"/>
    <w:rsid w:val="0026726F"/>
    <w:rsid w:val="00270567"/>
    <w:rsid w:val="00271E63"/>
    <w:rsid w:val="00272E38"/>
    <w:rsid w:val="00274276"/>
    <w:rsid w:val="00274C54"/>
    <w:rsid w:val="00274DE9"/>
    <w:rsid w:val="00274F60"/>
    <w:rsid w:val="002779E3"/>
    <w:rsid w:val="00280201"/>
    <w:rsid w:val="00281F3B"/>
    <w:rsid w:val="00282824"/>
    <w:rsid w:val="00282C9B"/>
    <w:rsid w:val="0028319D"/>
    <w:rsid w:val="0028380A"/>
    <w:rsid w:val="002853AE"/>
    <w:rsid w:val="0028615F"/>
    <w:rsid w:val="002919B2"/>
    <w:rsid w:val="002923F9"/>
    <w:rsid w:val="00292F0A"/>
    <w:rsid w:val="00292FBA"/>
    <w:rsid w:val="00293351"/>
    <w:rsid w:val="00294A01"/>
    <w:rsid w:val="00294B0B"/>
    <w:rsid w:val="00295D71"/>
    <w:rsid w:val="00297B56"/>
    <w:rsid w:val="002A02DA"/>
    <w:rsid w:val="002A06ED"/>
    <w:rsid w:val="002A17FF"/>
    <w:rsid w:val="002A3275"/>
    <w:rsid w:val="002A339F"/>
    <w:rsid w:val="002A3B3E"/>
    <w:rsid w:val="002A5039"/>
    <w:rsid w:val="002A53C6"/>
    <w:rsid w:val="002A689A"/>
    <w:rsid w:val="002A7569"/>
    <w:rsid w:val="002B2150"/>
    <w:rsid w:val="002B30B8"/>
    <w:rsid w:val="002B32F8"/>
    <w:rsid w:val="002B34F2"/>
    <w:rsid w:val="002B4C29"/>
    <w:rsid w:val="002B5B03"/>
    <w:rsid w:val="002B67D3"/>
    <w:rsid w:val="002B687E"/>
    <w:rsid w:val="002C2339"/>
    <w:rsid w:val="002C2B10"/>
    <w:rsid w:val="002C2CC7"/>
    <w:rsid w:val="002C2EA2"/>
    <w:rsid w:val="002C3003"/>
    <w:rsid w:val="002C4820"/>
    <w:rsid w:val="002C6916"/>
    <w:rsid w:val="002C6BA5"/>
    <w:rsid w:val="002D0F39"/>
    <w:rsid w:val="002D1589"/>
    <w:rsid w:val="002D1707"/>
    <w:rsid w:val="002D20A9"/>
    <w:rsid w:val="002D2880"/>
    <w:rsid w:val="002D2FB1"/>
    <w:rsid w:val="002D417E"/>
    <w:rsid w:val="002D423F"/>
    <w:rsid w:val="002D43CE"/>
    <w:rsid w:val="002D568A"/>
    <w:rsid w:val="002D5FE4"/>
    <w:rsid w:val="002D665C"/>
    <w:rsid w:val="002D6CAB"/>
    <w:rsid w:val="002E100A"/>
    <w:rsid w:val="002E1B07"/>
    <w:rsid w:val="002E325B"/>
    <w:rsid w:val="002E32E6"/>
    <w:rsid w:val="002E3F86"/>
    <w:rsid w:val="002E5438"/>
    <w:rsid w:val="002E76A9"/>
    <w:rsid w:val="002F0209"/>
    <w:rsid w:val="002F11BE"/>
    <w:rsid w:val="002F1D6A"/>
    <w:rsid w:val="002F32CC"/>
    <w:rsid w:val="002F3446"/>
    <w:rsid w:val="002F3DD1"/>
    <w:rsid w:val="002F3EC7"/>
    <w:rsid w:val="002F4628"/>
    <w:rsid w:val="002F6B12"/>
    <w:rsid w:val="002F7106"/>
    <w:rsid w:val="002F78EC"/>
    <w:rsid w:val="00300516"/>
    <w:rsid w:val="00301743"/>
    <w:rsid w:val="00302E1B"/>
    <w:rsid w:val="00302F2A"/>
    <w:rsid w:val="00303748"/>
    <w:rsid w:val="003038D1"/>
    <w:rsid w:val="0030394D"/>
    <w:rsid w:val="00305FD3"/>
    <w:rsid w:val="00306697"/>
    <w:rsid w:val="00306A49"/>
    <w:rsid w:val="00307331"/>
    <w:rsid w:val="00312542"/>
    <w:rsid w:val="00313163"/>
    <w:rsid w:val="003158D4"/>
    <w:rsid w:val="00316837"/>
    <w:rsid w:val="00316863"/>
    <w:rsid w:val="003172F3"/>
    <w:rsid w:val="0032095E"/>
    <w:rsid w:val="00320DE3"/>
    <w:rsid w:val="0032391F"/>
    <w:rsid w:val="00324235"/>
    <w:rsid w:val="003243D6"/>
    <w:rsid w:val="00324C50"/>
    <w:rsid w:val="0032651D"/>
    <w:rsid w:val="00327085"/>
    <w:rsid w:val="00327AE4"/>
    <w:rsid w:val="00327CB6"/>
    <w:rsid w:val="00331CB6"/>
    <w:rsid w:val="00335413"/>
    <w:rsid w:val="00335C98"/>
    <w:rsid w:val="00340CE6"/>
    <w:rsid w:val="0034100C"/>
    <w:rsid w:val="00343D33"/>
    <w:rsid w:val="00347CCE"/>
    <w:rsid w:val="0035105A"/>
    <w:rsid w:val="00351813"/>
    <w:rsid w:val="00353AFF"/>
    <w:rsid w:val="003543F4"/>
    <w:rsid w:val="003544B7"/>
    <w:rsid w:val="00355314"/>
    <w:rsid w:val="00356AC6"/>
    <w:rsid w:val="00357EFD"/>
    <w:rsid w:val="003612D6"/>
    <w:rsid w:val="00361C78"/>
    <w:rsid w:val="00361CCB"/>
    <w:rsid w:val="00361E5A"/>
    <w:rsid w:val="0036251D"/>
    <w:rsid w:val="00366D70"/>
    <w:rsid w:val="0036747B"/>
    <w:rsid w:val="00371423"/>
    <w:rsid w:val="003720A7"/>
    <w:rsid w:val="00372AAB"/>
    <w:rsid w:val="0037396B"/>
    <w:rsid w:val="00374760"/>
    <w:rsid w:val="00381387"/>
    <w:rsid w:val="003817D6"/>
    <w:rsid w:val="003837E2"/>
    <w:rsid w:val="00383D65"/>
    <w:rsid w:val="0038503D"/>
    <w:rsid w:val="003911A9"/>
    <w:rsid w:val="00392248"/>
    <w:rsid w:val="0039227F"/>
    <w:rsid w:val="003951D6"/>
    <w:rsid w:val="00395DC3"/>
    <w:rsid w:val="003964D4"/>
    <w:rsid w:val="00397ED2"/>
    <w:rsid w:val="00397FD5"/>
    <w:rsid w:val="003A030E"/>
    <w:rsid w:val="003A0AA3"/>
    <w:rsid w:val="003A16CC"/>
    <w:rsid w:val="003A1CC6"/>
    <w:rsid w:val="003A28DA"/>
    <w:rsid w:val="003A5714"/>
    <w:rsid w:val="003A628D"/>
    <w:rsid w:val="003B0D33"/>
    <w:rsid w:val="003B378F"/>
    <w:rsid w:val="003B3CD5"/>
    <w:rsid w:val="003B40D9"/>
    <w:rsid w:val="003B4122"/>
    <w:rsid w:val="003B4E2A"/>
    <w:rsid w:val="003B4E4B"/>
    <w:rsid w:val="003B5562"/>
    <w:rsid w:val="003B674B"/>
    <w:rsid w:val="003B6F0E"/>
    <w:rsid w:val="003B714F"/>
    <w:rsid w:val="003B76F0"/>
    <w:rsid w:val="003B7BE5"/>
    <w:rsid w:val="003C0429"/>
    <w:rsid w:val="003C0EFC"/>
    <w:rsid w:val="003C197C"/>
    <w:rsid w:val="003C1B88"/>
    <w:rsid w:val="003C393D"/>
    <w:rsid w:val="003C514C"/>
    <w:rsid w:val="003C6507"/>
    <w:rsid w:val="003C6878"/>
    <w:rsid w:val="003C68B7"/>
    <w:rsid w:val="003C75F8"/>
    <w:rsid w:val="003C7688"/>
    <w:rsid w:val="003D0706"/>
    <w:rsid w:val="003D2519"/>
    <w:rsid w:val="003D3847"/>
    <w:rsid w:val="003D3C04"/>
    <w:rsid w:val="003D555C"/>
    <w:rsid w:val="003D5BA7"/>
    <w:rsid w:val="003D6F1B"/>
    <w:rsid w:val="003D7821"/>
    <w:rsid w:val="003E21BC"/>
    <w:rsid w:val="003E22C5"/>
    <w:rsid w:val="003E2BED"/>
    <w:rsid w:val="003E3043"/>
    <w:rsid w:val="003E3203"/>
    <w:rsid w:val="003E4309"/>
    <w:rsid w:val="003E4AC5"/>
    <w:rsid w:val="003E6167"/>
    <w:rsid w:val="003E6475"/>
    <w:rsid w:val="003E6613"/>
    <w:rsid w:val="003F1C90"/>
    <w:rsid w:val="003F2B0B"/>
    <w:rsid w:val="003F2DB1"/>
    <w:rsid w:val="003F397C"/>
    <w:rsid w:val="003F3B1F"/>
    <w:rsid w:val="003F5B36"/>
    <w:rsid w:val="003F6862"/>
    <w:rsid w:val="003F724C"/>
    <w:rsid w:val="003F769F"/>
    <w:rsid w:val="0040023E"/>
    <w:rsid w:val="004011CD"/>
    <w:rsid w:val="00401223"/>
    <w:rsid w:val="004014DC"/>
    <w:rsid w:val="00401FD4"/>
    <w:rsid w:val="00402525"/>
    <w:rsid w:val="0040268F"/>
    <w:rsid w:val="00402DAB"/>
    <w:rsid w:val="00403A9D"/>
    <w:rsid w:val="00404517"/>
    <w:rsid w:val="00404F7A"/>
    <w:rsid w:val="00405ACF"/>
    <w:rsid w:val="00406091"/>
    <w:rsid w:val="00410C52"/>
    <w:rsid w:val="004120A6"/>
    <w:rsid w:val="00412857"/>
    <w:rsid w:val="004128D4"/>
    <w:rsid w:val="00413A78"/>
    <w:rsid w:val="004157D0"/>
    <w:rsid w:val="0042004B"/>
    <w:rsid w:val="00420C25"/>
    <w:rsid w:val="00420DF3"/>
    <w:rsid w:val="004228A5"/>
    <w:rsid w:val="00422D96"/>
    <w:rsid w:val="00424713"/>
    <w:rsid w:val="00424FDE"/>
    <w:rsid w:val="004252F7"/>
    <w:rsid w:val="00425B8F"/>
    <w:rsid w:val="00425E83"/>
    <w:rsid w:val="004265AA"/>
    <w:rsid w:val="004271CD"/>
    <w:rsid w:val="00427EB5"/>
    <w:rsid w:val="00430E50"/>
    <w:rsid w:val="004328B4"/>
    <w:rsid w:val="0043298C"/>
    <w:rsid w:val="00432E36"/>
    <w:rsid w:val="004336B9"/>
    <w:rsid w:val="00433A5A"/>
    <w:rsid w:val="00433B46"/>
    <w:rsid w:val="00433C2A"/>
    <w:rsid w:val="00436017"/>
    <w:rsid w:val="00436183"/>
    <w:rsid w:val="00436354"/>
    <w:rsid w:val="004367DE"/>
    <w:rsid w:val="00441A94"/>
    <w:rsid w:val="00442CE5"/>
    <w:rsid w:val="00442E42"/>
    <w:rsid w:val="00442F53"/>
    <w:rsid w:val="00443ABE"/>
    <w:rsid w:val="004453B7"/>
    <w:rsid w:val="004455F7"/>
    <w:rsid w:val="00445D08"/>
    <w:rsid w:val="00447A9D"/>
    <w:rsid w:val="00450EF1"/>
    <w:rsid w:val="00451C22"/>
    <w:rsid w:val="0045205A"/>
    <w:rsid w:val="0045351F"/>
    <w:rsid w:val="0045427B"/>
    <w:rsid w:val="0045457B"/>
    <w:rsid w:val="00455A6A"/>
    <w:rsid w:val="00456DE4"/>
    <w:rsid w:val="00460425"/>
    <w:rsid w:val="00460EDE"/>
    <w:rsid w:val="00463420"/>
    <w:rsid w:val="004650DC"/>
    <w:rsid w:val="00465F51"/>
    <w:rsid w:val="00466083"/>
    <w:rsid w:val="004715E5"/>
    <w:rsid w:val="004721D4"/>
    <w:rsid w:val="004728E9"/>
    <w:rsid w:val="00473551"/>
    <w:rsid w:val="00473F6D"/>
    <w:rsid w:val="00476CBC"/>
    <w:rsid w:val="004778E3"/>
    <w:rsid w:val="00477D6C"/>
    <w:rsid w:val="00480406"/>
    <w:rsid w:val="00481F98"/>
    <w:rsid w:val="00482B0B"/>
    <w:rsid w:val="00483501"/>
    <w:rsid w:val="004848CC"/>
    <w:rsid w:val="0048513C"/>
    <w:rsid w:val="00485676"/>
    <w:rsid w:val="00487969"/>
    <w:rsid w:val="0049014E"/>
    <w:rsid w:val="004901FF"/>
    <w:rsid w:val="00490CD4"/>
    <w:rsid w:val="0049161C"/>
    <w:rsid w:val="0049296C"/>
    <w:rsid w:val="004941A0"/>
    <w:rsid w:val="004957F9"/>
    <w:rsid w:val="00495B20"/>
    <w:rsid w:val="00496DA7"/>
    <w:rsid w:val="004971C9"/>
    <w:rsid w:val="00497E98"/>
    <w:rsid w:val="004A13FD"/>
    <w:rsid w:val="004A2341"/>
    <w:rsid w:val="004A3425"/>
    <w:rsid w:val="004A3675"/>
    <w:rsid w:val="004A4CE0"/>
    <w:rsid w:val="004A511F"/>
    <w:rsid w:val="004A5143"/>
    <w:rsid w:val="004A54F4"/>
    <w:rsid w:val="004A5B45"/>
    <w:rsid w:val="004A7EA4"/>
    <w:rsid w:val="004B0F80"/>
    <w:rsid w:val="004B109C"/>
    <w:rsid w:val="004B11B4"/>
    <w:rsid w:val="004B11F1"/>
    <w:rsid w:val="004B4277"/>
    <w:rsid w:val="004B6E09"/>
    <w:rsid w:val="004B6E8D"/>
    <w:rsid w:val="004B6FDB"/>
    <w:rsid w:val="004B73F8"/>
    <w:rsid w:val="004C014F"/>
    <w:rsid w:val="004C20AC"/>
    <w:rsid w:val="004C36EC"/>
    <w:rsid w:val="004C3B46"/>
    <w:rsid w:val="004C5269"/>
    <w:rsid w:val="004C5381"/>
    <w:rsid w:val="004C6F86"/>
    <w:rsid w:val="004C71C6"/>
    <w:rsid w:val="004C7998"/>
    <w:rsid w:val="004C7B7D"/>
    <w:rsid w:val="004D0C34"/>
    <w:rsid w:val="004D2748"/>
    <w:rsid w:val="004D41A7"/>
    <w:rsid w:val="004D4880"/>
    <w:rsid w:val="004D576E"/>
    <w:rsid w:val="004E1162"/>
    <w:rsid w:val="004E3EAB"/>
    <w:rsid w:val="004E48ED"/>
    <w:rsid w:val="004E4F72"/>
    <w:rsid w:val="004E5738"/>
    <w:rsid w:val="004E5FD2"/>
    <w:rsid w:val="004E6170"/>
    <w:rsid w:val="004E6354"/>
    <w:rsid w:val="004E697B"/>
    <w:rsid w:val="004E778C"/>
    <w:rsid w:val="004F00AE"/>
    <w:rsid w:val="004F18C8"/>
    <w:rsid w:val="004F1B2B"/>
    <w:rsid w:val="004F2FA9"/>
    <w:rsid w:val="004F352E"/>
    <w:rsid w:val="004F3A10"/>
    <w:rsid w:val="004F4750"/>
    <w:rsid w:val="004F6CBF"/>
    <w:rsid w:val="005004F3"/>
    <w:rsid w:val="00500801"/>
    <w:rsid w:val="0050141A"/>
    <w:rsid w:val="00501FAB"/>
    <w:rsid w:val="00502DD1"/>
    <w:rsid w:val="0050310A"/>
    <w:rsid w:val="00504F5B"/>
    <w:rsid w:val="005053EF"/>
    <w:rsid w:val="005067B7"/>
    <w:rsid w:val="00507BF2"/>
    <w:rsid w:val="00507C99"/>
    <w:rsid w:val="00510EAA"/>
    <w:rsid w:val="005111D6"/>
    <w:rsid w:val="00511E21"/>
    <w:rsid w:val="0051249E"/>
    <w:rsid w:val="00512FE9"/>
    <w:rsid w:val="005157E3"/>
    <w:rsid w:val="00516140"/>
    <w:rsid w:val="0051692E"/>
    <w:rsid w:val="00517A49"/>
    <w:rsid w:val="005204C7"/>
    <w:rsid w:val="00521D51"/>
    <w:rsid w:val="0052330B"/>
    <w:rsid w:val="0052621C"/>
    <w:rsid w:val="0052678B"/>
    <w:rsid w:val="005268FA"/>
    <w:rsid w:val="00527D62"/>
    <w:rsid w:val="0053101A"/>
    <w:rsid w:val="0053133A"/>
    <w:rsid w:val="005317F4"/>
    <w:rsid w:val="00531F96"/>
    <w:rsid w:val="00532402"/>
    <w:rsid w:val="0053451E"/>
    <w:rsid w:val="00535CD7"/>
    <w:rsid w:val="0053694D"/>
    <w:rsid w:val="0053717F"/>
    <w:rsid w:val="00540FFC"/>
    <w:rsid w:val="0054239C"/>
    <w:rsid w:val="00542C34"/>
    <w:rsid w:val="005433BD"/>
    <w:rsid w:val="005435BA"/>
    <w:rsid w:val="00544F25"/>
    <w:rsid w:val="00545C25"/>
    <w:rsid w:val="00546EE3"/>
    <w:rsid w:val="00547918"/>
    <w:rsid w:val="00547D7C"/>
    <w:rsid w:val="00552CC8"/>
    <w:rsid w:val="00553A3E"/>
    <w:rsid w:val="005573C7"/>
    <w:rsid w:val="00557E28"/>
    <w:rsid w:val="00560F24"/>
    <w:rsid w:val="005653B4"/>
    <w:rsid w:val="005656F2"/>
    <w:rsid w:val="00565C64"/>
    <w:rsid w:val="00566546"/>
    <w:rsid w:val="0056710E"/>
    <w:rsid w:val="00567FAB"/>
    <w:rsid w:val="0057050A"/>
    <w:rsid w:val="00571EE2"/>
    <w:rsid w:val="005726FD"/>
    <w:rsid w:val="00573083"/>
    <w:rsid w:val="00573DEC"/>
    <w:rsid w:val="005755FD"/>
    <w:rsid w:val="00575933"/>
    <w:rsid w:val="00575ADB"/>
    <w:rsid w:val="005765B8"/>
    <w:rsid w:val="0057668F"/>
    <w:rsid w:val="00576DB6"/>
    <w:rsid w:val="0057797A"/>
    <w:rsid w:val="00577BDA"/>
    <w:rsid w:val="005800B0"/>
    <w:rsid w:val="005805E5"/>
    <w:rsid w:val="005811EF"/>
    <w:rsid w:val="00581C4E"/>
    <w:rsid w:val="005834F0"/>
    <w:rsid w:val="00583614"/>
    <w:rsid w:val="00585094"/>
    <w:rsid w:val="00585D19"/>
    <w:rsid w:val="00593AB2"/>
    <w:rsid w:val="0059457B"/>
    <w:rsid w:val="005A015C"/>
    <w:rsid w:val="005A0E48"/>
    <w:rsid w:val="005A3674"/>
    <w:rsid w:val="005A486F"/>
    <w:rsid w:val="005A5AF6"/>
    <w:rsid w:val="005A7126"/>
    <w:rsid w:val="005A7C48"/>
    <w:rsid w:val="005B0808"/>
    <w:rsid w:val="005B2BD8"/>
    <w:rsid w:val="005B331D"/>
    <w:rsid w:val="005B34A0"/>
    <w:rsid w:val="005B3B83"/>
    <w:rsid w:val="005B419E"/>
    <w:rsid w:val="005B4469"/>
    <w:rsid w:val="005B4CA0"/>
    <w:rsid w:val="005B63C6"/>
    <w:rsid w:val="005B6A75"/>
    <w:rsid w:val="005B78C8"/>
    <w:rsid w:val="005C090A"/>
    <w:rsid w:val="005C0FBC"/>
    <w:rsid w:val="005C241E"/>
    <w:rsid w:val="005C4736"/>
    <w:rsid w:val="005C4AB6"/>
    <w:rsid w:val="005C4BA6"/>
    <w:rsid w:val="005C53BE"/>
    <w:rsid w:val="005C63DF"/>
    <w:rsid w:val="005C6769"/>
    <w:rsid w:val="005D0347"/>
    <w:rsid w:val="005D2EB7"/>
    <w:rsid w:val="005D30FF"/>
    <w:rsid w:val="005D3D7D"/>
    <w:rsid w:val="005D3EC0"/>
    <w:rsid w:val="005D4268"/>
    <w:rsid w:val="005D48B3"/>
    <w:rsid w:val="005D4B99"/>
    <w:rsid w:val="005D557A"/>
    <w:rsid w:val="005D55B6"/>
    <w:rsid w:val="005D6AE8"/>
    <w:rsid w:val="005D77E7"/>
    <w:rsid w:val="005E01F6"/>
    <w:rsid w:val="005E0C7C"/>
    <w:rsid w:val="005E0F7A"/>
    <w:rsid w:val="005E113D"/>
    <w:rsid w:val="005E261F"/>
    <w:rsid w:val="005E2632"/>
    <w:rsid w:val="005E3BF9"/>
    <w:rsid w:val="005E5E2D"/>
    <w:rsid w:val="005E6947"/>
    <w:rsid w:val="005E6992"/>
    <w:rsid w:val="005E6A88"/>
    <w:rsid w:val="005E724C"/>
    <w:rsid w:val="005F06D8"/>
    <w:rsid w:val="005F11E3"/>
    <w:rsid w:val="005F42F3"/>
    <w:rsid w:val="005F465D"/>
    <w:rsid w:val="005F471E"/>
    <w:rsid w:val="005F4731"/>
    <w:rsid w:val="005F4C9C"/>
    <w:rsid w:val="005F5540"/>
    <w:rsid w:val="005F5A0D"/>
    <w:rsid w:val="005F5BC8"/>
    <w:rsid w:val="005F6895"/>
    <w:rsid w:val="005F7CC0"/>
    <w:rsid w:val="005F7CF1"/>
    <w:rsid w:val="00601381"/>
    <w:rsid w:val="00601D40"/>
    <w:rsid w:val="00602499"/>
    <w:rsid w:val="006027CE"/>
    <w:rsid w:val="00602C6D"/>
    <w:rsid w:val="006039D4"/>
    <w:rsid w:val="00603A64"/>
    <w:rsid w:val="00603F72"/>
    <w:rsid w:val="00605032"/>
    <w:rsid w:val="00605C1D"/>
    <w:rsid w:val="006079E8"/>
    <w:rsid w:val="00610B20"/>
    <w:rsid w:val="00610D97"/>
    <w:rsid w:val="006112EB"/>
    <w:rsid w:val="00613DD4"/>
    <w:rsid w:val="00613E06"/>
    <w:rsid w:val="00613ED3"/>
    <w:rsid w:val="0061505A"/>
    <w:rsid w:val="00616A37"/>
    <w:rsid w:val="00620A56"/>
    <w:rsid w:val="00621068"/>
    <w:rsid w:val="00622187"/>
    <w:rsid w:val="006224E2"/>
    <w:rsid w:val="00623839"/>
    <w:rsid w:val="00623DD2"/>
    <w:rsid w:val="00627F77"/>
    <w:rsid w:val="00630AB2"/>
    <w:rsid w:val="00630E76"/>
    <w:rsid w:val="00632035"/>
    <w:rsid w:val="00632F87"/>
    <w:rsid w:val="006336D6"/>
    <w:rsid w:val="00634419"/>
    <w:rsid w:val="006346C0"/>
    <w:rsid w:val="00634803"/>
    <w:rsid w:val="00635094"/>
    <w:rsid w:val="0063553F"/>
    <w:rsid w:val="0063593A"/>
    <w:rsid w:val="00636133"/>
    <w:rsid w:val="0063695A"/>
    <w:rsid w:val="0063738F"/>
    <w:rsid w:val="0063777C"/>
    <w:rsid w:val="00637AF1"/>
    <w:rsid w:val="0064040F"/>
    <w:rsid w:val="00641C3F"/>
    <w:rsid w:val="00641D88"/>
    <w:rsid w:val="00641FF4"/>
    <w:rsid w:val="0064273E"/>
    <w:rsid w:val="006429D7"/>
    <w:rsid w:val="0064486A"/>
    <w:rsid w:val="00644888"/>
    <w:rsid w:val="00644C04"/>
    <w:rsid w:val="0064539D"/>
    <w:rsid w:val="006463C5"/>
    <w:rsid w:val="00651895"/>
    <w:rsid w:val="00653646"/>
    <w:rsid w:val="00653AC3"/>
    <w:rsid w:val="00653FAF"/>
    <w:rsid w:val="0065439B"/>
    <w:rsid w:val="00654E19"/>
    <w:rsid w:val="00654EE8"/>
    <w:rsid w:val="00654F85"/>
    <w:rsid w:val="00655C9A"/>
    <w:rsid w:val="006605EF"/>
    <w:rsid w:val="00660CF4"/>
    <w:rsid w:val="0066291A"/>
    <w:rsid w:val="00662F3B"/>
    <w:rsid w:val="00664399"/>
    <w:rsid w:val="006652B1"/>
    <w:rsid w:val="0066589F"/>
    <w:rsid w:val="006669A2"/>
    <w:rsid w:val="00667381"/>
    <w:rsid w:val="00670BA8"/>
    <w:rsid w:val="00670CF2"/>
    <w:rsid w:val="00671583"/>
    <w:rsid w:val="00671A47"/>
    <w:rsid w:val="00672246"/>
    <w:rsid w:val="00672FCF"/>
    <w:rsid w:val="006743FA"/>
    <w:rsid w:val="0067532E"/>
    <w:rsid w:val="00676DB2"/>
    <w:rsid w:val="006774DD"/>
    <w:rsid w:val="00677E00"/>
    <w:rsid w:val="00680EF8"/>
    <w:rsid w:val="0068155D"/>
    <w:rsid w:val="006830E0"/>
    <w:rsid w:val="00684ACC"/>
    <w:rsid w:val="006854DF"/>
    <w:rsid w:val="00685A25"/>
    <w:rsid w:val="00686524"/>
    <w:rsid w:val="006866E7"/>
    <w:rsid w:val="00686DBC"/>
    <w:rsid w:val="00687CB9"/>
    <w:rsid w:val="00687CBF"/>
    <w:rsid w:val="00690738"/>
    <w:rsid w:val="00691EC3"/>
    <w:rsid w:val="00692425"/>
    <w:rsid w:val="00693482"/>
    <w:rsid w:val="00695F7F"/>
    <w:rsid w:val="00695FA5"/>
    <w:rsid w:val="00696968"/>
    <w:rsid w:val="00697DCD"/>
    <w:rsid w:val="006A15A9"/>
    <w:rsid w:val="006A27D0"/>
    <w:rsid w:val="006A301F"/>
    <w:rsid w:val="006A4A9C"/>
    <w:rsid w:val="006A525C"/>
    <w:rsid w:val="006A52CA"/>
    <w:rsid w:val="006A5A63"/>
    <w:rsid w:val="006A5DA2"/>
    <w:rsid w:val="006A6EBC"/>
    <w:rsid w:val="006B0627"/>
    <w:rsid w:val="006B117C"/>
    <w:rsid w:val="006B1651"/>
    <w:rsid w:val="006B1E63"/>
    <w:rsid w:val="006B22E1"/>
    <w:rsid w:val="006B3975"/>
    <w:rsid w:val="006B3ACD"/>
    <w:rsid w:val="006B4CB6"/>
    <w:rsid w:val="006B4E60"/>
    <w:rsid w:val="006B5A0A"/>
    <w:rsid w:val="006B7ECC"/>
    <w:rsid w:val="006C0AB5"/>
    <w:rsid w:val="006C1773"/>
    <w:rsid w:val="006C4039"/>
    <w:rsid w:val="006C520D"/>
    <w:rsid w:val="006C5B82"/>
    <w:rsid w:val="006C5FA2"/>
    <w:rsid w:val="006C5FA3"/>
    <w:rsid w:val="006C7078"/>
    <w:rsid w:val="006C7256"/>
    <w:rsid w:val="006D1457"/>
    <w:rsid w:val="006D1FA0"/>
    <w:rsid w:val="006D225E"/>
    <w:rsid w:val="006D2AC4"/>
    <w:rsid w:val="006D2E33"/>
    <w:rsid w:val="006D3AD7"/>
    <w:rsid w:val="006D3C36"/>
    <w:rsid w:val="006D3CDE"/>
    <w:rsid w:val="006D5D21"/>
    <w:rsid w:val="006D5DF0"/>
    <w:rsid w:val="006D6295"/>
    <w:rsid w:val="006D6CC8"/>
    <w:rsid w:val="006E28BE"/>
    <w:rsid w:val="006E2A62"/>
    <w:rsid w:val="006E4006"/>
    <w:rsid w:val="006E7367"/>
    <w:rsid w:val="006F0601"/>
    <w:rsid w:val="006F3230"/>
    <w:rsid w:val="006F3DC4"/>
    <w:rsid w:val="006F4C9D"/>
    <w:rsid w:val="006F4F43"/>
    <w:rsid w:val="006F520F"/>
    <w:rsid w:val="006F75B7"/>
    <w:rsid w:val="00703514"/>
    <w:rsid w:val="00704638"/>
    <w:rsid w:val="0070691C"/>
    <w:rsid w:val="0070754C"/>
    <w:rsid w:val="00707C22"/>
    <w:rsid w:val="00707E49"/>
    <w:rsid w:val="00710B3B"/>
    <w:rsid w:val="0071139E"/>
    <w:rsid w:val="00711850"/>
    <w:rsid w:val="00712536"/>
    <w:rsid w:val="00712616"/>
    <w:rsid w:val="00714798"/>
    <w:rsid w:val="00714B2E"/>
    <w:rsid w:val="00715110"/>
    <w:rsid w:val="00715B5B"/>
    <w:rsid w:val="00720CFB"/>
    <w:rsid w:val="007210B3"/>
    <w:rsid w:val="007219CC"/>
    <w:rsid w:val="00722C0D"/>
    <w:rsid w:val="0072323C"/>
    <w:rsid w:val="007235C3"/>
    <w:rsid w:val="00723740"/>
    <w:rsid w:val="00723E81"/>
    <w:rsid w:val="0072426E"/>
    <w:rsid w:val="00724DDB"/>
    <w:rsid w:val="00726BAD"/>
    <w:rsid w:val="00726D29"/>
    <w:rsid w:val="007275F7"/>
    <w:rsid w:val="0073007E"/>
    <w:rsid w:val="007309A5"/>
    <w:rsid w:val="007334F9"/>
    <w:rsid w:val="00735546"/>
    <w:rsid w:val="00735C54"/>
    <w:rsid w:val="00736047"/>
    <w:rsid w:val="00741477"/>
    <w:rsid w:val="007414F9"/>
    <w:rsid w:val="007418C3"/>
    <w:rsid w:val="0074562A"/>
    <w:rsid w:val="0074580C"/>
    <w:rsid w:val="0074597A"/>
    <w:rsid w:val="00746E24"/>
    <w:rsid w:val="007476BD"/>
    <w:rsid w:val="0075026C"/>
    <w:rsid w:val="0075046C"/>
    <w:rsid w:val="00750621"/>
    <w:rsid w:val="007515D1"/>
    <w:rsid w:val="00751E8D"/>
    <w:rsid w:val="007528C1"/>
    <w:rsid w:val="00752F09"/>
    <w:rsid w:val="00753CE6"/>
    <w:rsid w:val="00756C1A"/>
    <w:rsid w:val="00756D72"/>
    <w:rsid w:val="00760284"/>
    <w:rsid w:val="00760E35"/>
    <w:rsid w:val="007617ED"/>
    <w:rsid w:val="007634A2"/>
    <w:rsid w:val="00764511"/>
    <w:rsid w:val="00764F8E"/>
    <w:rsid w:val="00767264"/>
    <w:rsid w:val="00767391"/>
    <w:rsid w:val="00767967"/>
    <w:rsid w:val="00773411"/>
    <w:rsid w:val="00773734"/>
    <w:rsid w:val="0077404A"/>
    <w:rsid w:val="0077578B"/>
    <w:rsid w:val="007776A0"/>
    <w:rsid w:val="007834C1"/>
    <w:rsid w:val="00783ABB"/>
    <w:rsid w:val="0078454A"/>
    <w:rsid w:val="00784C11"/>
    <w:rsid w:val="0078530E"/>
    <w:rsid w:val="007870D1"/>
    <w:rsid w:val="00787C53"/>
    <w:rsid w:val="0079146E"/>
    <w:rsid w:val="007933A3"/>
    <w:rsid w:val="007942D6"/>
    <w:rsid w:val="00794A54"/>
    <w:rsid w:val="00794D93"/>
    <w:rsid w:val="00794F68"/>
    <w:rsid w:val="0079514B"/>
    <w:rsid w:val="007A2BE1"/>
    <w:rsid w:val="007A4796"/>
    <w:rsid w:val="007A5016"/>
    <w:rsid w:val="007A56FC"/>
    <w:rsid w:val="007A6C09"/>
    <w:rsid w:val="007A6E12"/>
    <w:rsid w:val="007B090D"/>
    <w:rsid w:val="007B0A8B"/>
    <w:rsid w:val="007B2A2E"/>
    <w:rsid w:val="007B2F92"/>
    <w:rsid w:val="007B587A"/>
    <w:rsid w:val="007B5B4F"/>
    <w:rsid w:val="007B6083"/>
    <w:rsid w:val="007B6146"/>
    <w:rsid w:val="007B79CC"/>
    <w:rsid w:val="007B7DA3"/>
    <w:rsid w:val="007C0250"/>
    <w:rsid w:val="007C0F3F"/>
    <w:rsid w:val="007C2699"/>
    <w:rsid w:val="007C2E7D"/>
    <w:rsid w:val="007C3911"/>
    <w:rsid w:val="007C4B0B"/>
    <w:rsid w:val="007D2222"/>
    <w:rsid w:val="007D22D2"/>
    <w:rsid w:val="007D2657"/>
    <w:rsid w:val="007D2A34"/>
    <w:rsid w:val="007D2A47"/>
    <w:rsid w:val="007D2ADC"/>
    <w:rsid w:val="007D2BE9"/>
    <w:rsid w:val="007D35FF"/>
    <w:rsid w:val="007D36D3"/>
    <w:rsid w:val="007D3CB4"/>
    <w:rsid w:val="007D402D"/>
    <w:rsid w:val="007D48BC"/>
    <w:rsid w:val="007D634F"/>
    <w:rsid w:val="007D781C"/>
    <w:rsid w:val="007D7DCB"/>
    <w:rsid w:val="007E0724"/>
    <w:rsid w:val="007E0EB1"/>
    <w:rsid w:val="007E1FE2"/>
    <w:rsid w:val="007E68E9"/>
    <w:rsid w:val="007E6D40"/>
    <w:rsid w:val="007E74D1"/>
    <w:rsid w:val="007E7D14"/>
    <w:rsid w:val="007E7FB8"/>
    <w:rsid w:val="007F1935"/>
    <w:rsid w:val="007F2636"/>
    <w:rsid w:val="007F2686"/>
    <w:rsid w:val="007F328F"/>
    <w:rsid w:val="007F53A9"/>
    <w:rsid w:val="00800B6A"/>
    <w:rsid w:val="008013C0"/>
    <w:rsid w:val="00803B36"/>
    <w:rsid w:val="00804310"/>
    <w:rsid w:val="008057D5"/>
    <w:rsid w:val="00806B3B"/>
    <w:rsid w:val="00807B89"/>
    <w:rsid w:val="00810BD8"/>
    <w:rsid w:val="00810C5B"/>
    <w:rsid w:val="008117BC"/>
    <w:rsid w:val="0081295B"/>
    <w:rsid w:val="00813491"/>
    <w:rsid w:val="00814B83"/>
    <w:rsid w:val="008204FD"/>
    <w:rsid w:val="008209FF"/>
    <w:rsid w:val="0082121C"/>
    <w:rsid w:val="008212F8"/>
    <w:rsid w:val="008214C1"/>
    <w:rsid w:val="0082383E"/>
    <w:rsid w:val="008241FD"/>
    <w:rsid w:val="0082462B"/>
    <w:rsid w:val="00824D24"/>
    <w:rsid w:val="00825483"/>
    <w:rsid w:val="00826622"/>
    <w:rsid w:val="00826D92"/>
    <w:rsid w:val="00827596"/>
    <w:rsid w:val="008275FB"/>
    <w:rsid w:val="00827922"/>
    <w:rsid w:val="008302DC"/>
    <w:rsid w:val="00832389"/>
    <w:rsid w:val="00833CBB"/>
    <w:rsid w:val="00837175"/>
    <w:rsid w:val="0084061F"/>
    <w:rsid w:val="00840D0C"/>
    <w:rsid w:val="00841514"/>
    <w:rsid w:val="0084152F"/>
    <w:rsid w:val="0084171A"/>
    <w:rsid w:val="00841845"/>
    <w:rsid w:val="008427BF"/>
    <w:rsid w:val="008427CA"/>
    <w:rsid w:val="0084303E"/>
    <w:rsid w:val="008435BD"/>
    <w:rsid w:val="00843A44"/>
    <w:rsid w:val="00844FCA"/>
    <w:rsid w:val="008457A3"/>
    <w:rsid w:val="00850403"/>
    <w:rsid w:val="00852D0B"/>
    <w:rsid w:val="008538A2"/>
    <w:rsid w:val="008542B4"/>
    <w:rsid w:val="00854C6A"/>
    <w:rsid w:val="00855951"/>
    <w:rsid w:val="0085704A"/>
    <w:rsid w:val="00857340"/>
    <w:rsid w:val="0085737A"/>
    <w:rsid w:val="00860424"/>
    <w:rsid w:val="008606AE"/>
    <w:rsid w:val="0086073E"/>
    <w:rsid w:val="0086415B"/>
    <w:rsid w:val="008647E2"/>
    <w:rsid w:val="00865F3D"/>
    <w:rsid w:val="00866797"/>
    <w:rsid w:val="00866D5B"/>
    <w:rsid w:val="0086721D"/>
    <w:rsid w:val="00867518"/>
    <w:rsid w:val="00867E89"/>
    <w:rsid w:val="00867E8E"/>
    <w:rsid w:val="008703B7"/>
    <w:rsid w:val="0087146A"/>
    <w:rsid w:val="008727D6"/>
    <w:rsid w:val="00873438"/>
    <w:rsid w:val="00873807"/>
    <w:rsid w:val="00873891"/>
    <w:rsid w:val="008744A9"/>
    <w:rsid w:val="00875AC2"/>
    <w:rsid w:val="00876A84"/>
    <w:rsid w:val="00876E48"/>
    <w:rsid w:val="00876E85"/>
    <w:rsid w:val="008779E5"/>
    <w:rsid w:val="0088058E"/>
    <w:rsid w:val="00880E0F"/>
    <w:rsid w:val="008818F7"/>
    <w:rsid w:val="00881C84"/>
    <w:rsid w:val="00881DC2"/>
    <w:rsid w:val="0088367A"/>
    <w:rsid w:val="008848FE"/>
    <w:rsid w:val="00884BFF"/>
    <w:rsid w:val="00885F3E"/>
    <w:rsid w:val="008863A0"/>
    <w:rsid w:val="0089151B"/>
    <w:rsid w:val="00891772"/>
    <w:rsid w:val="00891B1D"/>
    <w:rsid w:val="008A1935"/>
    <w:rsid w:val="008A2323"/>
    <w:rsid w:val="008A2370"/>
    <w:rsid w:val="008A2546"/>
    <w:rsid w:val="008A2E0D"/>
    <w:rsid w:val="008A34E5"/>
    <w:rsid w:val="008A4408"/>
    <w:rsid w:val="008A4CCD"/>
    <w:rsid w:val="008A4ED6"/>
    <w:rsid w:val="008A5F3A"/>
    <w:rsid w:val="008A6142"/>
    <w:rsid w:val="008B0454"/>
    <w:rsid w:val="008B1EED"/>
    <w:rsid w:val="008B5B52"/>
    <w:rsid w:val="008B5DDC"/>
    <w:rsid w:val="008B6EED"/>
    <w:rsid w:val="008C05C0"/>
    <w:rsid w:val="008C063B"/>
    <w:rsid w:val="008C194F"/>
    <w:rsid w:val="008C3ACB"/>
    <w:rsid w:val="008C3FE1"/>
    <w:rsid w:val="008C5A63"/>
    <w:rsid w:val="008C5EB3"/>
    <w:rsid w:val="008C6A74"/>
    <w:rsid w:val="008C7707"/>
    <w:rsid w:val="008C771B"/>
    <w:rsid w:val="008C7A73"/>
    <w:rsid w:val="008C7EFE"/>
    <w:rsid w:val="008D0AB6"/>
    <w:rsid w:val="008D0CBA"/>
    <w:rsid w:val="008D0DD9"/>
    <w:rsid w:val="008D1041"/>
    <w:rsid w:val="008D10E4"/>
    <w:rsid w:val="008D1201"/>
    <w:rsid w:val="008D120E"/>
    <w:rsid w:val="008D196D"/>
    <w:rsid w:val="008D1F7C"/>
    <w:rsid w:val="008D3A44"/>
    <w:rsid w:val="008D4AE3"/>
    <w:rsid w:val="008D5455"/>
    <w:rsid w:val="008D7610"/>
    <w:rsid w:val="008D7689"/>
    <w:rsid w:val="008D7754"/>
    <w:rsid w:val="008E0A26"/>
    <w:rsid w:val="008E0C1D"/>
    <w:rsid w:val="008E3409"/>
    <w:rsid w:val="008E501E"/>
    <w:rsid w:val="008E59B3"/>
    <w:rsid w:val="008E68A5"/>
    <w:rsid w:val="008E6CB8"/>
    <w:rsid w:val="008F0C16"/>
    <w:rsid w:val="008F0C1A"/>
    <w:rsid w:val="008F3FEE"/>
    <w:rsid w:val="008F431D"/>
    <w:rsid w:val="008F707A"/>
    <w:rsid w:val="008F7BE6"/>
    <w:rsid w:val="00900FD2"/>
    <w:rsid w:val="009015CD"/>
    <w:rsid w:val="009017EB"/>
    <w:rsid w:val="00901CFD"/>
    <w:rsid w:val="00901F21"/>
    <w:rsid w:val="00902C78"/>
    <w:rsid w:val="009035D0"/>
    <w:rsid w:val="009036D8"/>
    <w:rsid w:val="00903772"/>
    <w:rsid w:val="00906928"/>
    <w:rsid w:val="00907A0C"/>
    <w:rsid w:val="00910183"/>
    <w:rsid w:val="009101EF"/>
    <w:rsid w:val="00910A26"/>
    <w:rsid w:val="00911FB3"/>
    <w:rsid w:val="00913188"/>
    <w:rsid w:val="009133F2"/>
    <w:rsid w:val="00913D2C"/>
    <w:rsid w:val="00914C42"/>
    <w:rsid w:val="00914DB9"/>
    <w:rsid w:val="009151CE"/>
    <w:rsid w:val="0091526D"/>
    <w:rsid w:val="00915EC8"/>
    <w:rsid w:val="00915EFF"/>
    <w:rsid w:val="00916487"/>
    <w:rsid w:val="0091682A"/>
    <w:rsid w:val="00917668"/>
    <w:rsid w:val="009209FD"/>
    <w:rsid w:val="00923478"/>
    <w:rsid w:val="0092354D"/>
    <w:rsid w:val="00925453"/>
    <w:rsid w:val="00927381"/>
    <w:rsid w:val="00927384"/>
    <w:rsid w:val="0093067F"/>
    <w:rsid w:val="009324E8"/>
    <w:rsid w:val="00933BE8"/>
    <w:rsid w:val="00934194"/>
    <w:rsid w:val="00934B0B"/>
    <w:rsid w:val="00935653"/>
    <w:rsid w:val="0093646E"/>
    <w:rsid w:val="00937053"/>
    <w:rsid w:val="00937424"/>
    <w:rsid w:val="00937598"/>
    <w:rsid w:val="00940DC3"/>
    <w:rsid w:val="00943F9B"/>
    <w:rsid w:val="00944517"/>
    <w:rsid w:val="00944FB5"/>
    <w:rsid w:val="00945EF5"/>
    <w:rsid w:val="00945F90"/>
    <w:rsid w:val="009477F9"/>
    <w:rsid w:val="00950461"/>
    <w:rsid w:val="00950E85"/>
    <w:rsid w:val="0095142A"/>
    <w:rsid w:val="00951512"/>
    <w:rsid w:val="00952F4B"/>
    <w:rsid w:val="009557F6"/>
    <w:rsid w:val="00955932"/>
    <w:rsid w:val="00955E38"/>
    <w:rsid w:val="009565A4"/>
    <w:rsid w:val="009567E2"/>
    <w:rsid w:val="00957613"/>
    <w:rsid w:val="00957C07"/>
    <w:rsid w:val="009616F9"/>
    <w:rsid w:val="009617D7"/>
    <w:rsid w:val="00963DE8"/>
    <w:rsid w:val="00964A00"/>
    <w:rsid w:val="00970D7F"/>
    <w:rsid w:val="00971974"/>
    <w:rsid w:val="00972B46"/>
    <w:rsid w:val="00973572"/>
    <w:rsid w:val="00973BFA"/>
    <w:rsid w:val="009741DB"/>
    <w:rsid w:val="00974943"/>
    <w:rsid w:val="00974E6D"/>
    <w:rsid w:val="0097595C"/>
    <w:rsid w:val="00975D78"/>
    <w:rsid w:val="00975E2B"/>
    <w:rsid w:val="00976570"/>
    <w:rsid w:val="00981E54"/>
    <w:rsid w:val="009828F1"/>
    <w:rsid w:val="009838FD"/>
    <w:rsid w:val="0098556F"/>
    <w:rsid w:val="009878D8"/>
    <w:rsid w:val="00992BCB"/>
    <w:rsid w:val="00992DAA"/>
    <w:rsid w:val="00992FE3"/>
    <w:rsid w:val="009945DA"/>
    <w:rsid w:val="00994627"/>
    <w:rsid w:val="00994836"/>
    <w:rsid w:val="00994A80"/>
    <w:rsid w:val="0099530C"/>
    <w:rsid w:val="00997395"/>
    <w:rsid w:val="009978B0"/>
    <w:rsid w:val="009A17D4"/>
    <w:rsid w:val="009A23B7"/>
    <w:rsid w:val="009A2616"/>
    <w:rsid w:val="009A2AD8"/>
    <w:rsid w:val="009A3F8E"/>
    <w:rsid w:val="009A4844"/>
    <w:rsid w:val="009A4A06"/>
    <w:rsid w:val="009A4A17"/>
    <w:rsid w:val="009A545E"/>
    <w:rsid w:val="009A5B91"/>
    <w:rsid w:val="009A66D1"/>
    <w:rsid w:val="009A6B2D"/>
    <w:rsid w:val="009A7061"/>
    <w:rsid w:val="009A7EA5"/>
    <w:rsid w:val="009B5326"/>
    <w:rsid w:val="009B555B"/>
    <w:rsid w:val="009C02AD"/>
    <w:rsid w:val="009C0602"/>
    <w:rsid w:val="009C2260"/>
    <w:rsid w:val="009C31FA"/>
    <w:rsid w:val="009C3C24"/>
    <w:rsid w:val="009C6B6F"/>
    <w:rsid w:val="009D2974"/>
    <w:rsid w:val="009D3B60"/>
    <w:rsid w:val="009D44AC"/>
    <w:rsid w:val="009D6B01"/>
    <w:rsid w:val="009D6F0F"/>
    <w:rsid w:val="009D74BE"/>
    <w:rsid w:val="009D7D49"/>
    <w:rsid w:val="009E03AE"/>
    <w:rsid w:val="009E0D50"/>
    <w:rsid w:val="009E1BCC"/>
    <w:rsid w:val="009E2FAF"/>
    <w:rsid w:val="009E387E"/>
    <w:rsid w:val="009E40D0"/>
    <w:rsid w:val="009E4380"/>
    <w:rsid w:val="009E4710"/>
    <w:rsid w:val="009E4D68"/>
    <w:rsid w:val="009E4FE5"/>
    <w:rsid w:val="009E7B47"/>
    <w:rsid w:val="009F0180"/>
    <w:rsid w:val="009F071C"/>
    <w:rsid w:val="009F1531"/>
    <w:rsid w:val="009F2D4F"/>
    <w:rsid w:val="009F601C"/>
    <w:rsid w:val="009F71CF"/>
    <w:rsid w:val="009F76C1"/>
    <w:rsid w:val="009F7809"/>
    <w:rsid w:val="009F7B8A"/>
    <w:rsid w:val="009F7D6A"/>
    <w:rsid w:val="00A00C65"/>
    <w:rsid w:val="00A020C8"/>
    <w:rsid w:val="00A024DF"/>
    <w:rsid w:val="00A035FB"/>
    <w:rsid w:val="00A03CD0"/>
    <w:rsid w:val="00A0455A"/>
    <w:rsid w:val="00A0529A"/>
    <w:rsid w:val="00A064B7"/>
    <w:rsid w:val="00A06EA6"/>
    <w:rsid w:val="00A111FF"/>
    <w:rsid w:val="00A13F43"/>
    <w:rsid w:val="00A14574"/>
    <w:rsid w:val="00A169C8"/>
    <w:rsid w:val="00A16DD5"/>
    <w:rsid w:val="00A16FC5"/>
    <w:rsid w:val="00A17397"/>
    <w:rsid w:val="00A17532"/>
    <w:rsid w:val="00A2005D"/>
    <w:rsid w:val="00A20112"/>
    <w:rsid w:val="00A203C0"/>
    <w:rsid w:val="00A20C8E"/>
    <w:rsid w:val="00A21CE1"/>
    <w:rsid w:val="00A232FF"/>
    <w:rsid w:val="00A23C01"/>
    <w:rsid w:val="00A24087"/>
    <w:rsid w:val="00A250AD"/>
    <w:rsid w:val="00A272AC"/>
    <w:rsid w:val="00A276E8"/>
    <w:rsid w:val="00A30446"/>
    <w:rsid w:val="00A311F0"/>
    <w:rsid w:val="00A31541"/>
    <w:rsid w:val="00A31767"/>
    <w:rsid w:val="00A31B8E"/>
    <w:rsid w:val="00A337DD"/>
    <w:rsid w:val="00A34945"/>
    <w:rsid w:val="00A34EB2"/>
    <w:rsid w:val="00A36CF9"/>
    <w:rsid w:val="00A36D8F"/>
    <w:rsid w:val="00A3751E"/>
    <w:rsid w:val="00A3789D"/>
    <w:rsid w:val="00A4005F"/>
    <w:rsid w:val="00A40A11"/>
    <w:rsid w:val="00A40F76"/>
    <w:rsid w:val="00A4109C"/>
    <w:rsid w:val="00A43224"/>
    <w:rsid w:val="00A43852"/>
    <w:rsid w:val="00A44C8A"/>
    <w:rsid w:val="00A44FFA"/>
    <w:rsid w:val="00A450D2"/>
    <w:rsid w:val="00A4679E"/>
    <w:rsid w:val="00A46A6C"/>
    <w:rsid w:val="00A4740D"/>
    <w:rsid w:val="00A5042A"/>
    <w:rsid w:val="00A507EC"/>
    <w:rsid w:val="00A50B43"/>
    <w:rsid w:val="00A515EB"/>
    <w:rsid w:val="00A51C51"/>
    <w:rsid w:val="00A51F5E"/>
    <w:rsid w:val="00A52B66"/>
    <w:rsid w:val="00A53DEC"/>
    <w:rsid w:val="00A53E72"/>
    <w:rsid w:val="00A5641A"/>
    <w:rsid w:val="00A575FD"/>
    <w:rsid w:val="00A60439"/>
    <w:rsid w:val="00A61488"/>
    <w:rsid w:val="00A614D6"/>
    <w:rsid w:val="00A6219A"/>
    <w:rsid w:val="00A625AB"/>
    <w:rsid w:val="00A641FB"/>
    <w:rsid w:val="00A6460D"/>
    <w:rsid w:val="00A6690F"/>
    <w:rsid w:val="00A66F0E"/>
    <w:rsid w:val="00A67FBC"/>
    <w:rsid w:val="00A708ED"/>
    <w:rsid w:val="00A71868"/>
    <w:rsid w:val="00A71B13"/>
    <w:rsid w:val="00A71FA7"/>
    <w:rsid w:val="00A72DFE"/>
    <w:rsid w:val="00A7512F"/>
    <w:rsid w:val="00A76C3B"/>
    <w:rsid w:val="00A77651"/>
    <w:rsid w:val="00A80E36"/>
    <w:rsid w:val="00A85197"/>
    <w:rsid w:val="00A853D2"/>
    <w:rsid w:val="00A86506"/>
    <w:rsid w:val="00A8727A"/>
    <w:rsid w:val="00A90066"/>
    <w:rsid w:val="00A91CE8"/>
    <w:rsid w:val="00A943A9"/>
    <w:rsid w:val="00A9449D"/>
    <w:rsid w:val="00A94AC7"/>
    <w:rsid w:val="00A94B52"/>
    <w:rsid w:val="00A952C6"/>
    <w:rsid w:val="00A96682"/>
    <w:rsid w:val="00A967D3"/>
    <w:rsid w:val="00A96A11"/>
    <w:rsid w:val="00A97B4E"/>
    <w:rsid w:val="00AA095E"/>
    <w:rsid w:val="00AA0C1C"/>
    <w:rsid w:val="00AA2033"/>
    <w:rsid w:val="00AA2A91"/>
    <w:rsid w:val="00AA3C6E"/>
    <w:rsid w:val="00AA414F"/>
    <w:rsid w:val="00AA4779"/>
    <w:rsid w:val="00AA4BB0"/>
    <w:rsid w:val="00AA55C4"/>
    <w:rsid w:val="00AA59B7"/>
    <w:rsid w:val="00AA5DBE"/>
    <w:rsid w:val="00AA6764"/>
    <w:rsid w:val="00AA76DD"/>
    <w:rsid w:val="00AA77F0"/>
    <w:rsid w:val="00AB0856"/>
    <w:rsid w:val="00AB0D6D"/>
    <w:rsid w:val="00AB167E"/>
    <w:rsid w:val="00AB2321"/>
    <w:rsid w:val="00AB38B7"/>
    <w:rsid w:val="00AB518D"/>
    <w:rsid w:val="00AB5263"/>
    <w:rsid w:val="00AB563F"/>
    <w:rsid w:val="00AB5F09"/>
    <w:rsid w:val="00AB66F2"/>
    <w:rsid w:val="00AB67B9"/>
    <w:rsid w:val="00AB6B67"/>
    <w:rsid w:val="00AB754A"/>
    <w:rsid w:val="00AB7790"/>
    <w:rsid w:val="00AB7E46"/>
    <w:rsid w:val="00AC14D3"/>
    <w:rsid w:val="00AC22E6"/>
    <w:rsid w:val="00AC331C"/>
    <w:rsid w:val="00AC3D19"/>
    <w:rsid w:val="00AC3FBC"/>
    <w:rsid w:val="00AC40D5"/>
    <w:rsid w:val="00AC5110"/>
    <w:rsid w:val="00AC7C34"/>
    <w:rsid w:val="00AD0500"/>
    <w:rsid w:val="00AD0FD7"/>
    <w:rsid w:val="00AD1478"/>
    <w:rsid w:val="00AD15A7"/>
    <w:rsid w:val="00AD1ED2"/>
    <w:rsid w:val="00AD2EF2"/>
    <w:rsid w:val="00AD5EE0"/>
    <w:rsid w:val="00AD70B0"/>
    <w:rsid w:val="00AD712C"/>
    <w:rsid w:val="00AD71E8"/>
    <w:rsid w:val="00AE0C5F"/>
    <w:rsid w:val="00AE1BA2"/>
    <w:rsid w:val="00AE1C70"/>
    <w:rsid w:val="00AE3920"/>
    <w:rsid w:val="00AE3A0B"/>
    <w:rsid w:val="00AE41A9"/>
    <w:rsid w:val="00AE4204"/>
    <w:rsid w:val="00AE4C05"/>
    <w:rsid w:val="00AE4C59"/>
    <w:rsid w:val="00AE77A9"/>
    <w:rsid w:val="00AE7DBA"/>
    <w:rsid w:val="00AE7F11"/>
    <w:rsid w:val="00AF0337"/>
    <w:rsid w:val="00AF12E8"/>
    <w:rsid w:val="00AF20D2"/>
    <w:rsid w:val="00AF2168"/>
    <w:rsid w:val="00AF254A"/>
    <w:rsid w:val="00AF4AD3"/>
    <w:rsid w:val="00AF675C"/>
    <w:rsid w:val="00AF7A4B"/>
    <w:rsid w:val="00B00E0B"/>
    <w:rsid w:val="00B00E85"/>
    <w:rsid w:val="00B014F0"/>
    <w:rsid w:val="00B036F5"/>
    <w:rsid w:val="00B0409B"/>
    <w:rsid w:val="00B05B67"/>
    <w:rsid w:val="00B06298"/>
    <w:rsid w:val="00B07057"/>
    <w:rsid w:val="00B0795D"/>
    <w:rsid w:val="00B079F2"/>
    <w:rsid w:val="00B10144"/>
    <w:rsid w:val="00B10497"/>
    <w:rsid w:val="00B10FD4"/>
    <w:rsid w:val="00B128EC"/>
    <w:rsid w:val="00B142CB"/>
    <w:rsid w:val="00B14A8B"/>
    <w:rsid w:val="00B14B37"/>
    <w:rsid w:val="00B2158E"/>
    <w:rsid w:val="00B21A4C"/>
    <w:rsid w:val="00B22545"/>
    <w:rsid w:val="00B22CE4"/>
    <w:rsid w:val="00B24696"/>
    <w:rsid w:val="00B24833"/>
    <w:rsid w:val="00B25389"/>
    <w:rsid w:val="00B25C29"/>
    <w:rsid w:val="00B25FF1"/>
    <w:rsid w:val="00B26055"/>
    <w:rsid w:val="00B269F3"/>
    <w:rsid w:val="00B26C32"/>
    <w:rsid w:val="00B30F13"/>
    <w:rsid w:val="00B31703"/>
    <w:rsid w:val="00B3263C"/>
    <w:rsid w:val="00B327FC"/>
    <w:rsid w:val="00B328CB"/>
    <w:rsid w:val="00B345A1"/>
    <w:rsid w:val="00B34C1A"/>
    <w:rsid w:val="00B352BC"/>
    <w:rsid w:val="00B35684"/>
    <w:rsid w:val="00B36D7A"/>
    <w:rsid w:val="00B37F22"/>
    <w:rsid w:val="00B40E48"/>
    <w:rsid w:val="00B416B3"/>
    <w:rsid w:val="00B428F3"/>
    <w:rsid w:val="00B42B8C"/>
    <w:rsid w:val="00B43309"/>
    <w:rsid w:val="00B4468F"/>
    <w:rsid w:val="00B44D4B"/>
    <w:rsid w:val="00B45605"/>
    <w:rsid w:val="00B45A5C"/>
    <w:rsid w:val="00B469EB"/>
    <w:rsid w:val="00B46F04"/>
    <w:rsid w:val="00B505B6"/>
    <w:rsid w:val="00B512E6"/>
    <w:rsid w:val="00B51F74"/>
    <w:rsid w:val="00B537EB"/>
    <w:rsid w:val="00B53D12"/>
    <w:rsid w:val="00B55ABE"/>
    <w:rsid w:val="00B60385"/>
    <w:rsid w:val="00B61A91"/>
    <w:rsid w:val="00B6233E"/>
    <w:rsid w:val="00B64504"/>
    <w:rsid w:val="00B64663"/>
    <w:rsid w:val="00B64963"/>
    <w:rsid w:val="00B651EC"/>
    <w:rsid w:val="00B66749"/>
    <w:rsid w:val="00B677D6"/>
    <w:rsid w:val="00B70475"/>
    <w:rsid w:val="00B70CEB"/>
    <w:rsid w:val="00B70FB6"/>
    <w:rsid w:val="00B71E5E"/>
    <w:rsid w:val="00B7249C"/>
    <w:rsid w:val="00B7270B"/>
    <w:rsid w:val="00B73031"/>
    <w:rsid w:val="00B735A2"/>
    <w:rsid w:val="00B73F75"/>
    <w:rsid w:val="00B7417A"/>
    <w:rsid w:val="00B74A47"/>
    <w:rsid w:val="00B753EB"/>
    <w:rsid w:val="00B770FA"/>
    <w:rsid w:val="00B77194"/>
    <w:rsid w:val="00B77779"/>
    <w:rsid w:val="00B80EDC"/>
    <w:rsid w:val="00B83047"/>
    <w:rsid w:val="00B83951"/>
    <w:rsid w:val="00B8489B"/>
    <w:rsid w:val="00B86386"/>
    <w:rsid w:val="00B90A65"/>
    <w:rsid w:val="00B90AB9"/>
    <w:rsid w:val="00B91395"/>
    <w:rsid w:val="00B92959"/>
    <w:rsid w:val="00B931BD"/>
    <w:rsid w:val="00B934BF"/>
    <w:rsid w:val="00B9385A"/>
    <w:rsid w:val="00B94634"/>
    <w:rsid w:val="00B97C95"/>
    <w:rsid w:val="00BA083D"/>
    <w:rsid w:val="00BA160E"/>
    <w:rsid w:val="00BA1EE1"/>
    <w:rsid w:val="00BA38CA"/>
    <w:rsid w:val="00BA3B32"/>
    <w:rsid w:val="00BB22FF"/>
    <w:rsid w:val="00BB3252"/>
    <w:rsid w:val="00BB36AA"/>
    <w:rsid w:val="00BB4952"/>
    <w:rsid w:val="00BB5C1B"/>
    <w:rsid w:val="00BB6DD8"/>
    <w:rsid w:val="00BB6F9E"/>
    <w:rsid w:val="00BB789D"/>
    <w:rsid w:val="00BC11DB"/>
    <w:rsid w:val="00BC1927"/>
    <w:rsid w:val="00BC1B6E"/>
    <w:rsid w:val="00BC1CD1"/>
    <w:rsid w:val="00BC619B"/>
    <w:rsid w:val="00BC6B3E"/>
    <w:rsid w:val="00BC7B21"/>
    <w:rsid w:val="00BD1675"/>
    <w:rsid w:val="00BD2A34"/>
    <w:rsid w:val="00BE44F3"/>
    <w:rsid w:val="00BE4612"/>
    <w:rsid w:val="00BE4641"/>
    <w:rsid w:val="00BE6B5F"/>
    <w:rsid w:val="00BE7093"/>
    <w:rsid w:val="00BE70FC"/>
    <w:rsid w:val="00BE7557"/>
    <w:rsid w:val="00BE7C61"/>
    <w:rsid w:val="00BE7DE2"/>
    <w:rsid w:val="00BF0EDC"/>
    <w:rsid w:val="00BF36E3"/>
    <w:rsid w:val="00BF3CF3"/>
    <w:rsid w:val="00BF414F"/>
    <w:rsid w:val="00BF49EE"/>
    <w:rsid w:val="00BF5723"/>
    <w:rsid w:val="00C00DC8"/>
    <w:rsid w:val="00C014EE"/>
    <w:rsid w:val="00C025AD"/>
    <w:rsid w:val="00C034FB"/>
    <w:rsid w:val="00C041E6"/>
    <w:rsid w:val="00C04349"/>
    <w:rsid w:val="00C0566B"/>
    <w:rsid w:val="00C05C76"/>
    <w:rsid w:val="00C05DA8"/>
    <w:rsid w:val="00C126FD"/>
    <w:rsid w:val="00C1272D"/>
    <w:rsid w:val="00C12AE7"/>
    <w:rsid w:val="00C138C1"/>
    <w:rsid w:val="00C14ECF"/>
    <w:rsid w:val="00C174A0"/>
    <w:rsid w:val="00C20E60"/>
    <w:rsid w:val="00C21101"/>
    <w:rsid w:val="00C21969"/>
    <w:rsid w:val="00C22754"/>
    <w:rsid w:val="00C2301E"/>
    <w:rsid w:val="00C23228"/>
    <w:rsid w:val="00C23872"/>
    <w:rsid w:val="00C25476"/>
    <w:rsid w:val="00C25836"/>
    <w:rsid w:val="00C2611D"/>
    <w:rsid w:val="00C273A5"/>
    <w:rsid w:val="00C31F73"/>
    <w:rsid w:val="00C32AB0"/>
    <w:rsid w:val="00C3495D"/>
    <w:rsid w:val="00C34B2B"/>
    <w:rsid w:val="00C36329"/>
    <w:rsid w:val="00C3639C"/>
    <w:rsid w:val="00C36577"/>
    <w:rsid w:val="00C36F29"/>
    <w:rsid w:val="00C412A3"/>
    <w:rsid w:val="00C43BF8"/>
    <w:rsid w:val="00C44D82"/>
    <w:rsid w:val="00C45533"/>
    <w:rsid w:val="00C45589"/>
    <w:rsid w:val="00C50753"/>
    <w:rsid w:val="00C50C35"/>
    <w:rsid w:val="00C51390"/>
    <w:rsid w:val="00C5299C"/>
    <w:rsid w:val="00C54AA2"/>
    <w:rsid w:val="00C54AD4"/>
    <w:rsid w:val="00C55BED"/>
    <w:rsid w:val="00C563C5"/>
    <w:rsid w:val="00C57481"/>
    <w:rsid w:val="00C579CE"/>
    <w:rsid w:val="00C60694"/>
    <w:rsid w:val="00C60EE8"/>
    <w:rsid w:val="00C614E7"/>
    <w:rsid w:val="00C61E0A"/>
    <w:rsid w:val="00C630F7"/>
    <w:rsid w:val="00C649A8"/>
    <w:rsid w:val="00C64A57"/>
    <w:rsid w:val="00C70929"/>
    <w:rsid w:val="00C70D66"/>
    <w:rsid w:val="00C71795"/>
    <w:rsid w:val="00C719D7"/>
    <w:rsid w:val="00C7253D"/>
    <w:rsid w:val="00C74348"/>
    <w:rsid w:val="00C75A90"/>
    <w:rsid w:val="00C75D99"/>
    <w:rsid w:val="00C77D53"/>
    <w:rsid w:val="00C82CAE"/>
    <w:rsid w:val="00C84DB4"/>
    <w:rsid w:val="00C8511B"/>
    <w:rsid w:val="00C85802"/>
    <w:rsid w:val="00C85858"/>
    <w:rsid w:val="00C8607C"/>
    <w:rsid w:val="00C86525"/>
    <w:rsid w:val="00C86FCE"/>
    <w:rsid w:val="00C8749F"/>
    <w:rsid w:val="00C878CF"/>
    <w:rsid w:val="00C90065"/>
    <w:rsid w:val="00C908FC"/>
    <w:rsid w:val="00C90A95"/>
    <w:rsid w:val="00C920FF"/>
    <w:rsid w:val="00C922DB"/>
    <w:rsid w:val="00C9242D"/>
    <w:rsid w:val="00C9280A"/>
    <w:rsid w:val="00C9289E"/>
    <w:rsid w:val="00C94899"/>
    <w:rsid w:val="00C94F14"/>
    <w:rsid w:val="00C9526D"/>
    <w:rsid w:val="00C96A00"/>
    <w:rsid w:val="00C96C81"/>
    <w:rsid w:val="00CA01B2"/>
    <w:rsid w:val="00CA19AD"/>
    <w:rsid w:val="00CA251D"/>
    <w:rsid w:val="00CA275B"/>
    <w:rsid w:val="00CA2F9B"/>
    <w:rsid w:val="00CA42F9"/>
    <w:rsid w:val="00CA4701"/>
    <w:rsid w:val="00CA6EA8"/>
    <w:rsid w:val="00CB1049"/>
    <w:rsid w:val="00CB12A6"/>
    <w:rsid w:val="00CB1A44"/>
    <w:rsid w:val="00CB2A67"/>
    <w:rsid w:val="00CB4BED"/>
    <w:rsid w:val="00CB6390"/>
    <w:rsid w:val="00CB6837"/>
    <w:rsid w:val="00CB6DBB"/>
    <w:rsid w:val="00CB7349"/>
    <w:rsid w:val="00CB7D43"/>
    <w:rsid w:val="00CC00DB"/>
    <w:rsid w:val="00CC032E"/>
    <w:rsid w:val="00CC0355"/>
    <w:rsid w:val="00CC07F6"/>
    <w:rsid w:val="00CC4100"/>
    <w:rsid w:val="00CC5819"/>
    <w:rsid w:val="00CC748A"/>
    <w:rsid w:val="00CD1CC0"/>
    <w:rsid w:val="00CD2171"/>
    <w:rsid w:val="00CD2F8C"/>
    <w:rsid w:val="00CD38B6"/>
    <w:rsid w:val="00CD574E"/>
    <w:rsid w:val="00CD5F36"/>
    <w:rsid w:val="00CE0176"/>
    <w:rsid w:val="00CE13CC"/>
    <w:rsid w:val="00CE2F69"/>
    <w:rsid w:val="00CE3B70"/>
    <w:rsid w:val="00CE4ACD"/>
    <w:rsid w:val="00CE4D66"/>
    <w:rsid w:val="00CE5B44"/>
    <w:rsid w:val="00CE61B6"/>
    <w:rsid w:val="00CE72B3"/>
    <w:rsid w:val="00CE76C4"/>
    <w:rsid w:val="00CE7C53"/>
    <w:rsid w:val="00CF11E8"/>
    <w:rsid w:val="00CF1B8A"/>
    <w:rsid w:val="00CF2947"/>
    <w:rsid w:val="00CF6B9D"/>
    <w:rsid w:val="00D0067D"/>
    <w:rsid w:val="00D02631"/>
    <w:rsid w:val="00D0306A"/>
    <w:rsid w:val="00D031C5"/>
    <w:rsid w:val="00D05B62"/>
    <w:rsid w:val="00D11325"/>
    <w:rsid w:val="00D13761"/>
    <w:rsid w:val="00D156FA"/>
    <w:rsid w:val="00D16D73"/>
    <w:rsid w:val="00D20285"/>
    <w:rsid w:val="00D20D6B"/>
    <w:rsid w:val="00D20EAF"/>
    <w:rsid w:val="00D216F0"/>
    <w:rsid w:val="00D21B59"/>
    <w:rsid w:val="00D2212A"/>
    <w:rsid w:val="00D221F4"/>
    <w:rsid w:val="00D240D3"/>
    <w:rsid w:val="00D24BC9"/>
    <w:rsid w:val="00D30123"/>
    <w:rsid w:val="00D31D3D"/>
    <w:rsid w:val="00D33A21"/>
    <w:rsid w:val="00D343DF"/>
    <w:rsid w:val="00D34A2C"/>
    <w:rsid w:val="00D366F1"/>
    <w:rsid w:val="00D401CB"/>
    <w:rsid w:val="00D43B0B"/>
    <w:rsid w:val="00D44323"/>
    <w:rsid w:val="00D44EC3"/>
    <w:rsid w:val="00D464DF"/>
    <w:rsid w:val="00D46E69"/>
    <w:rsid w:val="00D47632"/>
    <w:rsid w:val="00D47991"/>
    <w:rsid w:val="00D5096C"/>
    <w:rsid w:val="00D5112E"/>
    <w:rsid w:val="00D5262F"/>
    <w:rsid w:val="00D5306C"/>
    <w:rsid w:val="00D53A51"/>
    <w:rsid w:val="00D54FF3"/>
    <w:rsid w:val="00D55536"/>
    <w:rsid w:val="00D55595"/>
    <w:rsid w:val="00D55720"/>
    <w:rsid w:val="00D56BEE"/>
    <w:rsid w:val="00D60528"/>
    <w:rsid w:val="00D607D4"/>
    <w:rsid w:val="00D61F12"/>
    <w:rsid w:val="00D6275C"/>
    <w:rsid w:val="00D62D78"/>
    <w:rsid w:val="00D63783"/>
    <w:rsid w:val="00D6397C"/>
    <w:rsid w:val="00D6535B"/>
    <w:rsid w:val="00D66AA3"/>
    <w:rsid w:val="00D70037"/>
    <w:rsid w:val="00D701B1"/>
    <w:rsid w:val="00D7023F"/>
    <w:rsid w:val="00D717D2"/>
    <w:rsid w:val="00D718C0"/>
    <w:rsid w:val="00D71D76"/>
    <w:rsid w:val="00D726E5"/>
    <w:rsid w:val="00D7274B"/>
    <w:rsid w:val="00D72960"/>
    <w:rsid w:val="00D72FD4"/>
    <w:rsid w:val="00D75670"/>
    <w:rsid w:val="00D76312"/>
    <w:rsid w:val="00D771FC"/>
    <w:rsid w:val="00D775BF"/>
    <w:rsid w:val="00D80FA8"/>
    <w:rsid w:val="00D81CBE"/>
    <w:rsid w:val="00D832B3"/>
    <w:rsid w:val="00D83B37"/>
    <w:rsid w:val="00D84EE8"/>
    <w:rsid w:val="00D8548B"/>
    <w:rsid w:val="00D8564D"/>
    <w:rsid w:val="00D87401"/>
    <w:rsid w:val="00D91F7A"/>
    <w:rsid w:val="00D92A6B"/>
    <w:rsid w:val="00D93210"/>
    <w:rsid w:val="00D93D29"/>
    <w:rsid w:val="00D9465D"/>
    <w:rsid w:val="00D946BE"/>
    <w:rsid w:val="00D95544"/>
    <w:rsid w:val="00D95831"/>
    <w:rsid w:val="00D96A5E"/>
    <w:rsid w:val="00DA3096"/>
    <w:rsid w:val="00DA3BC7"/>
    <w:rsid w:val="00DA3C56"/>
    <w:rsid w:val="00DA482E"/>
    <w:rsid w:val="00DA55C9"/>
    <w:rsid w:val="00DA73DF"/>
    <w:rsid w:val="00DB2A18"/>
    <w:rsid w:val="00DB2EB4"/>
    <w:rsid w:val="00DB38F1"/>
    <w:rsid w:val="00DB5426"/>
    <w:rsid w:val="00DB5CF4"/>
    <w:rsid w:val="00DC099B"/>
    <w:rsid w:val="00DC0D1F"/>
    <w:rsid w:val="00DC1F37"/>
    <w:rsid w:val="00DC2536"/>
    <w:rsid w:val="00DC2AAF"/>
    <w:rsid w:val="00DC5AB4"/>
    <w:rsid w:val="00DC6E2B"/>
    <w:rsid w:val="00DC7862"/>
    <w:rsid w:val="00DD1385"/>
    <w:rsid w:val="00DD1BA9"/>
    <w:rsid w:val="00DD3197"/>
    <w:rsid w:val="00DD328D"/>
    <w:rsid w:val="00DD3F7B"/>
    <w:rsid w:val="00DD482F"/>
    <w:rsid w:val="00DD671C"/>
    <w:rsid w:val="00DD6861"/>
    <w:rsid w:val="00DD6A6C"/>
    <w:rsid w:val="00DD6F31"/>
    <w:rsid w:val="00DE1093"/>
    <w:rsid w:val="00DE1897"/>
    <w:rsid w:val="00DE29C5"/>
    <w:rsid w:val="00DE37BF"/>
    <w:rsid w:val="00DE3D73"/>
    <w:rsid w:val="00DE3DEB"/>
    <w:rsid w:val="00DE60C0"/>
    <w:rsid w:val="00DE612B"/>
    <w:rsid w:val="00DE63D4"/>
    <w:rsid w:val="00DE67E0"/>
    <w:rsid w:val="00DE7394"/>
    <w:rsid w:val="00DE7B19"/>
    <w:rsid w:val="00DE7FEC"/>
    <w:rsid w:val="00DF087B"/>
    <w:rsid w:val="00DF129F"/>
    <w:rsid w:val="00DF1D09"/>
    <w:rsid w:val="00DF4B67"/>
    <w:rsid w:val="00DF6096"/>
    <w:rsid w:val="00E009B3"/>
    <w:rsid w:val="00E01965"/>
    <w:rsid w:val="00E01B61"/>
    <w:rsid w:val="00E02AF1"/>
    <w:rsid w:val="00E03D82"/>
    <w:rsid w:val="00E042F8"/>
    <w:rsid w:val="00E04C47"/>
    <w:rsid w:val="00E04DF5"/>
    <w:rsid w:val="00E06B74"/>
    <w:rsid w:val="00E074E4"/>
    <w:rsid w:val="00E07570"/>
    <w:rsid w:val="00E07698"/>
    <w:rsid w:val="00E135E7"/>
    <w:rsid w:val="00E15C97"/>
    <w:rsid w:val="00E169A9"/>
    <w:rsid w:val="00E178E2"/>
    <w:rsid w:val="00E21610"/>
    <w:rsid w:val="00E2245B"/>
    <w:rsid w:val="00E24793"/>
    <w:rsid w:val="00E2524B"/>
    <w:rsid w:val="00E25C9C"/>
    <w:rsid w:val="00E25E8C"/>
    <w:rsid w:val="00E25F6A"/>
    <w:rsid w:val="00E2749A"/>
    <w:rsid w:val="00E27A3E"/>
    <w:rsid w:val="00E303F4"/>
    <w:rsid w:val="00E30778"/>
    <w:rsid w:val="00E32A7A"/>
    <w:rsid w:val="00E32B2C"/>
    <w:rsid w:val="00E32D5A"/>
    <w:rsid w:val="00E33645"/>
    <w:rsid w:val="00E34AC4"/>
    <w:rsid w:val="00E35DF2"/>
    <w:rsid w:val="00E3740D"/>
    <w:rsid w:val="00E37417"/>
    <w:rsid w:val="00E402B0"/>
    <w:rsid w:val="00E4038C"/>
    <w:rsid w:val="00E40ABB"/>
    <w:rsid w:val="00E43746"/>
    <w:rsid w:val="00E4539E"/>
    <w:rsid w:val="00E465AE"/>
    <w:rsid w:val="00E4684A"/>
    <w:rsid w:val="00E468ED"/>
    <w:rsid w:val="00E475F4"/>
    <w:rsid w:val="00E516D0"/>
    <w:rsid w:val="00E52E39"/>
    <w:rsid w:val="00E53AB7"/>
    <w:rsid w:val="00E552B4"/>
    <w:rsid w:val="00E554D5"/>
    <w:rsid w:val="00E5618A"/>
    <w:rsid w:val="00E5794C"/>
    <w:rsid w:val="00E63B47"/>
    <w:rsid w:val="00E63B7A"/>
    <w:rsid w:val="00E65014"/>
    <w:rsid w:val="00E66210"/>
    <w:rsid w:val="00E66BF2"/>
    <w:rsid w:val="00E676D1"/>
    <w:rsid w:val="00E67A54"/>
    <w:rsid w:val="00E702C3"/>
    <w:rsid w:val="00E737D7"/>
    <w:rsid w:val="00E741E5"/>
    <w:rsid w:val="00E7494F"/>
    <w:rsid w:val="00E75424"/>
    <w:rsid w:val="00E80E99"/>
    <w:rsid w:val="00E81485"/>
    <w:rsid w:val="00E824B4"/>
    <w:rsid w:val="00E83AD1"/>
    <w:rsid w:val="00E84D30"/>
    <w:rsid w:val="00E851DB"/>
    <w:rsid w:val="00E85254"/>
    <w:rsid w:val="00E856D8"/>
    <w:rsid w:val="00E85947"/>
    <w:rsid w:val="00E875ED"/>
    <w:rsid w:val="00E879BE"/>
    <w:rsid w:val="00E905FE"/>
    <w:rsid w:val="00E906D6"/>
    <w:rsid w:val="00E9091D"/>
    <w:rsid w:val="00E934C8"/>
    <w:rsid w:val="00E93A33"/>
    <w:rsid w:val="00E93C8C"/>
    <w:rsid w:val="00E95CFD"/>
    <w:rsid w:val="00E9622F"/>
    <w:rsid w:val="00E963F5"/>
    <w:rsid w:val="00E978DC"/>
    <w:rsid w:val="00E97F11"/>
    <w:rsid w:val="00EA1D92"/>
    <w:rsid w:val="00EA2166"/>
    <w:rsid w:val="00EA2645"/>
    <w:rsid w:val="00EA2915"/>
    <w:rsid w:val="00EA3465"/>
    <w:rsid w:val="00EA4898"/>
    <w:rsid w:val="00EA54EA"/>
    <w:rsid w:val="00EA6208"/>
    <w:rsid w:val="00EA62B0"/>
    <w:rsid w:val="00EA62DB"/>
    <w:rsid w:val="00EA6CC3"/>
    <w:rsid w:val="00EB0778"/>
    <w:rsid w:val="00EB119A"/>
    <w:rsid w:val="00EB4752"/>
    <w:rsid w:val="00EB5224"/>
    <w:rsid w:val="00EB5679"/>
    <w:rsid w:val="00EB70B1"/>
    <w:rsid w:val="00EC053A"/>
    <w:rsid w:val="00EC07A5"/>
    <w:rsid w:val="00EC2307"/>
    <w:rsid w:val="00EC38C5"/>
    <w:rsid w:val="00EC45A1"/>
    <w:rsid w:val="00EC4CF2"/>
    <w:rsid w:val="00EC6808"/>
    <w:rsid w:val="00EC7EF9"/>
    <w:rsid w:val="00ED0614"/>
    <w:rsid w:val="00ED0A56"/>
    <w:rsid w:val="00ED1694"/>
    <w:rsid w:val="00ED2A28"/>
    <w:rsid w:val="00ED5320"/>
    <w:rsid w:val="00ED56DF"/>
    <w:rsid w:val="00ED5944"/>
    <w:rsid w:val="00ED60C4"/>
    <w:rsid w:val="00ED746B"/>
    <w:rsid w:val="00EE0B0D"/>
    <w:rsid w:val="00EE0C23"/>
    <w:rsid w:val="00EE1354"/>
    <w:rsid w:val="00EE4BF9"/>
    <w:rsid w:val="00EE5140"/>
    <w:rsid w:val="00EE55FA"/>
    <w:rsid w:val="00EE7627"/>
    <w:rsid w:val="00EE76E9"/>
    <w:rsid w:val="00EF215A"/>
    <w:rsid w:val="00EF3744"/>
    <w:rsid w:val="00EF464C"/>
    <w:rsid w:val="00EF4964"/>
    <w:rsid w:val="00EF52C4"/>
    <w:rsid w:val="00EF551A"/>
    <w:rsid w:val="00EF5DDD"/>
    <w:rsid w:val="00EF67BC"/>
    <w:rsid w:val="00F01913"/>
    <w:rsid w:val="00F01F43"/>
    <w:rsid w:val="00F04580"/>
    <w:rsid w:val="00F046BE"/>
    <w:rsid w:val="00F0638D"/>
    <w:rsid w:val="00F07A46"/>
    <w:rsid w:val="00F12AB2"/>
    <w:rsid w:val="00F1471E"/>
    <w:rsid w:val="00F14835"/>
    <w:rsid w:val="00F14F86"/>
    <w:rsid w:val="00F15166"/>
    <w:rsid w:val="00F155F7"/>
    <w:rsid w:val="00F1562D"/>
    <w:rsid w:val="00F159A5"/>
    <w:rsid w:val="00F15C13"/>
    <w:rsid w:val="00F15C2B"/>
    <w:rsid w:val="00F15D1F"/>
    <w:rsid w:val="00F17C67"/>
    <w:rsid w:val="00F20CD8"/>
    <w:rsid w:val="00F21595"/>
    <w:rsid w:val="00F224AE"/>
    <w:rsid w:val="00F22D3E"/>
    <w:rsid w:val="00F23142"/>
    <w:rsid w:val="00F23172"/>
    <w:rsid w:val="00F24E9A"/>
    <w:rsid w:val="00F31E85"/>
    <w:rsid w:val="00F32A38"/>
    <w:rsid w:val="00F32A8D"/>
    <w:rsid w:val="00F3456A"/>
    <w:rsid w:val="00F35D66"/>
    <w:rsid w:val="00F36641"/>
    <w:rsid w:val="00F36A56"/>
    <w:rsid w:val="00F37FA6"/>
    <w:rsid w:val="00F4336D"/>
    <w:rsid w:val="00F43474"/>
    <w:rsid w:val="00F44A27"/>
    <w:rsid w:val="00F46331"/>
    <w:rsid w:val="00F464F0"/>
    <w:rsid w:val="00F46A97"/>
    <w:rsid w:val="00F46C0C"/>
    <w:rsid w:val="00F47309"/>
    <w:rsid w:val="00F47742"/>
    <w:rsid w:val="00F51436"/>
    <w:rsid w:val="00F51F5C"/>
    <w:rsid w:val="00F524B1"/>
    <w:rsid w:val="00F53B27"/>
    <w:rsid w:val="00F55F58"/>
    <w:rsid w:val="00F57265"/>
    <w:rsid w:val="00F613B1"/>
    <w:rsid w:val="00F61AD6"/>
    <w:rsid w:val="00F6217E"/>
    <w:rsid w:val="00F621C5"/>
    <w:rsid w:val="00F621C8"/>
    <w:rsid w:val="00F62211"/>
    <w:rsid w:val="00F63B1A"/>
    <w:rsid w:val="00F644F4"/>
    <w:rsid w:val="00F65FF2"/>
    <w:rsid w:val="00F6612E"/>
    <w:rsid w:val="00F67352"/>
    <w:rsid w:val="00F7161D"/>
    <w:rsid w:val="00F72021"/>
    <w:rsid w:val="00F721C1"/>
    <w:rsid w:val="00F7534E"/>
    <w:rsid w:val="00F75557"/>
    <w:rsid w:val="00F75585"/>
    <w:rsid w:val="00F76102"/>
    <w:rsid w:val="00F762F0"/>
    <w:rsid w:val="00F76F96"/>
    <w:rsid w:val="00F77DA0"/>
    <w:rsid w:val="00F82E05"/>
    <w:rsid w:val="00F8596A"/>
    <w:rsid w:val="00F85B51"/>
    <w:rsid w:val="00F863B0"/>
    <w:rsid w:val="00F86B5F"/>
    <w:rsid w:val="00F87756"/>
    <w:rsid w:val="00F9048B"/>
    <w:rsid w:val="00F90D86"/>
    <w:rsid w:val="00F90F6C"/>
    <w:rsid w:val="00F91C53"/>
    <w:rsid w:val="00F92635"/>
    <w:rsid w:val="00F928B1"/>
    <w:rsid w:val="00F92A0F"/>
    <w:rsid w:val="00F9331E"/>
    <w:rsid w:val="00F93947"/>
    <w:rsid w:val="00F944E5"/>
    <w:rsid w:val="00F94985"/>
    <w:rsid w:val="00F95088"/>
    <w:rsid w:val="00F95DFA"/>
    <w:rsid w:val="00F96A7D"/>
    <w:rsid w:val="00FA0BCB"/>
    <w:rsid w:val="00FA1141"/>
    <w:rsid w:val="00FA2C84"/>
    <w:rsid w:val="00FA2E1F"/>
    <w:rsid w:val="00FA30BC"/>
    <w:rsid w:val="00FA4959"/>
    <w:rsid w:val="00FA5347"/>
    <w:rsid w:val="00FA55F8"/>
    <w:rsid w:val="00FA5928"/>
    <w:rsid w:val="00FA67DE"/>
    <w:rsid w:val="00FA7DF8"/>
    <w:rsid w:val="00FB098B"/>
    <w:rsid w:val="00FB1806"/>
    <w:rsid w:val="00FB2723"/>
    <w:rsid w:val="00FB2BCE"/>
    <w:rsid w:val="00FB2F40"/>
    <w:rsid w:val="00FB3978"/>
    <w:rsid w:val="00FB399E"/>
    <w:rsid w:val="00FB45D1"/>
    <w:rsid w:val="00FB6D91"/>
    <w:rsid w:val="00FB751C"/>
    <w:rsid w:val="00FB7DF7"/>
    <w:rsid w:val="00FC16D8"/>
    <w:rsid w:val="00FC30E9"/>
    <w:rsid w:val="00FC3F26"/>
    <w:rsid w:val="00FC4FDB"/>
    <w:rsid w:val="00FC5DF0"/>
    <w:rsid w:val="00FC5FB6"/>
    <w:rsid w:val="00FC6039"/>
    <w:rsid w:val="00FC6DBC"/>
    <w:rsid w:val="00FC6EA9"/>
    <w:rsid w:val="00FC721B"/>
    <w:rsid w:val="00FC7574"/>
    <w:rsid w:val="00FC75D4"/>
    <w:rsid w:val="00FD1165"/>
    <w:rsid w:val="00FD1F47"/>
    <w:rsid w:val="00FD2555"/>
    <w:rsid w:val="00FD2E4F"/>
    <w:rsid w:val="00FD4672"/>
    <w:rsid w:val="00FD4F01"/>
    <w:rsid w:val="00FD78E9"/>
    <w:rsid w:val="00FE0217"/>
    <w:rsid w:val="00FE0231"/>
    <w:rsid w:val="00FE0378"/>
    <w:rsid w:val="00FE0F67"/>
    <w:rsid w:val="00FE1902"/>
    <w:rsid w:val="00FE1F65"/>
    <w:rsid w:val="00FE4722"/>
    <w:rsid w:val="00FE4901"/>
    <w:rsid w:val="00FE5456"/>
    <w:rsid w:val="00FE5FE6"/>
    <w:rsid w:val="00FE761A"/>
    <w:rsid w:val="00FF1014"/>
    <w:rsid w:val="00FF38EB"/>
    <w:rsid w:val="00FF6E73"/>
    <w:rsid w:val="00FF79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C6548F"/>
  <w14:defaultImageDpi w14:val="32767"/>
  <w15:chartTrackingRefBased/>
  <w15:docId w15:val="{D9F4583A-A573-2246-A1F0-99271D57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link w:val="TitleChar"/>
    <w:qFormat/>
    <w:rsid w:val="0026443F"/>
    <w:pPr>
      <w:keepNext/>
      <w:keepLines/>
      <w:spacing w:before="180" w:after="240"/>
    </w:pPr>
    <w:rPr>
      <w:rFonts w:ascii="Arial" w:eastAsiaTheme="majorEastAsia" w:hAnsi="Arial" w:cs="Arial"/>
      <w:b/>
      <w:bCs/>
      <w:color w:val="000000" w:themeColor="text1"/>
      <w:sz w:val="22"/>
      <w:szCs w:val="22"/>
    </w:rPr>
  </w:style>
  <w:style w:type="character" w:customStyle="1" w:styleId="TitleChar">
    <w:name w:val="Title Char"/>
    <w:basedOn w:val="DefaultParagraphFont"/>
    <w:link w:val="Title"/>
    <w:rsid w:val="0026443F"/>
    <w:rPr>
      <w:rFonts w:ascii="Arial" w:eastAsiaTheme="majorEastAsia" w:hAnsi="Arial" w:cs="Arial"/>
      <w:b/>
      <w:bCs/>
      <w:color w:val="000000" w:themeColor="text1"/>
      <w:sz w:val="22"/>
      <w:szCs w:val="22"/>
    </w:rPr>
  </w:style>
  <w:style w:type="paragraph" w:customStyle="1" w:styleId="115linespacing">
    <w:name w:val="1.15 linespacing"/>
    <w:basedOn w:val="BodyText"/>
    <w:qFormat/>
    <w:rsid w:val="0026443F"/>
    <w:pPr>
      <w:spacing w:before="120" w:after="0" w:line="276" w:lineRule="auto"/>
    </w:pPr>
    <w:rPr>
      <w:rFonts w:ascii="Arial" w:hAnsi="Arial" w:cs="Arial"/>
      <w:sz w:val="22"/>
      <w:szCs w:val="22"/>
    </w:rPr>
  </w:style>
  <w:style w:type="paragraph" w:styleId="BodyText">
    <w:name w:val="Body Text"/>
    <w:basedOn w:val="Normal"/>
    <w:link w:val="BodyTextChar"/>
    <w:uiPriority w:val="99"/>
    <w:semiHidden/>
    <w:unhideWhenUsed/>
    <w:rsid w:val="0026443F"/>
    <w:pPr>
      <w:spacing w:after="120"/>
    </w:pPr>
  </w:style>
  <w:style w:type="character" w:customStyle="1" w:styleId="BodyTextChar">
    <w:name w:val="Body Text Char"/>
    <w:basedOn w:val="DefaultParagraphFont"/>
    <w:link w:val="BodyText"/>
    <w:uiPriority w:val="99"/>
    <w:semiHidden/>
    <w:rsid w:val="0026443F"/>
  </w:style>
  <w:style w:type="character" w:styleId="PlaceholderText">
    <w:name w:val="Placeholder Text"/>
    <w:basedOn w:val="DefaultParagraphFont"/>
    <w:uiPriority w:val="99"/>
    <w:semiHidden/>
    <w:rsid w:val="00F9331E"/>
    <w:rPr>
      <w:color w:val="808080"/>
    </w:rPr>
  </w:style>
  <w:style w:type="table" w:styleId="TableGrid">
    <w:name w:val="Table Grid"/>
    <w:basedOn w:val="TableNormal"/>
    <w:uiPriority w:val="39"/>
    <w:rsid w:val="001F4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F472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1F472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1F47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0D5225"/>
    <w:rPr>
      <w:sz w:val="16"/>
      <w:szCs w:val="16"/>
    </w:rPr>
  </w:style>
  <w:style w:type="paragraph" w:styleId="CommentText">
    <w:name w:val="annotation text"/>
    <w:basedOn w:val="Normal"/>
    <w:link w:val="CommentTextChar"/>
    <w:uiPriority w:val="99"/>
    <w:unhideWhenUsed/>
    <w:rsid w:val="000D5225"/>
    <w:rPr>
      <w:sz w:val="20"/>
      <w:szCs w:val="20"/>
    </w:rPr>
  </w:style>
  <w:style w:type="character" w:customStyle="1" w:styleId="CommentTextChar">
    <w:name w:val="Comment Text Char"/>
    <w:basedOn w:val="DefaultParagraphFont"/>
    <w:link w:val="CommentText"/>
    <w:uiPriority w:val="99"/>
    <w:rsid w:val="000D5225"/>
    <w:rPr>
      <w:sz w:val="20"/>
      <w:szCs w:val="20"/>
    </w:rPr>
  </w:style>
  <w:style w:type="paragraph" w:styleId="CommentSubject">
    <w:name w:val="annotation subject"/>
    <w:basedOn w:val="CommentText"/>
    <w:next w:val="CommentText"/>
    <w:link w:val="CommentSubjectChar"/>
    <w:uiPriority w:val="99"/>
    <w:semiHidden/>
    <w:unhideWhenUsed/>
    <w:rsid w:val="000D5225"/>
    <w:rPr>
      <w:b/>
      <w:bCs/>
    </w:rPr>
  </w:style>
  <w:style w:type="character" w:customStyle="1" w:styleId="CommentSubjectChar">
    <w:name w:val="Comment Subject Char"/>
    <w:basedOn w:val="CommentTextChar"/>
    <w:link w:val="CommentSubject"/>
    <w:uiPriority w:val="99"/>
    <w:semiHidden/>
    <w:rsid w:val="000D5225"/>
    <w:rPr>
      <w:b/>
      <w:bCs/>
      <w:sz w:val="20"/>
      <w:szCs w:val="20"/>
    </w:rPr>
  </w:style>
  <w:style w:type="paragraph" w:styleId="BalloonText">
    <w:name w:val="Balloon Text"/>
    <w:basedOn w:val="Normal"/>
    <w:link w:val="BalloonTextChar"/>
    <w:uiPriority w:val="99"/>
    <w:semiHidden/>
    <w:unhideWhenUsed/>
    <w:rsid w:val="000D522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D5225"/>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B40E48"/>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B40E48"/>
    <w:rPr>
      <w:rFonts w:ascii="Times New Roman" w:hAnsi="Times New Roman" w:cs="Times New Roman"/>
    </w:rPr>
  </w:style>
  <w:style w:type="paragraph" w:customStyle="1" w:styleId="EndNoteBibliography">
    <w:name w:val="EndNote Bibliography"/>
    <w:basedOn w:val="Normal"/>
    <w:link w:val="EndNoteBibliographyChar"/>
    <w:rsid w:val="00B40E48"/>
    <w:rPr>
      <w:rFonts w:ascii="Times New Roman" w:hAnsi="Times New Roman" w:cs="Times New Roman"/>
    </w:rPr>
  </w:style>
  <w:style w:type="character" w:customStyle="1" w:styleId="EndNoteBibliographyChar">
    <w:name w:val="EndNote Bibliography Char"/>
    <w:basedOn w:val="DefaultParagraphFont"/>
    <w:link w:val="EndNoteBibliography"/>
    <w:rsid w:val="00B40E48"/>
    <w:rPr>
      <w:rFonts w:ascii="Times New Roman" w:hAnsi="Times New Roman" w:cs="Times New Roman"/>
    </w:rPr>
  </w:style>
  <w:style w:type="character" w:styleId="Hyperlink">
    <w:name w:val="Hyperlink"/>
    <w:basedOn w:val="DefaultParagraphFont"/>
    <w:uiPriority w:val="99"/>
    <w:unhideWhenUsed/>
    <w:rsid w:val="00B40E48"/>
    <w:rPr>
      <w:color w:val="0563C1" w:themeColor="hyperlink"/>
      <w:u w:val="single"/>
    </w:rPr>
  </w:style>
  <w:style w:type="character" w:styleId="UnresolvedMention">
    <w:name w:val="Unresolved Mention"/>
    <w:basedOn w:val="DefaultParagraphFont"/>
    <w:uiPriority w:val="99"/>
    <w:rsid w:val="00B40E48"/>
    <w:rPr>
      <w:color w:val="605E5C"/>
      <w:shd w:val="clear" w:color="auto" w:fill="E1DFDD"/>
    </w:rPr>
  </w:style>
  <w:style w:type="paragraph" w:styleId="Revision">
    <w:name w:val="Revision"/>
    <w:hidden/>
    <w:uiPriority w:val="99"/>
    <w:semiHidden/>
    <w:rsid w:val="0052678B"/>
  </w:style>
  <w:style w:type="paragraph" w:styleId="ListParagraph">
    <w:name w:val="List Paragraph"/>
    <w:basedOn w:val="Normal"/>
    <w:uiPriority w:val="34"/>
    <w:qFormat/>
    <w:rsid w:val="00C34B2B"/>
    <w:pPr>
      <w:ind w:left="720"/>
      <w:contextualSpacing/>
    </w:pPr>
  </w:style>
  <w:style w:type="paragraph" w:styleId="Header">
    <w:name w:val="header"/>
    <w:basedOn w:val="Normal"/>
    <w:link w:val="HeaderChar"/>
    <w:uiPriority w:val="99"/>
    <w:unhideWhenUsed/>
    <w:rsid w:val="0053101A"/>
    <w:pPr>
      <w:tabs>
        <w:tab w:val="center" w:pos="4680"/>
        <w:tab w:val="right" w:pos="9360"/>
      </w:tabs>
    </w:pPr>
  </w:style>
  <w:style w:type="character" w:customStyle="1" w:styleId="HeaderChar">
    <w:name w:val="Header Char"/>
    <w:basedOn w:val="DefaultParagraphFont"/>
    <w:link w:val="Header"/>
    <w:uiPriority w:val="99"/>
    <w:rsid w:val="0053101A"/>
  </w:style>
  <w:style w:type="paragraph" w:styleId="Footer">
    <w:name w:val="footer"/>
    <w:basedOn w:val="Normal"/>
    <w:link w:val="FooterChar"/>
    <w:uiPriority w:val="99"/>
    <w:unhideWhenUsed/>
    <w:rsid w:val="0053101A"/>
    <w:pPr>
      <w:tabs>
        <w:tab w:val="center" w:pos="4680"/>
        <w:tab w:val="right" w:pos="9360"/>
      </w:tabs>
    </w:pPr>
  </w:style>
  <w:style w:type="character" w:customStyle="1" w:styleId="FooterChar">
    <w:name w:val="Footer Char"/>
    <w:basedOn w:val="DefaultParagraphFont"/>
    <w:link w:val="Footer"/>
    <w:uiPriority w:val="99"/>
    <w:rsid w:val="0053101A"/>
  </w:style>
  <w:style w:type="table" w:styleId="PlainTable5">
    <w:name w:val="Plain Table 5"/>
    <w:basedOn w:val="TableNormal"/>
    <w:uiPriority w:val="45"/>
    <w:rsid w:val="0087146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87146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7Colorful">
    <w:name w:val="List Table 7 Colorful"/>
    <w:basedOn w:val="TableNormal"/>
    <w:uiPriority w:val="52"/>
    <w:rsid w:val="0087146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eNumber">
    <w:name w:val="page number"/>
    <w:basedOn w:val="DefaultParagraphFont"/>
    <w:uiPriority w:val="99"/>
    <w:semiHidden/>
    <w:unhideWhenUsed/>
    <w:rsid w:val="00BE6B5F"/>
  </w:style>
  <w:style w:type="character" w:styleId="LineNumber">
    <w:name w:val="line number"/>
    <w:basedOn w:val="DefaultParagraphFont"/>
    <w:uiPriority w:val="99"/>
    <w:semiHidden/>
    <w:unhideWhenUsed/>
    <w:rsid w:val="00B7270B"/>
  </w:style>
  <w:style w:type="character" w:styleId="FollowedHyperlink">
    <w:name w:val="FollowedHyperlink"/>
    <w:basedOn w:val="DefaultParagraphFont"/>
    <w:uiPriority w:val="99"/>
    <w:semiHidden/>
    <w:unhideWhenUsed/>
    <w:rsid w:val="00F35D66"/>
    <w:rPr>
      <w:color w:val="954F72" w:themeColor="followedHyperlink"/>
      <w:u w:val="single"/>
    </w:rPr>
  </w:style>
  <w:style w:type="paragraph" w:styleId="Bibliography">
    <w:name w:val="Bibliography"/>
    <w:basedOn w:val="Normal"/>
    <w:qFormat/>
    <w:rsid w:val="00FD4672"/>
    <w:pPr>
      <w:spacing w:before="180" w:after="180" w:line="480" w:lineRule="auto"/>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5526">
      <w:bodyDiv w:val="1"/>
      <w:marLeft w:val="0"/>
      <w:marRight w:val="0"/>
      <w:marTop w:val="0"/>
      <w:marBottom w:val="0"/>
      <w:divBdr>
        <w:top w:val="none" w:sz="0" w:space="0" w:color="auto"/>
        <w:left w:val="none" w:sz="0" w:space="0" w:color="auto"/>
        <w:bottom w:val="none" w:sz="0" w:space="0" w:color="auto"/>
        <w:right w:val="none" w:sz="0" w:space="0" w:color="auto"/>
      </w:divBdr>
    </w:div>
    <w:div w:id="238372016">
      <w:bodyDiv w:val="1"/>
      <w:marLeft w:val="0"/>
      <w:marRight w:val="0"/>
      <w:marTop w:val="0"/>
      <w:marBottom w:val="0"/>
      <w:divBdr>
        <w:top w:val="none" w:sz="0" w:space="0" w:color="auto"/>
        <w:left w:val="none" w:sz="0" w:space="0" w:color="auto"/>
        <w:bottom w:val="none" w:sz="0" w:space="0" w:color="auto"/>
        <w:right w:val="none" w:sz="0" w:space="0" w:color="auto"/>
      </w:divBdr>
    </w:div>
    <w:div w:id="359205258">
      <w:bodyDiv w:val="1"/>
      <w:marLeft w:val="0"/>
      <w:marRight w:val="0"/>
      <w:marTop w:val="0"/>
      <w:marBottom w:val="0"/>
      <w:divBdr>
        <w:top w:val="none" w:sz="0" w:space="0" w:color="auto"/>
        <w:left w:val="none" w:sz="0" w:space="0" w:color="auto"/>
        <w:bottom w:val="none" w:sz="0" w:space="0" w:color="auto"/>
        <w:right w:val="none" w:sz="0" w:space="0" w:color="auto"/>
      </w:divBdr>
      <w:divsChild>
        <w:div w:id="1219829159">
          <w:marLeft w:val="0"/>
          <w:marRight w:val="0"/>
          <w:marTop w:val="0"/>
          <w:marBottom w:val="0"/>
          <w:divBdr>
            <w:top w:val="none" w:sz="0" w:space="0" w:color="auto"/>
            <w:left w:val="none" w:sz="0" w:space="0" w:color="auto"/>
            <w:bottom w:val="none" w:sz="0" w:space="0" w:color="auto"/>
            <w:right w:val="none" w:sz="0" w:space="0" w:color="auto"/>
          </w:divBdr>
          <w:divsChild>
            <w:div w:id="796411664">
              <w:marLeft w:val="0"/>
              <w:marRight w:val="0"/>
              <w:marTop w:val="0"/>
              <w:marBottom w:val="0"/>
              <w:divBdr>
                <w:top w:val="none" w:sz="0" w:space="0" w:color="auto"/>
                <w:left w:val="none" w:sz="0" w:space="0" w:color="auto"/>
                <w:bottom w:val="none" w:sz="0" w:space="0" w:color="auto"/>
                <w:right w:val="none" w:sz="0" w:space="0" w:color="auto"/>
              </w:divBdr>
              <w:divsChild>
                <w:div w:id="5656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46539">
      <w:bodyDiv w:val="1"/>
      <w:marLeft w:val="0"/>
      <w:marRight w:val="0"/>
      <w:marTop w:val="0"/>
      <w:marBottom w:val="0"/>
      <w:divBdr>
        <w:top w:val="none" w:sz="0" w:space="0" w:color="auto"/>
        <w:left w:val="none" w:sz="0" w:space="0" w:color="auto"/>
        <w:bottom w:val="none" w:sz="0" w:space="0" w:color="auto"/>
        <w:right w:val="none" w:sz="0" w:space="0" w:color="auto"/>
      </w:divBdr>
    </w:div>
    <w:div w:id="747654031">
      <w:bodyDiv w:val="1"/>
      <w:marLeft w:val="0"/>
      <w:marRight w:val="0"/>
      <w:marTop w:val="0"/>
      <w:marBottom w:val="0"/>
      <w:divBdr>
        <w:top w:val="none" w:sz="0" w:space="0" w:color="auto"/>
        <w:left w:val="none" w:sz="0" w:space="0" w:color="auto"/>
        <w:bottom w:val="none" w:sz="0" w:space="0" w:color="auto"/>
        <w:right w:val="none" w:sz="0" w:space="0" w:color="auto"/>
      </w:divBdr>
      <w:divsChild>
        <w:div w:id="1063059734">
          <w:marLeft w:val="0"/>
          <w:marRight w:val="0"/>
          <w:marTop w:val="0"/>
          <w:marBottom w:val="0"/>
          <w:divBdr>
            <w:top w:val="none" w:sz="0" w:space="0" w:color="auto"/>
            <w:left w:val="none" w:sz="0" w:space="0" w:color="auto"/>
            <w:bottom w:val="none" w:sz="0" w:space="0" w:color="auto"/>
            <w:right w:val="none" w:sz="0" w:space="0" w:color="auto"/>
          </w:divBdr>
          <w:divsChild>
            <w:div w:id="2072654349">
              <w:marLeft w:val="0"/>
              <w:marRight w:val="0"/>
              <w:marTop w:val="0"/>
              <w:marBottom w:val="0"/>
              <w:divBdr>
                <w:top w:val="none" w:sz="0" w:space="0" w:color="auto"/>
                <w:left w:val="none" w:sz="0" w:space="0" w:color="auto"/>
                <w:bottom w:val="none" w:sz="0" w:space="0" w:color="auto"/>
                <w:right w:val="none" w:sz="0" w:space="0" w:color="auto"/>
              </w:divBdr>
              <w:divsChild>
                <w:div w:id="85203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162398">
      <w:bodyDiv w:val="1"/>
      <w:marLeft w:val="0"/>
      <w:marRight w:val="0"/>
      <w:marTop w:val="0"/>
      <w:marBottom w:val="0"/>
      <w:divBdr>
        <w:top w:val="none" w:sz="0" w:space="0" w:color="auto"/>
        <w:left w:val="none" w:sz="0" w:space="0" w:color="auto"/>
        <w:bottom w:val="none" w:sz="0" w:space="0" w:color="auto"/>
        <w:right w:val="none" w:sz="0" w:space="0" w:color="auto"/>
      </w:divBdr>
    </w:div>
    <w:div w:id="1030301569">
      <w:bodyDiv w:val="1"/>
      <w:marLeft w:val="0"/>
      <w:marRight w:val="0"/>
      <w:marTop w:val="0"/>
      <w:marBottom w:val="0"/>
      <w:divBdr>
        <w:top w:val="none" w:sz="0" w:space="0" w:color="auto"/>
        <w:left w:val="none" w:sz="0" w:space="0" w:color="auto"/>
        <w:bottom w:val="none" w:sz="0" w:space="0" w:color="auto"/>
        <w:right w:val="none" w:sz="0" w:space="0" w:color="auto"/>
      </w:divBdr>
    </w:div>
    <w:div w:id="1234513745">
      <w:bodyDiv w:val="1"/>
      <w:marLeft w:val="0"/>
      <w:marRight w:val="0"/>
      <w:marTop w:val="0"/>
      <w:marBottom w:val="0"/>
      <w:divBdr>
        <w:top w:val="none" w:sz="0" w:space="0" w:color="auto"/>
        <w:left w:val="none" w:sz="0" w:space="0" w:color="auto"/>
        <w:bottom w:val="none" w:sz="0" w:space="0" w:color="auto"/>
        <w:right w:val="none" w:sz="0" w:space="0" w:color="auto"/>
      </w:divBdr>
      <w:divsChild>
        <w:div w:id="1549878212">
          <w:marLeft w:val="0"/>
          <w:marRight w:val="0"/>
          <w:marTop w:val="0"/>
          <w:marBottom w:val="0"/>
          <w:divBdr>
            <w:top w:val="none" w:sz="0" w:space="0" w:color="auto"/>
            <w:left w:val="none" w:sz="0" w:space="0" w:color="auto"/>
            <w:bottom w:val="none" w:sz="0" w:space="0" w:color="auto"/>
            <w:right w:val="none" w:sz="0" w:space="0" w:color="auto"/>
          </w:divBdr>
          <w:divsChild>
            <w:div w:id="1338385012">
              <w:marLeft w:val="0"/>
              <w:marRight w:val="0"/>
              <w:marTop w:val="0"/>
              <w:marBottom w:val="0"/>
              <w:divBdr>
                <w:top w:val="none" w:sz="0" w:space="0" w:color="auto"/>
                <w:left w:val="none" w:sz="0" w:space="0" w:color="auto"/>
                <w:bottom w:val="none" w:sz="0" w:space="0" w:color="auto"/>
                <w:right w:val="none" w:sz="0" w:space="0" w:color="auto"/>
              </w:divBdr>
              <w:divsChild>
                <w:div w:id="23208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330705">
      <w:bodyDiv w:val="1"/>
      <w:marLeft w:val="0"/>
      <w:marRight w:val="0"/>
      <w:marTop w:val="0"/>
      <w:marBottom w:val="0"/>
      <w:divBdr>
        <w:top w:val="none" w:sz="0" w:space="0" w:color="auto"/>
        <w:left w:val="none" w:sz="0" w:space="0" w:color="auto"/>
        <w:bottom w:val="none" w:sz="0" w:space="0" w:color="auto"/>
        <w:right w:val="none" w:sz="0" w:space="0" w:color="auto"/>
      </w:divBdr>
    </w:div>
    <w:div w:id="1257055362">
      <w:bodyDiv w:val="1"/>
      <w:marLeft w:val="0"/>
      <w:marRight w:val="0"/>
      <w:marTop w:val="0"/>
      <w:marBottom w:val="0"/>
      <w:divBdr>
        <w:top w:val="none" w:sz="0" w:space="0" w:color="auto"/>
        <w:left w:val="none" w:sz="0" w:space="0" w:color="auto"/>
        <w:bottom w:val="none" w:sz="0" w:space="0" w:color="auto"/>
        <w:right w:val="none" w:sz="0" w:space="0" w:color="auto"/>
      </w:divBdr>
      <w:divsChild>
        <w:div w:id="1358238066">
          <w:marLeft w:val="0"/>
          <w:marRight w:val="0"/>
          <w:marTop w:val="0"/>
          <w:marBottom w:val="0"/>
          <w:divBdr>
            <w:top w:val="none" w:sz="0" w:space="0" w:color="auto"/>
            <w:left w:val="none" w:sz="0" w:space="0" w:color="auto"/>
            <w:bottom w:val="none" w:sz="0" w:space="0" w:color="auto"/>
            <w:right w:val="none" w:sz="0" w:space="0" w:color="auto"/>
          </w:divBdr>
          <w:divsChild>
            <w:div w:id="94788209">
              <w:marLeft w:val="0"/>
              <w:marRight w:val="0"/>
              <w:marTop w:val="0"/>
              <w:marBottom w:val="0"/>
              <w:divBdr>
                <w:top w:val="none" w:sz="0" w:space="0" w:color="auto"/>
                <w:left w:val="none" w:sz="0" w:space="0" w:color="auto"/>
                <w:bottom w:val="none" w:sz="0" w:space="0" w:color="auto"/>
                <w:right w:val="none" w:sz="0" w:space="0" w:color="auto"/>
              </w:divBdr>
              <w:divsChild>
                <w:div w:id="46631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403108">
      <w:bodyDiv w:val="1"/>
      <w:marLeft w:val="0"/>
      <w:marRight w:val="0"/>
      <w:marTop w:val="0"/>
      <w:marBottom w:val="0"/>
      <w:divBdr>
        <w:top w:val="none" w:sz="0" w:space="0" w:color="auto"/>
        <w:left w:val="none" w:sz="0" w:space="0" w:color="auto"/>
        <w:bottom w:val="none" w:sz="0" w:space="0" w:color="auto"/>
        <w:right w:val="none" w:sz="0" w:space="0" w:color="auto"/>
      </w:divBdr>
      <w:divsChild>
        <w:div w:id="403139060">
          <w:marLeft w:val="0"/>
          <w:marRight w:val="0"/>
          <w:marTop w:val="0"/>
          <w:marBottom w:val="0"/>
          <w:divBdr>
            <w:top w:val="none" w:sz="0" w:space="0" w:color="auto"/>
            <w:left w:val="none" w:sz="0" w:space="0" w:color="auto"/>
            <w:bottom w:val="none" w:sz="0" w:space="0" w:color="auto"/>
            <w:right w:val="none" w:sz="0" w:space="0" w:color="auto"/>
          </w:divBdr>
          <w:divsChild>
            <w:div w:id="1359313592">
              <w:marLeft w:val="0"/>
              <w:marRight w:val="0"/>
              <w:marTop w:val="0"/>
              <w:marBottom w:val="0"/>
              <w:divBdr>
                <w:top w:val="none" w:sz="0" w:space="0" w:color="auto"/>
                <w:left w:val="none" w:sz="0" w:space="0" w:color="auto"/>
                <w:bottom w:val="none" w:sz="0" w:space="0" w:color="auto"/>
                <w:right w:val="none" w:sz="0" w:space="0" w:color="auto"/>
              </w:divBdr>
              <w:divsChild>
                <w:div w:id="14243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479983">
      <w:bodyDiv w:val="1"/>
      <w:marLeft w:val="0"/>
      <w:marRight w:val="0"/>
      <w:marTop w:val="0"/>
      <w:marBottom w:val="0"/>
      <w:divBdr>
        <w:top w:val="none" w:sz="0" w:space="0" w:color="auto"/>
        <w:left w:val="none" w:sz="0" w:space="0" w:color="auto"/>
        <w:bottom w:val="none" w:sz="0" w:space="0" w:color="auto"/>
        <w:right w:val="none" w:sz="0" w:space="0" w:color="auto"/>
      </w:divBdr>
    </w:div>
    <w:div w:id="1725904296">
      <w:bodyDiv w:val="1"/>
      <w:marLeft w:val="0"/>
      <w:marRight w:val="0"/>
      <w:marTop w:val="0"/>
      <w:marBottom w:val="0"/>
      <w:divBdr>
        <w:top w:val="none" w:sz="0" w:space="0" w:color="auto"/>
        <w:left w:val="none" w:sz="0" w:space="0" w:color="auto"/>
        <w:bottom w:val="none" w:sz="0" w:space="0" w:color="auto"/>
        <w:right w:val="none" w:sz="0" w:space="0" w:color="auto"/>
      </w:divBdr>
      <w:divsChild>
        <w:div w:id="662200673">
          <w:marLeft w:val="0"/>
          <w:marRight w:val="0"/>
          <w:marTop w:val="0"/>
          <w:marBottom w:val="0"/>
          <w:divBdr>
            <w:top w:val="none" w:sz="0" w:space="0" w:color="auto"/>
            <w:left w:val="none" w:sz="0" w:space="0" w:color="auto"/>
            <w:bottom w:val="none" w:sz="0" w:space="0" w:color="auto"/>
            <w:right w:val="none" w:sz="0" w:space="0" w:color="auto"/>
          </w:divBdr>
          <w:divsChild>
            <w:div w:id="1119911585">
              <w:marLeft w:val="0"/>
              <w:marRight w:val="0"/>
              <w:marTop w:val="0"/>
              <w:marBottom w:val="0"/>
              <w:divBdr>
                <w:top w:val="none" w:sz="0" w:space="0" w:color="auto"/>
                <w:left w:val="none" w:sz="0" w:space="0" w:color="auto"/>
                <w:bottom w:val="none" w:sz="0" w:space="0" w:color="auto"/>
                <w:right w:val="none" w:sz="0" w:space="0" w:color="auto"/>
              </w:divBdr>
              <w:divsChild>
                <w:div w:id="3520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371438">
      <w:bodyDiv w:val="1"/>
      <w:marLeft w:val="0"/>
      <w:marRight w:val="0"/>
      <w:marTop w:val="0"/>
      <w:marBottom w:val="0"/>
      <w:divBdr>
        <w:top w:val="none" w:sz="0" w:space="0" w:color="auto"/>
        <w:left w:val="none" w:sz="0" w:space="0" w:color="auto"/>
        <w:bottom w:val="none" w:sz="0" w:space="0" w:color="auto"/>
        <w:right w:val="none" w:sz="0" w:space="0" w:color="auto"/>
      </w:divBdr>
      <w:divsChild>
        <w:div w:id="2031638854">
          <w:marLeft w:val="0"/>
          <w:marRight w:val="0"/>
          <w:marTop w:val="0"/>
          <w:marBottom w:val="0"/>
          <w:divBdr>
            <w:top w:val="none" w:sz="0" w:space="0" w:color="auto"/>
            <w:left w:val="none" w:sz="0" w:space="0" w:color="auto"/>
            <w:bottom w:val="none" w:sz="0" w:space="0" w:color="auto"/>
            <w:right w:val="none" w:sz="0" w:space="0" w:color="auto"/>
          </w:divBdr>
          <w:divsChild>
            <w:div w:id="1586184903">
              <w:marLeft w:val="0"/>
              <w:marRight w:val="0"/>
              <w:marTop w:val="0"/>
              <w:marBottom w:val="0"/>
              <w:divBdr>
                <w:top w:val="none" w:sz="0" w:space="0" w:color="auto"/>
                <w:left w:val="none" w:sz="0" w:space="0" w:color="auto"/>
                <w:bottom w:val="none" w:sz="0" w:space="0" w:color="auto"/>
                <w:right w:val="none" w:sz="0" w:space="0" w:color="auto"/>
              </w:divBdr>
              <w:divsChild>
                <w:div w:id="8293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1263">
      <w:bodyDiv w:val="1"/>
      <w:marLeft w:val="0"/>
      <w:marRight w:val="0"/>
      <w:marTop w:val="0"/>
      <w:marBottom w:val="0"/>
      <w:divBdr>
        <w:top w:val="none" w:sz="0" w:space="0" w:color="auto"/>
        <w:left w:val="none" w:sz="0" w:space="0" w:color="auto"/>
        <w:bottom w:val="none" w:sz="0" w:space="0" w:color="auto"/>
        <w:right w:val="none" w:sz="0" w:space="0" w:color="auto"/>
      </w:divBdr>
    </w:div>
    <w:div w:id="2021664731">
      <w:bodyDiv w:val="1"/>
      <w:marLeft w:val="0"/>
      <w:marRight w:val="0"/>
      <w:marTop w:val="0"/>
      <w:marBottom w:val="0"/>
      <w:divBdr>
        <w:top w:val="none" w:sz="0" w:space="0" w:color="auto"/>
        <w:left w:val="none" w:sz="0" w:space="0" w:color="auto"/>
        <w:bottom w:val="none" w:sz="0" w:space="0" w:color="auto"/>
        <w:right w:val="none" w:sz="0" w:space="0" w:color="auto"/>
      </w:divBdr>
    </w:div>
    <w:div w:id="2080781290">
      <w:bodyDiv w:val="1"/>
      <w:marLeft w:val="0"/>
      <w:marRight w:val="0"/>
      <w:marTop w:val="0"/>
      <w:marBottom w:val="0"/>
      <w:divBdr>
        <w:top w:val="none" w:sz="0" w:space="0" w:color="auto"/>
        <w:left w:val="none" w:sz="0" w:space="0" w:color="auto"/>
        <w:bottom w:val="none" w:sz="0" w:space="0" w:color="auto"/>
        <w:right w:val="none" w:sz="0" w:space="0" w:color="auto"/>
      </w:divBdr>
    </w:div>
    <w:div w:id="2113939995">
      <w:bodyDiv w:val="1"/>
      <w:marLeft w:val="0"/>
      <w:marRight w:val="0"/>
      <w:marTop w:val="0"/>
      <w:marBottom w:val="0"/>
      <w:divBdr>
        <w:top w:val="none" w:sz="0" w:space="0" w:color="auto"/>
        <w:left w:val="none" w:sz="0" w:space="0" w:color="auto"/>
        <w:bottom w:val="none" w:sz="0" w:space="0" w:color="auto"/>
        <w:right w:val="none" w:sz="0" w:space="0" w:color="auto"/>
      </w:divBdr>
    </w:div>
    <w:div w:id="2129423839">
      <w:bodyDiv w:val="1"/>
      <w:marLeft w:val="0"/>
      <w:marRight w:val="0"/>
      <w:marTop w:val="0"/>
      <w:marBottom w:val="0"/>
      <w:divBdr>
        <w:top w:val="none" w:sz="0" w:space="0" w:color="auto"/>
        <w:left w:val="none" w:sz="0" w:space="0" w:color="auto"/>
        <w:bottom w:val="none" w:sz="0" w:space="0" w:color="auto"/>
        <w:right w:val="none" w:sz="0" w:space="0" w:color="auto"/>
      </w:divBdr>
      <w:divsChild>
        <w:div w:id="1977682835">
          <w:marLeft w:val="0"/>
          <w:marRight w:val="0"/>
          <w:marTop w:val="0"/>
          <w:marBottom w:val="0"/>
          <w:divBdr>
            <w:top w:val="none" w:sz="0" w:space="0" w:color="auto"/>
            <w:left w:val="none" w:sz="0" w:space="0" w:color="auto"/>
            <w:bottom w:val="none" w:sz="0" w:space="0" w:color="auto"/>
            <w:right w:val="none" w:sz="0" w:space="0" w:color="auto"/>
          </w:divBdr>
          <w:divsChild>
            <w:div w:id="1527132383">
              <w:marLeft w:val="0"/>
              <w:marRight w:val="0"/>
              <w:marTop w:val="0"/>
              <w:marBottom w:val="0"/>
              <w:divBdr>
                <w:top w:val="none" w:sz="0" w:space="0" w:color="auto"/>
                <w:left w:val="none" w:sz="0" w:space="0" w:color="auto"/>
                <w:bottom w:val="none" w:sz="0" w:space="0" w:color="auto"/>
                <w:right w:val="none" w:sz="0" w:space="0" w:color="auto"/>
              </w:divBdr>
              <w:divsChild>
                <w:div w:id="11634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872536">
      <w:bodyDiv w:val="1"/>
      <w:marLeft w:val="0"/>
      <w:marRight w:val="0"/>
      <w:marTop w:val="0"/>
      <w:marBottom w:val="0"/>
      <w:divBdr>
        <w:top w:val="none" w:sz="0" w:space="0" w:color="auto"/>
        <w:left w:val="none" w:sz="0" w:space="0" w:color="auto"/>
        <w:bottom w:val="none" w:sz="0" w:space="0" w:color="auto"/>
        <w:right w:val="none" w:sz="0" w:space="0" w:color="auto"/>
      </w:divBdr>
      <w:divsChild>
        <w:div w:id="1514150937">
          <w:marLeft w:val="0"/>
          <w:marRight w:val="0"/>
          <w:marTop w:val="0"/>
          <w:marBottom w:val="0"/>
          <w:divBdr>
            <w:top w:val="none" w:sz="0" w:space="0" w:color="auto"/>
            <w:left w:val="none" w:sz="0" w:space="0" w:color="auto"/>
            <w:bottom w:val="none" w:sz="0" w:space="0" w:color="auto"/>
            <w:right w:val="none" w:sz="0" w:space="0" w:color="auto"/>
          </w:divBdr>
          <w:divsChild>
            <w:div w:id="693993079">
              <w:marLeft w:val="0"/>
              <w:marRight w:val="0"/>
              <w:marTop w:val="0"/>
              <w:marBottom w:val="0"/>
              <w:divBdr>
                <w:top w:val="none" w:sz="0" w:space="0" w:color="auto"/>
                <w:left w:val="none" w:sz="0" w:space="0" w:color="auto"/>
                <w:bottom w:val="none" w:sz="0" w:space="0" w:color="auto"/>
                <w:right w:val="none" w:sz="0" w:space="0" w:color="auto"/>
              </w:divBdr>
              <w:divsChild>
                <w:div w:id="69554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yperlink" Target="http://wonder.cdc.gov/mcd-icd10.html"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s://doi.org/10.1038/s41467-021-20990-2" TargetMode="External"/><Relationship Id="rId2" Type="http://schemas.openxmlformats.org/officeDocument/2006/relationships/numbering" Target="numbering.xml"/><Relationship Id="rId16" Type="http://schemas.openxmlformats.org/officeDocument/2006/relationships/hyperlink" Target="https://www.cdc.gov/nchs/covid19/rands/reduced-access-to-care.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www.ncbi.nlm.nih.gov/pmc/articles/PMC5448142/pdf/nihms856339.pdf" TargetMode="Externa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wonder.cdc.gov/TB-v2022.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ensus.gov/data/tables/2023/demo/popproj/2023-summary-tables.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CAC5E-4EB6-FA4A-BCC6-394FC325E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11</Pages>
  <Words>4148</Words>
  <Characters>23645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Swartwood, Nicole Anne</dc:creator>
  <cp:keywords/>
  <dc:description/>
  <cp:lastModifiedBy>Swartwood, Nicole Anne</cp:lastModifiedBy>
  <cp:revision>14</cp:revision>
  <dcterms:created xsi:type="dcterms:W3CDTF">2024-10-08T20:31:00Z</dcterms:created>
  <dcterms:modified xsi:type="dcterms:W3CDTF">2025-01-30T03:45:00Z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2024-02-20T17:27:39Z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19941830-9868-41e0-b513-b56f49a09e3d</vt:lpwstr>
  </property>
  <property fmtid="{D5CDD505-2E9C-101B-9397-08002B2CF9AE}" pid="8" name="MSIP_Label_7b94a7b8-f06c-4dfe-bdcc-9b548fd58c31_ContentBits">
    <vt:lpwstr>0</vt:lpwstr>
  </property>
  <property fmtid="{D5CDD505-2E9C-101B-9397-08002B2CF9AE}" pid="9" name="GrammarlyDocumentId">
    <vt:lpwstr>7eec8c34dd0e5a9d6718cdc5727bebf5c7e149f0af7984ba993b768cdfdf0b3e</vt:lpwstr>
  </property>
</Properties>
</file>